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north-smithfield"/>
    <w:p>
      <w:pPr>
        <w:pStyle w:val="Heading1"/>
      </w:pPr>
      <w:r>
        <w:t xml:space="preserve">Town of North Smithfield</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X5607e9756c7eb273bedd458f464517948249fdf"/>
    <w:p>
      <w:pPr>
        <w:pStyle w:val="Heading1"/>
      </w:pPr>
      <w:r>
        <w:t xml:space="preserve">§ 1. Provision for Official Zoning Map and Ordinance</w:t>
      </w:r>
    </w:p>
    <w:p>
      <w:pPr>
        <w:pStyle w:val="FirstParagraph"/>
      </w:pPr>
      <w:r>
        <w:t xml:space="preserve">SECTION 1. Provision for Official Zoning Map and Ordinance PROVISION FOR OFFICIAL ZONING MAP AND ORDINANCE</w:t>
      </w:r>
    </w:p>
    <w:bookmarkEnd w:id="22"/>
    <w:bookmarkStart w:id="23" w:name="official-zoning-map"/>
    <w:p>
      <w:pPr>
        <w:pStyle w:val="Heading2"/>
      </w:pPr>
      <w:r>
        <w:t xml:space="preserve">§ 1.1. Official Zoning Map</w:t>
      </w:r>
    </w:p>
    <w:p>
      <w:pPr>
        <w:pStyle w:val="FirstParagraph"/>
      </w:pPr>
      <w:r>
        <w:t xml:space="preserve">Sec. 1.1. Official Zoning Map.</w:t>
      </w:r>
    </w:p>
    <w:p>
      <w:pPr>
        <w:pStyle w:val="BodyText"/>
      </w:pPr>
      <w:r>
        <w:t xml:space="preserve">The Official Zoning Map, together with all explanatory matter thereon, is hereby adopted by reference and declared to be a part of this ordinance.</w:t>
      </w:r>
    </w:p>
    <w:p>
      <w:pPr>
        <w:pStyle w:val="BodyText"/>
      </w:pPr>
      <w:r>
        <w:t xml:space="preserve">The Official Zoning Map shall be identified by the signature of the Town Council President and attested by the Town Clerk, and bearing the seal of the Town under the following words: "This is to certify that this is the Official Zoning Map referred to in Section 1 of the Zoning Ordinance of the Town of North Smithfield, Rhode Island," together with the date of the adoption of this ordinance.</w:t>
      </w:r>
    </w:p>
    <w:p>
      <w:pPr>
        <w:pStyle w:val="BodyText"/>
      </w:pPr>
      <w:r>
        <w:t xml:space="preserve">If, in accordance with the provisions of this ordinance and Title 45, Chapter 24, as amended in 1991, changes are made in district boundaries or other matter portrayed on the Official Zoning Map, such changes shall be entered on the Official Zoning Map within ninety (90) days after the amendment has been approved by the Town Council, with an entry on the Official Zoning Map as follows: "On(date), by official action of the Town Council, the following (change) changes were made on the Official Map: (brief description of nature of change)," which entry shall be signed by the Town Council President and attested by the Town Clerk. No amendment to this ordinance which involves matter portrayed on the Official Zoning Map shall become effective until after such change and entry has been made on said map.</w:t>
      </w:r>
    </w:p>
    <w:p>
      <w:pPr>
        <w:pStyle w:val="BodyText"/>
      </w:pPr>
      <w:r>
        <w:t xml:space="preserve">No changes of any nature shall be made on the Official Zoning Map or matter shown thereon except in conformity with the procedures set forth in this ordinance. Any unauthorized change of whatever kind by any person shall be considered a violation of this ordinance and punishable as provided under section 16.</w:t>
      </w:r>
    </w:p>
    <w:p>
      <w:pPr>
        <w:pStyle w:val="BodyText"/>
      </w:pPr>
      <w:r>
        <w:t xml:space="preserve">Regardless of the existence of purported copies of the Official Zoning Map which may from time to time be made or published, the Official Zoning Map, which shall be located in the office of the Town Clerk, shall be the final authority as to the current zoning status of land and water areas, buildings and other structures in the Town.</w:t>
      </w:r>
    </w:p>
    <w:bookmarkEnd w:id="23"/>
    <w:bookmarkStart w:id="24" w:name="replacement-of-official-zoning-map"/>
    <w:p>
      <w:pPr>
        <w:pStyle w:val="Heading2"/>
      </w:pPr>
      <w:r>
        <w:t xml:space="preserve">§ 1.2. Replacement of Official Zoning Map</w:t>
      </w:r>
    </w:p>
    <w:p>
      <w:pPr>
        <w:pStyle w:val="FirstParagraph"/>
      </w:pPr>
      <w:r>
        <w:t xml:space="preserve">Sec. 1.2. Replacement of Official Zoning Map.</w:t>
      </w:r>
    </w:p>
    <w:p>
      <w:pPr>
        <w:pStyle w:val="BodyText"/>
      </w:pPr>
      <w:r>
        <w:t xml:space="preserve">In the event that the Official Zoning Map becomes damaged, destroyed, lost, or difficult to interpret because of the nature or number of changes and additions, the Town Council may by resolution adopt a new Official Zoning Map which shall supersede the prior Official Zoning Map. The new Official Zoning Map may correct drafting or other errors or omissions in the prior Official Zoning Map, but no such correction shall have the effect of amending the original Official Zoning Map or any subsequent amendment thereof. The new Official Zoning Map shall be identified by the signature of the Town Council President, attested by the Town Clerk, and bearing the seal of the Town under the following words: "This is to certify that this Official Zoning Map supersedes and replaces the Official Zoning Map adopted on (date of adoption of map being replaced)."</w:t>
      </w:r>
    </w:p>
    <w:p>
      <w:pPr>
        <w:pStyle w:val="BodyText"/>
      </w:pPr>
      <w:r>
        <w:t xml:space="preserve">Unless the prior Official Zoning Map has been lost, or has been totally destroyed, the prior map or any significant parts thereof remaining shall be preserved, together with all available records pertaining to its adoption or amendment.</w:t>
      </w:r>
    </w:p>
    <w:bookmarkEnd w:id="24"/>
    <w:bookmarkStart w:id="25" w:name="X90e344954cc8ed75cc082a62f4494ec6c508398"/>
    <w:p>
      <w:pPr>
        <w:pStyle w:val="Heading1"/>
      </w:pPr>
      <w:r>
        <w:t xml:space="preserve">§ 2. Rules and Interpretation of District Boundaries</w:t>
      </w:r>
    </w:p>
    <w:p>
      <w:pPr>
        <w:pStyle w:val="FirstParagraph"/>
      </w:pPr>
      <w:r>
        <w:t xml:space="preserve">SECTION 2. Rules and Interpretation of District Boundaries RULES AND INTERPRETATION OF DISTRICT BOUNDARIES</w:t>
      </w:r>
    </w:p>
    <w:bookmarkEnd w:id="25"/>
    <w:bookmarkStart w:id="26" w:name="determination-of-uncertainties"/>
    <w:p>
      <w:pPr>
        <w:pStyle w:val="Heading2"/>
      </w:pPr>
      <w:r>
        <w:t xml:space="preserve">§ 2.1. Determination of uncertainties</w:t>
      </w:r>
    </w:p>
    <w:p>
      <w:pPr>
        <w:pStyle w:val="FirstParagraph"/>
      </w:pPr>
      <w:r>
        <w:t xml:space="preserve">Sec. 2.1. Determination of uncertainties.</w:t>
      </w:r>
    </w:p>
    <w:p>
      <w:pPr>
        <w:pStyle w:val="BodyText"/>
      </w:pPr>
      <w:r>
        <w:t xml:space="preserve">Where uncertainty exists as to the boundaries of districts as shown on the Official Zoning Map, the following rules shall apply:</w:t>
      </w:r>
    </w:p>
    <w:p>
      <w:pPr>
        <w:numPr>
          <w:ilvl w:val="0"/>
          <w:numId w:val="1001"/>
        </w:numPr>
      </w:pPr>
      <w:r>
        <w:t xml:space="preserve">(1) Boundaries indicated as approximately following the center lines of streets, highways, or alleys shall be construed to follow such center lines;</w:t>
      </w:r>
    </w:p>
    <w:p>
      <w:pPr>
        <w:numPr>
          <w:ilvl w:val="0"/>
          <w:numId w:val="1002"/>
        </w:numPr>
      </w:pPr>
      <w:r>
        <w:t xml:space="preserve">(2) Boundaries indicated as approximately following platted lot lines shall be construed as following such lot lines;</w:t>
      </w:r>
    </w:p>
    <w:p>
      <w:pPr>
        <w:numPr>
          <w:ilvl w:val="0"/>
          <w:numId w:val="1003"/>
        </w:numPr>
      </w:pPr>
      <w:r>
        <w:t xml:space="preserve">(3) Boundaries indicated as approximately following Town limits shall be construed as following such Town limits;</w:t>
      </w:r>
    </w:p>
    <w:p>
      <w:pPr>
        <w:numPr>
          <w:ilvl w:val="0"/>
          <w:numId w:val="1004"/>
        </w:numPr>
      </w:pPr>
      <w:r>
        <w:t xml:space="preserve">(4) Boundaries indicated as following railroad lines or utility right-of-ways shall be construed to be midway between the main tracks or utility right-of-ways;</w:t>
      </w:r>
    </w:p>
    <w:p>
      <w:pPr>
        <w:numPr>
          <w:ilvl w:val="0"/>
          <w:numId w:val="1005"/>
        </w:numPr>
      </w:pPr>
      <w:r>
        <w:t xml:space="preserve">(5) Boundaries indicated as following shore lines shall be construed to follow such shore lines and in the event of change in the shore line shall be construed as moving with the actual shore line, boundaries indicated as approximately following the center lines of streams, rivers, canals, lakes, or other bodies of water shall be construed to follow such center lines;</w:t>
      </w:r>
    </w:p>
    <w:p>
      <w:pPr>
        <w:numPr>
          <w:ilvl w:val="0"/>
          <w:numId w:val="1006"/>
        </w:numPr>
      </w:pPr>
      <w:r>
        <w:t xml:space="preserve">(6) Boundaries indicated as parallel to or extensions of features indicated in subsections (1) through (5) above shall be so construed. Distances not specifically indicated on the Official Zoning Map shall be determined by the scale of the map;</w:t>
      </w:r>
    </w:p>
    <w:p>
      <w:pPr>
        <w:numPr>
          <w:ilvl w:val="0"/>
          <w:numId w:val="1007"/>
        </w:numPr>
      </w:pPr>
      <w:r>
        <w:t xml:space="preserve">(7) Where physical or natural features existing on the ground are at variance with those shown on the Official Zoning Map, or in other circumstances not covered by subsections (1) through (6) above, the Inspector shall interpret the district boundaries;</w:t>
      </w:r>
    </w:p>
    <w:p>
      <w:pPr>
        <w:numPr>
          <w:ilvl w:val="0"/>
          <w:numId w:val="1008"/>
        </w:numPr>
      </w:pPr>
      <w:r>
        <w:t xml:space="preserve">(8) Where a district boundary line divides a lot which was in single ownership at the time of passage of this ordinance, the Board may permit, as a special-use permit, the extension of the regulations for either portion of the lot not to exceed 50 feet beyond the district line into the remaining portion of the lot.</w:t>
      </w:r>
    </w:p>
    <w:bookmarkEnd w:id="26"/>
    <w:bookmarkStart w:id="27" w:name="application-of-district-regulations"/>
    <w:p>
      <w:pPr>
        <w:pStyle w:val="Heading1"/>
      </w:pPr>
      <w:r>
        <w:t xml:space="preserve">§ 3. Application of District Regulations</w:t>
      </w:r>
    </w:p>
    <w:p>
      <w:pPr>
        <w:pStyle w:val="FirstParagraph"/>
      </w:pPr>
      <w:r>
        <w:t xml:space="preserve">SECTION 3. Application of District Regulations APPLICATION OF DISTRICT REGULATIONS</w:t>
      </w:r>
    </w:p>
    <w:bookmarkEnd w:id="27"/>
    <w:bookmarkStart w:id="28" w:name="uniformity-exceptions"/>
    <w:p>
      <w:pPr>
        <w:pStyle w:val="Heading2"/>
      </w:pPr>
      <w:r>
        <w:t xml:space="preserve">§ 3.1. Uniformity; exceptions</w:t>
      </w:r>
    </w:p>
    <w:p>
      <w:pPr>
        <w:pStyle w:val="FirstParagraph"/>
      </w:pPr>
      <w:r>
        <w:t xml:space="preserve">Sec. 3.1. Uniformity; exceptions.</w:t>
      </w:r>
    </w:p>
    <w:p>
      <w:pPr>
        <w:pStyle w:val="BodyText"/>
      </w:pPr>
      <w:r>
        <w:t xml:space="preserve">The regulations set by this ordinance within each district shall be minimum regulations and shall apply uniformly to each class or kind of structure or land, and particularly, except as hereinafter provided:</w:t>
      </w:r>
    </w:p>
    <w:p>
      <w:pPr>
        <w:numPr>
          <w:ilvl w:val="0"/>
          <w:numId w:val="1009"/>
        </w:numPr>
      </w:pPr>
      <w:r>
        <w:t xml:space="preserve">(1) No building, structure, or land shall hereafter be used or occupied, and no building or structure or part thereof shall hereafter be erected, constructed, reconstructed, moved, or structurally altered except in conformity with all of the regulations herein specified for the district in which it is located.</w:t>
      </w:r>
    </w:p>
    <w:p>
      <w:pPr>
        <w:numPr>
          <w:ilvl w:val="0"/>
          <w:numId w:val="1010"/>
        </w:numPr>
      </w:pPr>
      <w:r>
        <w:t xml:space="preserve">(2) No building or other structure shall hereafter be erected or altered: (See section 5.5, District Dimensional Regulations)</w:t>
      </w:r>
    </w:p>
    <w:p>
      <w:pPr>
        <w:pStyle w:val="Compact"/>
        <w:numPr>
          <w:ilvl w:val="0"/>
          <w:numId w:val="1011"/>
        </w:numPr>
      </w:pPr>
    </w:p>
    <w:p>
      <w:pPr>
        <w:numPr>
          <w:ilvl w:val="1"/>
          <w:numId w:val="1012"/>
        </w:numPr>
      </w:pPr>
      <w:r>
        <w:t xml:space="preserve">(a) to exceed the height or bulk;</w:t>
      </w:r>
    </w:p>
    <w:p>
      <w:pPr>
        <w:pStyle w:val="Compact"/>
        <w:numPr>
          <w:ilvl w:val="0"/>
          <w:numId w:val="1013"/>
        </w:numPr>
      </w:pPr>
    </w:p>
    <w:p>
      <w:pPr>
        <w:numPr>
          <w:ilvl w:val="1"/>
          <w:numId w:val="1014"/>
        </w:numPr>
      </w:pPr>
      <w:r>
        <w:t xml:space="preserve">(b) to accommodate or house a greater number of families;</w:t>
      </w:r>
    </w:p>
    <w:p>
      <w:pPr>
        <w:pStyle w:val="Compact"/>
        <w:numPr>
          <w:ilvl w:val="0"/>
          <w:numId w:val="1015"/>
        </w:numPr>
      </w:pPr>
    </w:p>
    <w:p>
      <w:pPr>
        <w:numPr>
          <w:ilvl w:val="1"/>
          <w:numId w:val="1016"/>
        </w:numPr>
      </w:pPr>
      <w:r>
        <w:t xml:space="preserve">(c) to occupy a greater percentage of lot area;</w:t>
      </w:r>
    </w:p>
    <w:p>
      <w:pPr>
        <w:pStyle w:val="Compact"/>
        <w:numPr>
          <w:ilvl w:val="0"/>
          <w:numId w:val="1017"/>
        </w:numPr>
      </w:pPr>
    </w:p>
    <w:p>
      <w:pPr>
        <w:numPr>
          <w:ilvl w:val="1"/>
          <w:numId w:val="1018"/>
        </w:numPr>
      </w:pPr>
      <w:r>
        <w:t xml:space="preserve">(d) to have narrower or smaller rear yards, front yards, side yards, or other open spaces than herein required; or in any other manner contrary to the provisions of this ordinance.</w:t>
      </w:r>
    </w:p>
    <w:p>
      <w:pPr>
        <w:numPr>
          <w:ilvl w:val="0"/>
          <w:numId w:val="1019"/>
        </w:numPr>
      </w:pPr>
      <w:r>
        <w:t xml:space="preserve">(3) No part of a yard, or other open space, or off-street parking or loading space required in connection with any building for the purpose of complying with this ordinance, shall be included as part of a yard, open space, or off-street parking or loading space similarly required for any other building.</w:t>
      </w:r>
    </w:p>
    <w:p>
      <w:pPr>
        <w:numPr>
          <w:ilvl w:val="0"/>
          <w:numId w:val="1020"/>
        </w:numPr>
      </w:pPr>
      <w:r>
        <w:t xml:space="preserve">(4) No yard or lot existing at the time of passage of this ordinance shall be reduced in dimension or area below the minimum requirements set forth herein. Yards or lots created after the effective date of this ordinance shall meet at least the minimum requirements established by this ordinance.</w:t>
      </w:r>
    </w:p>
    <w:bookmarkEnd w:id="28"/>
    <w:bookmarkStart w:id="29" w:name="Xce683fd2f4df28fe7bc6b8718d7731e7a5f8f12"/>
    <w:p>
      <w:pPr>
        <w:pStyle w:val="Heading1"/>
      </w:pPr>
      <w:r>
        <w:t xml:space="preserve">§ 4. Nonconforming Lots, Nonconforming Uses of Land, Nonconforming Structures,</w:t>
      </w:r>
    </w:p>
    <w:p>
      <w:pPr>
        <w:pStyle w:val="FirstParagraph"/>
      </w:pPr>
      <w:r>
        <w:t xml:space="preserve">SECTION 4. Nonconforming Lots, Nonconforming Uses of Land, Nonconforming Structures, NONCONFORMING LOTS, NONCONFORMING USES OF LAND, NONCONFORMING STRUCTURES, NONCONFORMING USES OF STRUCTURES AND PREMISES, AND NONCONFORMING CHARACTERISTICS OF USE</w:t>
      </w:r>
    </w:p>
    <w:bookmarkEnd w:id="29"/>
    <w:bookmarkStart w:id="30" w:name="intent"/>
    <w:p>
      <w:pPr>
        <w:pStyle w:val="Heading2"/>
      </w:pPr>
      <w:r>
        <w:t xml:space="preserve">§ 4.1. Intent</w:t>
      </w:r>
    </w:p>
    <w:p>
      <w:pPr>
        <w:pStyle w:val="FirstParagraph"/>
      </w:pPr>
      <w:r>
        <w:t xml:space="preserve">Sec. 4.1. Intent.</w:t>
      </w:r>
    </w:p>
    <w:p>
      <w:pPr>
        <w:pStyle w:val="BodyText"/>
      </w:pPr>
      <w:r>
        <w:t xml:space="preserve">Within the districts established by this ordinance or amendments that may later be adopted there exist:</w:t>
      </w:r>
    </w:p>
    <w:p>
      <w:pPr>
        <w:numPr>
          <w:ilvl w:val="0"/>
          <w:numId w:val="1021"/>
        </w:numPr>
      </w:pPr>
      <w:r>
        <w:t xml:space="preserve">(a) Lots,</w:t>
      </w:r>
    </w:p>
    <w:p>
      <w:pPr>
        <w:numPr>
          <w:ilvl w:val="0"/>
          <w:numId w:val="1000"/>
        </w:numPr>
      </w:pPr>
      <w:r>
        <w:t xml:space="preserve">(b) Structures, (c) Uses of land and structures, and (d) Characteristics of use which were lawful before this ordinance was passed or amended, but which would be prohibited, regulated, or restricted under the terms of this ordinance or future amendment. It is the intent of this ordinance to permit these nonconformities to continue until they are removed, but not to encourage their survival. It is further the intent of this ordinance that nonconformities shall not be enlarged upon, expanded or extended; nor be used as grounds for adding other structures of uses prohibited elsewhere in the same district. This provision shall not apply to the expansion, extension or enlargement of residential structures located in residential districts which expansion, extension or enlargement may be granted by way of special-use permit.</w:t>
      </w:r>
    </w:p>
    <w:p>
      <w:pPr>
        <w:numPr>
          <w:ilvl w:val="0"/>
          <w:numId w:val="1022"/>
        </w:numPr>
      </w:pPr>
      <w:r>
        <w:t xml:space="preserve">Nonconforming uses are declared by this ordinance to be incompatible with permitted uses in the districts involved. A nonconforming use of a structure, a nonconforming use of land, or a nonconforming use of structures and land in combination shall not be extended or enlarged after passage of this ordinance by attachment on a building or premises of additional signs intended to be seen from off the premises, or by the addition of other uses, of a nature which would be prohibited generally in the district involved.</w:t>
      </w:r>
    </w:p>
    <w:p>
      <w:pPr>
        <w:numPr>
          <w:ilvl w:val="0"/>
          <w:numId w:val="1023"/>
        </w:numPr>
      </w:pPr>
      <w:r>
        <w:t xml:space="preserve">To avoid undue hardship, nothing in this ordinance shall be deemed to require a change in the plans, construction, or designated use of any building on which actual construction was lawfully begun prior to the effective date of adoption or amendment of this ordinance and upon which actual building construction has been carried on. Actual building construction is hereby defined to include the placing of construction materials in permanent position and fastened in a permanent manner. Where excavation or demolition or removal of an existing building has been substantially begun preparatory to rebuilding, such excavation or demolition or removal shall be deemed to be actual building construction. All work shall be completed within two (2) years after the passage of this ordinance.</w:t>
      </w:r>
    </w:p>
    <w:bookmarkEnd w:id="30"/>
    <w:bookmarkStart w:id="31" w:name="nonconforming-lots-of-record"/>
    <w:p>
      <w:pPr>
        <w:pStyle w:val="Heading2"/>
      </w:pPr>
      <w:r>
        <w:t xml:space="preserve">§ 4.2. Nonconforming lots of record</w:t>
      </w:r>
    </w:p>
    <w:p>
      <w:pPr>
        <w:pStyle w:val="FirstParagraph"/>
      </w:pPr>
      <w:r>
        <w:t xml:space="preserve">Sec. 4.2. Nonconforming lots of record.</w:t>
      </w:r>
    </w:p>
    <w:p>
      <w:pPr>
        <w:pStyle w:val="BodyText"/>
      </w:pPr>
      <w:r>
        <w:t xml:space="preserve">In any district in which single-family dwellings are permitted, a single-family dwelling and customary accessory buildings (as determined by the Inspector) may be erected on any single-family lot of record, which at the time of its creation was in conformance with the Zoning Ordinance then in effect, notwithstanding limitations imposed by other provisions of this ordinance. Such lot must be in separate ownership and not of continuous frontage with other lots in the same ownership. This provision shall apply even though such lot fails to meet the requirements for area or width or both, that are generally applicable in the district, provided that yard dimensions and requirements other than those applying to area or width, or both, of the lot shall conform to the regulations for the district in which such lot is located. Variance of yard requirements shall be obtained only through action of the Board.</w:t>
      </w:r>
    </w:p>
    <w:p>
      <w:pPr>
        <w:numPr>
          <w:ilvl w:val="0"/>
          <w:numId w:val="1024"/>
        </w:numPr>
      </w:pPr>
      <w:r>
        <w:t xml:space="preserve">4.2.1. Merger of multiple nonconforming lots of record.</w:t>
      </w:r>
    </w:p>
    <w:p>
      <w:pPr>
        <w:numPr>
          <w:ilvl w:val="0"/>
          <w:numId w:val="1025"/>
        </w:numPr>
      </w:pPr>
      <w:r>
        <w:t xml:space="preserve">For lawfully established lots with continuous frontage in single ownership which are located in the REA-120, RA-65, RS-40, and RU-20 zones, if all or part of the lots do not meet the requirements established for lot width, frontage or area, the lots shall be deemed to be merged and shall be considered under this ordinance, as an individual lot and no portion of said lot shall be used or sold in a manner which diminishes compliance with lot width, frontage and area requirements established by this ordinance, nor shall any division of any parcel be made which creates a lot with frontage or area below requirements stated in this ordinance.</w:t>
      </w:r>
    </w:p>
    <w:bookmarkEnd w:id="31"/>
    <w:bookmarkStart w:id="32" w:name="nonconforming-uses-of-land"/>
    <w:p>
      <w:pPr>
        <w:pStyle w:val="Heading2"/>
      </w:pPr>
      <w:r>
        <w:t xml:space="preserve">§ 4.3. Nonconforming uses of land</w:t>
      </w:r>
    </w:p>
    <w:p>
      <w:pPr>
        <w:pStyle w:val="FirstParagraph"/>
      </w:pPr>
      <w:r>
        <w:t xml:space="preserve">Sec. 4.3. Nonconforming uses of land.</w:t>
      </w:r>
    </w:p>
    <w:p>
      <w:pPr>
        <w:pStyle w:val="BodyText"/>
      </w:pPr>
      <w:r>
        <w:t xml:space="preserve">Where at the time of passage of this ordinance lawful use of land exists which would not be permitted by the regulations imposed by this ordinance, the use may be continued so long as it remains otherwise lawful, provided:</w:t>
      </w:r>
    </w:p>
    <w:p>
      <w:pPr>
        <w:numPr>
          <w:ilvl w:val="0"/>
          <w:numId w:val="1026"/>
        </w:numPr>
      </w:pPr>
      <w:r>
        <w:t xml:space="preserve">(a) No such nonconforming use shall be enlarged or increased, nor extended to occupy a greater area of land than was occupied at the effective date of adoption or amendment of this ordinance;</w:t>
      </w:r>
    </w:p>
    <w:p>
      <w:pPr>
        <w:numPr>
          <w:ilvl w:val="0"/>
          <w:numId w:val="1027"/>
        </w:numPr>
      </w:pPr>
      <w:r>
        <w:t xml:space="preserve">(b) No such nonconforming use shall be moved in whole or in part to any portion of the lot or parcel other than that occupied by such use at the effective date of adoption or amendment of this ordinance;</w:t>
      </w:r>
    </w:p>
    <w:p>
      <w:pPr>
        <w:numPr>
          <w:ilvl w:val="0"/>
          <w:numId w:val="1028"/>
        </w:numPr>
      </w:pPr>
      <w:r>
        <w:t xml:space="preserve">(c) Abandonment of a nonconforming use shall consist of some overt act, or failure to act, which would lead one to believe that the owner of the nonconforming use neither claims nor retains any interest in continuing the nonconforming use unless said owner can demonstrate an intent not to abandon the use. An involuntary interruption of nonconforming use, such as by fire and natural catastrophe does not establish the intent to abandon the nonconforming use. However, if any nonconforming use is halted for a period of one (1) year, the owner of such nonconforming use will be presumed to have abandoned such nonconforming use, unless such presumption is rebutted by presentation of sufficient evidence of intent not to abandon the use.</w:t>
      </w:r>
    </w:p>
    <w:p>
      <w:pPr>
        <w:numPr>
          <w:ilvl w:val="0"/>
          <w:numId w:val="1029"/>
        </w:numPr>
      </w:pPr>
      <w:r>
        <w:t xml:space="preserve">(d) No additional structure not conforming to the requirements of this ordinance shall be erected in connection with such nonconforming use of land.</w:t>
      </w:r>
    </w:p>
    <w:bookmarkEnd w:id="32"/>
    <w:bookmarkStart w:id="33" w:name="nonconforming-structures"/>
    <w:p>
      <w:pPr>
        <w:pStyle w:val="Heading2"/>
      </w:pPr>
      <w:r>
        <w:t xml:space="preserve">§ 4.4. Nonconforming structures</w:t>
      </w:r>
    </w:p>
    <w:p>
      <w:pPr>
        <w:pStyle w:val="FirstParagraph"/>
      </w:pPr>
      <w:r>
        <w:t xml:space="preserve">Sec. 4.4. Nonconforming structures.</w:t>
      </w:r>
    </w:p>
    <w:p>
      <w:pPr>
        <w:pStyle w:val="BodyText"/>
      </w:pPr>
      <w:r>
        <w:t xml:space="preserve">Where a lawful structure exists at the effective date of adoption or amendment of this ordinance that could not be built under the terms of this ordinance by reason of restrictions on areas, lot coverage, height, yards, its location on the lot, or other dimensional requirements concerning the structure, such structure may be continued, so long as it remains otherwise lawful, subject to the following provisions:</w:t>
      </w:r>
    </w:p>
    <w:p>
      <w:pPr>
        <w:numPr>
          <w:ilvl w:val="0"/>
          <w:numId w:val="1030"/>
        </w:numPr>
      </w:pPr>
      <w:r>
        <w:t xml:space="preserve">(a) No such nonconforming structure may be enlarged or altered in a way which increases its nonconformity but any structure or portion thereof may be altered to decrease its nonconformity.</w:t>
      </w:r>
    </w:p>
    <w:p>
      <w:pPr>
        <w:numPr>
          <w:ilvl w:val="0"/>
          <w:numId w:val="1031"/>
        </w:numPr>
      </w:pPr>
      <w:r>
        <w:t xml:space="preserve">(b) An involuntary interruption of a nonconforming structure, such as by fire and natural catastrophe does not establish the intent to abandon the nonconforming structure.</w:t>
      </w:r>
    </w:p>
    <w:p>
      <w:pPr>
        <w:numPr>
          <w:ilvl w:val="0"/>
          <w:numId w:val="1032"/>
        </w:numPr>
      </w:pPr>
      <w:r>
        <w:t xml:space="preserve">However, if any nonconforming structure is vacant for a period of one (1) year, the owner of such nonconforming structure will be presumed to have abandoned such nonconforming structure, unless such presumption is rebutted by presentation of sufficient evidence of intent not to abandon the structure.</w:t>
      </w:r>
    </w:p>
    <w:p>
      <w:pPr>
        <w:numPr>
          <w:ilvl w:val="0"/>
          <w:numId w:val="1033"/>
        </w:numPr>
      </w:pPr>
      <w:r>
        <w:t xml:space="preserve">(c) Should such structure be moved for any reason for any distance whatever, it shall thereafter conform to the regulations for the district in which it is located after it is moved.</w:t>
      </w:r>
    </w:p>
    <w:bookmarkEnd w:id="33"/>
    <w:bookmarkStart w:id="34" w:name="X887026face11b43d20f9f80c68f0e7a6b9b52cc"/>
    <w:p>
      <w:pPr>
        <w:pStyle w:val="Heading2"/>
      </w:pPr>
      <w:r>
        <w:t xml:space="preserve">§ 4.5. Nonconforming uses of structures or of structures and premises in combination</w:t>
      </w:r>
    </w:p>
    <w:p>
      <w:pPr>
        <w:pStyle w:val="FirstParagraph"/>
      </w:pPr>
      <w:r>
        <w:t xml:space="preserve">Sec. 4.5. Nonconforming uses of structures or of structures and premises in combination.</w:t>
      </w:r>
    </w:p>
    <w:p>
      <w:pPr>
        <w:pStyle w:val="BodyText"/>
      </w:pPr>
      <w:r>
        <w:t xml:space="preserve">If lawful use involving individual structures or of structure and premises, in combination, exists at the effective date of adoption or amendment of this ordinance, that would not be allowed in the district under the terms of this ordinance, the lawful use may be continued so long as it remains otherwise lawful, subject to the following provisions:</w:t>
      </w:r>
    </w:p>
    <w:p>
      <w:pPr>
        <w:numPr>
          <w:ilvl w:val="0"/>
          <w:numId w:val="1034"/>
        </w:numPr>
      </w:pPr>
      <w:r>
        <w:t xml:space="preserve">(a) No existing structure devoted to a use not permitted by this ordinance in the district in which it is located shall be enlarged, extended, constructed, reconstructed, moved, or structurally altered except in changing the use of the structure to a use permitted in the district in which it is located. Alterations to remove code violations shall be permitted.</w:t>
      </w:r>
    </w:p>
    <w:p>
      <w:pPr>
        <w:numPr>
          <w:ilvl w:val="0"/>
          <w:numId w:val="1035"/>
        </w:numPr>
      </w:pPr>
      <w:r>
        <w:t xml:space="preserve">(b) Any nonconforming use may be extended throughout any parts of a building which were manifestly arranged or designed for such use at the time of adoption or amendment of this ordinance, but no such use shall be extended to occupy any land outside such building;</w:t>
      </w:r>
    </w:p>
    <w:p>
      <w:pPr>
        <w:numPr>
          <w:ilvl w:val="0"/>
          <w:numId w:val="1036"/>
        </w:numPr>
      </w:pPr>
      <w:r>
        <w:t xml:space="preserve">(c) If no structural alterations are made, any nonconforming use of a structure, or structure and premises, may as a special-use permit be changed to another nonconforming use provided that the Board, or by making findings of fact in the specific case, shall find that the proposed use is equally appropriate or more appropriate to the district than the existing nonconforming use. In permitting such change, the Board may require appropriate conditions and safeguards in accord with the provisions of this ordinance.</w:t>
      </w:r>
    </w:p>
    <w:p>
      <w:pPr>
        <w:numPr>
          <w:ilvl w:val="0"/>
          <w:numId w:val="1037"/>
        </w:numPr>
      </w:pPr>
      <w:r>
        <w:t xml:space="preserve">(d) Any structure, or structure and land in combination, in or on which a nonconforming use is superseded by a permitted use, shall thereafter conform to the regulations for the district, and the nonconforming use may not thereafter be resumed;</w:t>
      </w:r>
    </w:p>
    <w:p>
      <w:pPr>
        <w:numPr>
          <w:ilvl w:val="0"/>
          <w:numId w:val="1038"/>
        </w:numPr>
      </w:pPr>
      <w:r>
        <w:t xml:space="preserve">(e) When a nonconforming use of a structure, or structure and premises in combination, is discontinued or abandoned as in section 4.3(c), the structure, or structure and premises in combination, shall not thereafter be used except in conformity with the regulations of the district in which it is located;</w:t>
      </w:r>
    </w:p>
    <w:p>
      <w:pPr>
        <w:numPr>
          <w:ilvl w:val="0"/>
          <w:numId w:val="1039"/>
        </w:numPr>
      </w:pPr>
      <w:r>
        <w:t xml:space="preserve">(f) Where nonconforming use status applies to a structure and premises in combination, voluntary removal or destruction of the structure shall eliminate the nonconforming status of the land. Destruction for the purpose of this subsection is defined as damage to an extent of more than ninety (90) percent of the replacement cost at time of destruction.</w:t>
      </w:r>
    </w:p>
    <w:bookmarkEnd w:id="34"/>
    <w:bookmarkStart w:id="35" w:name="X7a466f2266002b7fef9ff9641d2742e0b2ca4fb"/>
    <w:p>
      <w:pPr>
        <w:pStyle w:val="Heading2"/>
      </w:pPr>
      <w:r>
        <w:t xml:space="preserve">§ 4.6. Repairs and maintenance of nonconforming structures</w:t>
      </w:r>
    </w:p>
    <w:p>
      <w:pPr>
        <w:pStyle w:val="FirstParagraph"/>
      </w:pPr>
      <w:r>
        <w:t xml:space="preserve">Sec. 4.6. Repairs and maintenance of nonconforming structures.</w:t>
      </w:r>
    </w:p>
    <w:p>
      <w:pPr>
        <w:pStyle w:val="BodyText"/>
      </w:pPr>
      <w:r>
        <w:t xml:space="preserve">On any nonconforming structure or portion of a structure containing a nonconforming use, work may be done in any period of twelve (12) consecutive months on ordinary repairs, or on repair or replacement of nonbearing walls, fixtures, wiring, or plumbing, to an extent not exceeding ten (10) percent of the current replacement cost of the nonconforming structure or nonconforming portion of the structure as the case may be, provided that the cubic content existing when it became nonconforming shall not be increased.</w:t>
      </w:r>
    </w:p>
    <w:p>
      <w:pPr>
        <w:pStyle w:val="BodyText"/>
      </w:pPr>
      <w:r>
        <w:t xml:space="preserve">Nothing in this ordinance shall be deemed to prevent the performance of normal repair or maintenance work or work necessary to comply with safety codes on a legal nonconforming use or structure.</w:t>
      </w:r>
    </w:p>
    <w:bookmarkEnd w:id="35"/>
    <w:bookmarkStart w:id="36" w:name="X25a96bfc3775e2488b7c0c9de997375ade64fea"/>
    <w:p>
      <w:pPr>
        <w:pStyle w:val="Heading2"/>
      </w:pPr>
      <w:r>
        <w:t xml:space="preserve">§ 4.7. Uses under special-use permit and variance provisions not nonconforming uses</w:t>
      </w:r>
    </w:p>
    <w:p>
      <w:pPr>
        <w:pStyle w:val="FirstParagraph"/>
      </w:pPr>
      <w:r>
        <w:t xml:space="preserve">Sec. 4.7. Uses under special-use permit and variance provisions not nonconforming uses.</w:t>
      </w:r>
    </w:p>
    <w:p>
      <w:pPr>
        <w:pStyle w:val="BodyText"/>
      </w:pPr>
      <w:r>
        <w:t xml:space="preserve">Any use which has been or is permitted by special-use permit or variance in a district under the terms of this ordinance (other than a change through Board action from a nonconforming use to another use not generally permitted in the district) shall not be deemed a nonconforming use in such district, but shall without further action be considered a use by special-use permit or a use by variance and shall require further action of the Board for any changes in uses.</w:t>
      </w:r>
    </w:p>
    <w:bookmarkEnd w:id="36"/>
    <w:bookmarkStart w:id="37" w:name="district-use-regulations"/>
    <w:p>
      <w:pPr>
        <w:pStyle w:val="Heading1"/>
      </w:pPr>
      <w:r>
        <w:t xml:space="preserve">§ 5. District Use Regulations</w:t>
      </w:r>
    </w:p>
    <w:p>
      <w:pPr>
        <w:pStyle w:val="FirstParagraph"/>
      </w:pPr>
      <w:r>
        <w:t xml:space="preserve">SECTION 5. District Use Regulations DISTRICT USE REGULATIONS</w:t>
      </w:r>
    </w:p>
    <w:bookmarkEnd w:id="37"/>
    <w:bookmarkStart w:id="38" w:name="establishment-of-districts"/>
    <w:p>
      <w:pPr>
        <w:pStyle w:val="Heading2"/>
      </w:pPr>
      <w:r>
        <w:t xml:space="preserve">§ 5.1. Establishment of Districts</w:t>
      </w:r>
    </w:p>
    <w:p>
      <w:pPr>
        <w:pStyle w:val="FirstParagraph"/>
      </w:pPr>
      <w:r>
        <w:t xml:space="preserve">Sec. 5.1. Establishment of Districts.</w:t>
      </w:r>
    </w:p>
    <w:p>
      <w:pPr>
        <w:pStyle w:val="BodyText"/>
      </w:pPr>
      <w:r>
        <w:t xml:space="preserve">For the purpose of this ordinance, the Town of North Smithfield is hereby divided into the following eleven (11) zoning districts:</w:t>
      </w:r>
    </w:p>
    <w:tbl>
      <w:tblPr>
        <w:tblStyle w:val="Table"/>
        <w:tblW w:type="auto" w:w="0"/>
        <w:jc w:val="left"/>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t xml:space="preserve">District</w:t>
            </w:r>
          </w:p>
        </w:tc>
        <w:tc>
          <w:tcPr/>
          <w:p>
            <w:pPr>
              <w:pStyle w:val="Compact"/>
            </w:pPr>
          </w:p>
        </w:tc>
        <w:tc>
          <w:tcPr/>
          <w:p>
            <w:pPr>
              <w:pStyle w:val="Compact"/>
            </w:pPr>
          </w:p>
        </w:tc>
        <w:tc>
          <w:tcPr/>
          <w:p>
            <w:pPr>
              <w:pStyle w:val="Compact"/>
              <w:jc w:val="left"/>
            </w:pPr>
            <w:r>
              <w:t xml:space="preserve">Symbol</w:t>
            </w:r>
          </w:p>
        </w:tc>
        <w:tc>
          <w:tcPr/>
          <w:p>
            <w:pPr>
              <w:pStyle w:val="Compact"/>
            </w:pPr>
          </w:p>
        </w:tc>
        <w:tc>
          <w:tcPr/>
          <w:p>
            <w:pPr>
              <w:pStyle w:val="Compact"/>
            </w:pPr>
          </w:p>
        </w:tc>
        <w:tc>
          <w:tcPr/>
          <w:p>
            <w:pPr>
              <w:pStyle w:val="Compact"/>
              <w:jc w:val="left"/>
            </w:pPr>
            <w:r>
              <w:t xml:space="preserve">Description</w:t>
            </w:r>
          </w:p>
        </w:tc>
        <w:tc>
          <w:tcPr/>
          <w:p>
            <w:pPr>
              <w:pStyle w:val="Compact"/>
            </w:pPr>
          </w:p>
        </w:tc>
      </w:tr>
      <w:tr>
        <w:tc>
          <w:tcPr/>
          <w:p>
            <w:pPr>
              <w:pStyle w:val="Compact"/>
              <w:jc w:val="left"/>
            </w:pPr>
            <w:r>
              <w:t xml:space="preserve">Residential</w:t>
            </w:r>
          </w:p>
        </w:tc>
        <w:tc>
          <w:tcPr/>
          <w:p>
            <w:pPr>
              <w:pStyle w:val="Compact"/>
            </w:pPr>
          </w:p>
        </w:tc>
        <w:tc>
          <w:tcPr/>
          <w:p>
            <w:pPr>
              <w:pStyle w:val="Compact"/>
            </w:pPr>
          </w:p>
        </w:tc>
        <w:tc>
          <w:tcPr/>
          <w:p>
            <w:pPr>
              <w:pStyle w:val="Compact"/>
              <w:jc w:val="left"/>
            </w:pPr>
            <w:r>
              <w:t xml:space="preserve">REA</w:t>
            </w:r>
          </w:p>
        </w:tc>
        <w:tc>
          <w:tcPr/>
          <w:p>
            <w:pPr>
              <w:pStyle w:val="Compact"/>
            </w:pPr>
          </w:p>
        </w:tc>
        <w:tc>
          <w:tcPr/>
          <w:p>
            <w:pPr>
              <w:pStyle w:val="Compact"/>
            </w:pPr>
          </w:p>
        </w:tc>
        <w:tc>
          <w:tcPr/>
          <w:p>
            <w:pPr>
              <w:pStyle w:val="Compact"/>
              <w:jc w:val="left"/>
            </w:pPr>
            <w:r>
              <w:t xml:space="preserve">Rural Estate Agricultural</w:t>
            </w:r>
          </w:p>
        </w:tc>
        <w:tc>
          <w:tcPr/>
          <w:p>
            <w:pPr>
              <w:pStyle w:val="Compact"/>
            </w:pPr>
          </w:p>
        </w:tc>
      </w:tr>
      <w:tr>
        <w:tc>
          <w:tcPr/>
          <w:p>
            <w:pPr>
              <w:pStyle w:val="Compact"/>
              <w:jc w:val="left"/>
            </w:pPr>
            <w:r>
              <w:t xml:space="preserve">Residential</w:t>
            </w:r>
          </w:p>
        </w:tc>
        <w:tc>
          <w:tcPr/>
          <w:p>
            <w:pPr>
              <w:pStyle w:val="Compact"/>
            </w:pPr>
          </w:p>
        </w:tc>
        <w:tc>
          <w:tcPr/>
          <w:p>
            <w:pPr>
              <w:pStyle w:val="Compact"/>
            </w:pPr>
          </w:p>
        </w:tc>
        <w:tc>
          <w:tcPr/>
          <w:p>
            <w:pPr>
              <w:pStyle w:val="Compact"/>
              <w:jc w:val="left"/>
            </w:pPr>
            <w:r>
              <w:t xml:space="preserve">RA</w:t>
            </w:r>
          </w:p>
        </w:tc>
        <w:tc>
          <w:tcPr/>
          <w:p>
            <w:pPr>
              <w:pStyle w:val="Compact"/>
            </w:pPr>
          </w:p>
        </w:tc>
        <w:tc>
          <w:tcPr/>
          <w:p>
            <w:pPr>
              <w:pStyle w:val="Compact"/>
            </w:pPr>
          </w:p>
        </w:tc>
        <w:tc>
          <w:tcPr/>
          <w:p>
            <w:pPr>
              <w:pStyle w:val="Compact"/>
              <w:jc w:val="left"/>
            </w:pPr>
            <w:r>
              <w:t xml:space="preserve">Rural Agricultural</w:t>
            </w:r>
          </w:p>
        </w:tc>
        <w:tc>
          <w:tcPr/>
          <w:p>
            <w:pPr>
              <w:pStyle w:val="Compact"/>
            </w:pPr>
          </w:p>
        </w:tc>
      </w:tr>
      <w:tr>
        <w:tc>
          <w:tcPr/>
          <w:p>
            <w:pPr>
              <w:pStyle w:val="Compact"/>
              <w:jc w:val="left"/>
            </w:pPr>
            <w:r>
              <w:t xml:space="preserve">Residential</w:t>
            </w:r>
          </w:p>
        </w:tc>
        <w:tc>
          <w:tcPr/>
          <w:p>
            <w:pPr>
              <w:pStyle w:val="Compact"/>
            </w:pPr>
          </w:p>
        </w:tc>
        <w:tc>
          <w:tcPr/>
          <w:p>
            <w:pPr>
              <w:pStyle w:val="Compact"/>
            </w:pPr>
          </w:p>
        </w:tc>
        <w:tc>
          <w:tcPr/>
          <w:p>
            <w:pPr>
              <w:pStyle w:val="Compact"/>
              <w:jc w:val="left"/>
            </w:pPr>
            <w:r>
              <w:t xml:space="preserve">RS</w:t>
            </w:r>
          </w:p>
        </w:tc>
        <w:tc>
          <w:tcPr/>
          <w:p>
            <w:pPr>
              <w:pStyle w:val="Compact"/>
            </w:pPr>
          </w:p>
        </w:tc>
        <w:tc>
          <w:tcPr/>
          <w:p>
            <w:pPr>
              <w:pStyle w:val="Compact"/>
            </w:pPr>
          </w:p>
        </w:tc>
        <w:tc>
          <w:tcPr/>
          <w:p>
            <w:pPr>
              <w:pStyle w:val="Compact"/>
              <w:jc w:val="left"/>
            </w:pPr>
            <w:r>
              <w:t xml:space="preserve">Residential - Suburban</w:t>
            </w:r>
          </w:p>
        </w:tc>
        <w:tc>
          <w:tcPr/>
          <w:p>
            <w:pPr>
              <w:pStyle w:val="Compact"/>
            </w:pPr>
          </w:p>
        </w:tc>
      </w:tr>
      <w:tr>
        <w:tc>
          <w:tcPr/>
          <w:p>
            <w:pPr>
              <w:pStyle w:val="Compact"/>
              <w:jc w:val="left"/>
            </w:pPr>
            <w:r>
              <w:t xml:space="preserve">Residential</w:t>
            </w:r>
          </w:p>
        </w:tc>
        <w:tc>
          <w:tcPr/>
          <w:p>
            <w:pPr>
              <w:pStyle w:val="Compact"/>
            </w:pPr>
          </w:p>
        </w:tc>
        <w:tc>
          <w:tcPr/>
          <w:p>
            <w:pPr>
              <w:pStyle w:val="Compact"/>
            </w:pPr>
          </w:p>
        </w:tc>
        <w:tc>
          <w:tcPr/>
          <w:p>
            <w:pPr>
              <w:pStyle w:val="Compact"/>
              <w:jc w:val="left"/>
            </w:pPr>
            <w:r>
              <w:t xml:space="preserve">RU</w:t>
            </w:r>
          </w:p>
        </w:tc>
        <w:tc>
          <w:tcPr/>
          <w:p>
            <w:pPr>
              <w:pStyle w:val="Compact"/>
            </w:pPr>
          </w:p>
        </w:tc>
        <w:tc>
          <w:tcPr/>
          <w:p>
            <w:pPr>
              <w:pStyle w:val="Compact"/>
            </w:pPr>
          </w:p>
        </w:tc>
        <w:tc>
          <w:tcPr/>
          <w:p>
            <w:pPr>
              <w:pStyle w:val="Compact"/>
              <w:jc w:val="left"/>
            </w:pPr>
            <w:r>
              <w:t xml:space="preserve">Residential - Urban</w:t>
            </w:r>
          </w:p>
        </w:tc>
        <w:tc>
          <w:tcPr/>
          <w:p>
            <w:pPr>
              <w:pStyle w:val="Compact"/>
            </w:pPr>
          </w:p>
        </w:tc>
      </w:tr>
      <w:tr>
        <w:tc>
          <w:tcPr/>
          <w:p>
            <w:pPr>
              <w:pStyle w:val="Compact"/>
              <w:jc w:val="left"/>
            </w:pPr>
            <w:r>
              <w:t xml:space="preserve">Business</w:t>
            </w:r>
          </w:p>
        </w:tc>
        <w:tc>
          <w:tcPr/>
          <w:p>
            <w:pPr>
              <w:pStyle w:val="Compact"/>
            </w:pPr>
          </w:p>
        </w:tc>
        <w:tc>
          <w:tcPr/>
          <w:p>
            <w:pPr>
              <w:pStyle w:val="Compact"/>
            </w:pPr>
          </w:p>
        </w:tc>
        <w:tc>
          <w:tcPr/>
          <w:p>
            <w:pPr>
              <w:pStyle w:val="Compact"/>
              <w:jc w:val="left"/>
            </w:pPr>
            <w:r>
              <w:t xml:space="preserve">BN</w:t>
            </w:r>
          </w:p>
        </w:tc>
        <w:tc>
          <w:tcPr/>
          <w:p>
            <w:pPr>
              <w:pStyle w:val="Compact"/>
            </w:pPr>
          </w:p>
        </w:tc>
        <w:tc>
          <w:tcPr/>
          <w:p>
            <w:pPr>
              <w:pStyle w:val="Compact"/>
            </w:pPr>
          </w:p>
        </w:tc>
        <w:tc>
          <w:tcPr/>
          <w:p>
            <w:pPr>
              <w:pStyle w:val="Compact"/>
              <w:jc w:val="left"/>
            </w:pPr>
            <w:r>
              <w:t xml:space="preserve">Business - Neighborhood</w:t>
            </w:r>
          </w:p>
        </w:tc>
        <w:tc>
          <w:tcPr/>
          <w:p>
            <w:pPr>
              <w:pStyle w:val="Compact"/>
            </w:pPr>
          </w:p>
        </w:tc>
      </w:tr>
      <w:tr>
        <w:tc>
          <w:tcPr/>
          <w:p>
            <w:pPr>
              <w:pStyle w:val="Compact"/>
              <w:jc w:val="left"/>
            </w:pPr>
            <w:r>
              <w:t xml:space="preserve">Business</w:t>
            </w:r>
          </w:p>
        </w:tc>
        <w:tc>
          <w:tcPr/>
          <w:p>
            <w:pPr>
              <w:pStyle w:val="Compact"/>
            </w:pPr>
          </w:p>
        </w:tc>
        <w:tc>
          <w:tcPr/>
          <w:p>
            <w:pPr>
              <w:pStyle w:val="Compact"/>
            </w:pPr>
          </w:p>
        </w:tc>
        <w:tc>
          <w:tcPr/>
          <w:p>
            <w:pPr>
              <w:pStyle w:val="Compact"/>
              <w:jc w:val="left"/>
            </w:pPr>
            <w:r>
              <w:t xml:space="preserve">BH</w:t>
            </w:r>
          </w:p>
        </w:tc>
        <w:tc>
          <w:tcPr/>
          <w:p>
            <w:pPr>
              <w:pStyle w:val="Compact"/>
            </w:pPr>
          </w:p>
        </w:tc>
        <w:tc>
          <w:tcPr/>
          <w:p>
            <w:pPr>
              <w:pStyle w:val="Compact"/>
            </w:pPr>
          </w:p>
        </w:tc>
        <w:tc>
          <w:tcPr/>
          <w:p>
            <w:pPr>
              <w:pStyle w:val="Compact"/>
              <w:jc w:val="left"/>
            </w:pPr>
            <w:r>
              <w:t xml:space="preserve">Business - Highway</w:t>
            </w:r>
          </w:p>
        </w:tc>
        <w:tc>
          <w:tcPr/>
          <w:p>
            <w:pPr>
              <w:pStyle w:val="Compact"/>
            </w:pPr>
          </w:p>
        </w:tc>
      </w:tr>
      <w:tr>
        <w:tc>
          <w:tcPr/>
          <w:p>
            <w:pPr>
              <w:pStyle w:val="Compact"/>
              <w:jc w:val="left"/>
            </w:pPr>
            <w:r>
              <w:t xml:space="preserve">Business</w:t>
            </w:r>
          </w:p>
        </w:tc>
        <w:tc>
          <w:tcPr/>
          <w:p>
            <w:pPr>
              <w:pStyle w:val="Compact"/>
            </w:pPr>
          </w:p>
        </w:tc>
        <w:tc>
          <w:tcPr/>
          <w:p>
            <w:pPr>
              <w:pStyle w:val="Compact"/>
            </w:pPr>
          </w:p>
        </w:tc>
        <w:tc>
          <w:tcPr/>
          <w:p>
            <w:pPr>
              <w:pStyle w:val="Compact"/>
              <w:jc w:val="left"/>
            </w:pPr>
            <w:r>
              <w:t xml:space="preserve">LC</w:t>
            </w:r>
          </w:p>
        </w:tc>
        <w:tc>
          <w:tcPr/>
          <w:p>
            <w:pPr>
              <w:pStyle w:val="Compact"/>
            </w:pPr>
          </w:p>
        </w:tc>
        <w:tc>
          <w:tcPr/>
          <w:p>
            <w:pPr>
              <w:pStyle w:val="Compact"/>
            </w:pPr>
          </w:p>
        </w:tc>
        <w:tc>
          <w:tcPr/>
          <w:p>
            <w:pPr>
              <w:pStyle w:val="Compact"/>
              <w:jc w:val="left"/>
            </w:pPr>
            <w:r>
              <w:t xml:space="preserve">Limited Commercial</w:t>
            </w:r>
          </w:p>
        </w:tc>
        <w:tc>
          <w:tcPr/>
          <w:p>
            <w:pPr>
              <w:pStyle w:val="Compact"/>
            </w:pPr>
          </w:p>
        </w:tc>
      </w:tr>
      <w:tr>
        <w:tc>
          <w:tcPr/>
          <w:p>
            <w:pPr>
              <w:pStyle w:val="Compact"/>
              <w:jc w:val="left"/>
            </w:pPr>
            <w:r>
              <w:t xml:space="preserve">Mixed Use</w:t>
            </w:r>
          </w:p>
        </w:tc>
        <w:tc>
          <w:tcPr/>
          <w:p>
            <w:pPr>
              <w:pStyle w:val="Compact"/>
            </w:pPr>
          </w:p>
        </w:tc>
        <w:tc>
          <w:tcPr/>
          <w:p>
            <w:pPr>
              <w:pStyle w:val="Compact"/>
            </w:pPr>
          </w:p>
        </w:tc>
        <w:tc>
          <w:tcPr/>
          <w:p>
            <w:pPr>
              <w:pStyle w:val="Compact"/>
              <w:jc w:val="left"/>
            </w:pPr>
            <w:r>
              <w:t xml:space="preserve">MU-1</w:t>
            </w:r>
          </w:p>
        </w:tc>
        <w:tc>
          <w:tcPr/>
          <w:p>
            <w:pPr>
              <w:pStyle w:val="Compact"/>
            </w:pPr>
          </w:p>
        </w:tc>
        <w:tc>
          <w:tcPr/>
          <w:p>
            <w:pPr>
              <w:pStyle w:val="Compact"/>
            </w:pPr>
          </w:p>
        </w:tc>
        <w:tc>
          <w:tcPr/>
          <w:p>
            <w:pPr>
              <w:pStyle w:val="Compact"/>
              <w:jc w:val="left"/>
            </w:pPr>
            <w:r>
              <w:t xml:space="preserve">Mixed Use - Commercial</w:t>
            </w:r>
          </w:p>
        </w:tc>
        <w:tc>
          <w:tcPr/>
          <w:p>
            <w:pPr>
              <w:pStyle w:val="Compact"/>
            </w:pPr>
          </w:p>
        </w:tc>
      </w:tr>
      <w:tr>
        <w:tc>
          <w:tcPr/>
          <w:p>
            <w:pPr>
              <w:pStyle w:val="Compact"/>
              <w:jc w:val="left"/>
            </w:pPr>
            <w:r>
              <w:t xml:space="preserve">Mixed Use</w:t>
            </w:r>
          </w:p>
        </w:tc>
        <w:tc>
          <w:tcPr/>
          <w:p>
            <w:pPr>
              <w:pStyle w:val="Compact"/>
            </w:pPr>
          </w:p>
        </w:tc>
        <w:tc>
          <w:tcPr/>
          <w:p>
            <w:pPr>
              <w:pStyle w:val="Compact"/>
            </w:pPr>
          </w:p>
        </w:tc>
        <w:tc>
          <w:tcPr/>
          <w:p>
            <w:pPr>
              <w:pStyle w:val="Compact"/>
              <w:jc w:val="left"/>
            </w:pPr>
            <w:r>
              <w:t xml:space="preserve">MU-2</w:t>
            </w:r>
          </w:p>
        </w:tc>
        <w:tc>
          <w:tcPr/>
          <w:p>
            <w:pPr>
              <w:pStyle w:val="Compact"/>
            </w:pPr>
          </w:p>
        </w:tc>
        <w:tc>
          <w:tcPr/>
          <w:p>
            <w:pPr>
              <w:pStyle w:val="Compact"/>
            </w:pPr>
          </w:p>
        </w:tc>
        <w:tc>
          <w:tcPr/>
          <w:p>
            <w:pPr>
              <w:pStyle w:val="Compact"/>
              <w:jc w:val="left"/>
            </w:pPr>
            <w:r>
              <w:t xml:space="preserve">Mixed Use – Industrial</w:t>
            </w:r>
          </w:p>
        </w:tc>
        <w:tc>
          <w:tcPr/>
          <w:p>
            <w:pPr>
              <w:pStyle w:val="Compact"/>
            </w:pPr>
          </w:p>
        </w:tc>
      </w:tr>
      <w:tr>
        <w:tc>
          <w:tcPr/>
          <w:p>
            <w:pPr>
              <w:pStyle w:val="Compact"/>
              <w:jc w:val="left"/>
            </w:pPr>
            <w:r>
              <w:t xml:space="preserve">Manufacturing</w:t>
            </w:r>
          </w:p>
        </w:tc>
        <w:tc>
          <w:tcPr/>
          <w:p>
            <w:pPr>
              <w:pStyle w:val="Compact"/>
            </w:pPr>
          </w:p>
        </w:tc>
        <w:tc>
          <w:tcPr/>
          <w:p>
            <w:pPr>
              <w:pStyle w:val="Compact"/>
            </w:pPr>
          </w:p>
        </w:tc>
        <w:tc>
          <w:tcPr/>
          <w:p>
            <w:pPr>
              <w:pStyle w:val="Compact"/>
              <w:jc w:val="left"/>
            </w:pPr>
            <w:r>
              <w:t xml:space="preserve">M</w:t>
            </w:r>
          </w:p>
        </w:tc>
        <w:tc>
          <w:tcPr/>
          <w:p>
            <w:pPr>
              <w:pStyle w:val="Compact"/>
            </w:pPr>
          </w:p>
        </w:tc>
        <w:tc>
          <w:tcPr/>
          <w:p>
            <w:pPr>
              <w:pStyle w:val="Compact"/>
            </w:pPr>
          </w:p>
        </w:tc>
        <w:tc>
          <w:tcPr/>
          <w:p>
            <w:pPr>
              <w:pStyle w:val="Compact"/>
              <w:jc w:val="left"/>
            </w:pPr>
            <w:r>
              <w:t xml:space="preserve">Manufacturing</w:t>
            </w:r>
          </w:p>
        </w:tc>
        <w:tc>
          <w:tcPr/>
          <w:p>
            <w:pPr>
              <w:pStyle w:val="Compact"/>
            </w:pPr>
          </w:p>
        </w:tc>
      </w:tr>
      <w:tr>
        <w:tc>
          <w:tcPr/>
          <w:p>
            <w:pPr>
              <w:pStyle w:val="Compact"/>
              <w:jc w:val="left"/>
            </w:pPr>
            <w:r>
              <w:t xml:space="preserve">Open Space</w:t>
            </w:r>
          </w:p>
        </w:tc>
        <w:tc>
          <w:tcPr/>
          <w:p>
            <w:pPr>
              <w:pStyle w:val="Compact"/>
            </w:pPr>
          </w:p>
        </w:tc>
        <w:tc>
          <w:tcPr/>
          <w:p>
            <w:pPr>
              <w:pStyle w:val="Compact"/>
            </w:pPr>
          </w:p>
        </w:tc>
        <w:tc>
          <w:tcPr/>
          <w:p>
            <w:pPr>
              <w:pStyle w:val="Compact"/>
              <w:jc w:val="left"/>
            </w:pPr>
            <w:r>
              <w:t xml:space="preserve">OS</w:t>
            </w:r>
          </w:p>
        </w:tc>
        <w:tc>
          <w:tcPr/>
          <w:p>
            <w:pPr>
              <w:pStyle w:val="Compact"/>
            </w:pPr>
          </w:p>
        </w:tc>
        <w:tc>
          <w:tcPr/>
          <w:p>
            <w:pPr>
              <w:pStyle w:val="Compact"/>
            </w:pPr>
          </w:p>
        </w:tc>
        <w:tc>
          <w:tcPr/>
          <w:p>
            <w:pPr>
              <w:pStyle w:val="Compact"/>
              <w:jc w:val="left"/>
            </w:pPr>
            <w:r>
              <w:t xml:space="preserve">Open Space</w:t>
            </w:r>
          </w:p>
        </w:tc>
        <w:tc>
          <w:tcPr/>
          <w:p>
            <w:pPr>
              <w:pStyle w:val="Compact"/>
            </w:pPr>
          </w:p>
        </w:tc>
      </w:tr>
      <w:tr>
        <w:tc>
          <w:tcPr/>
          <w:p>
            <w:pPr>
              <w:pStyle w:val="Compact"/>
              <w:jc w:val="left"/>
            </w:pPr>
            <w:r>
              <w:t xml:space="preserve">Additionally, there are Photovoltaic Overlay.</w:t>
            </w:r>
          </w:p>
        </w:tc>
        <w:tc>
          <w:tcPr/>
          <w:p>
            <w:pPr>
              <w:pStyle w:val="Compact"/>
              <w:jc w:val="left"/>
            </w:pPr>
            <w:r>
              <w:t xml:space="preserve">three (3) Overlay District</w:t>
            </w:r>
          </w:p>
        </w:tc>
        <w:tc>
          <w:tcPr/>
          <w:p>
            <w:pPr>
              <w:pStyle w:val="Compact"/>
              <w:jc w:val="left"/>
            </w:pPr>
            <w:r>
              <w:t xml:space="preserve">Overlay</w:t>
            </w:r>
          </w:p>
        </w:tc>
        <w:tc>
          <w:tcPr/>
          <w:p>
            <w:pPr>
              <w:pStyle w:val="Compact"/>
              <w:jc w:val="left"/>
            </w:pPr>
            <w:r>
              <w:t xml:space="preserve">Districts: use</w:t>
            </w:r>
          </w:p>
        </w:tc>
        <w:tc>
          <w:tcPr/>
          <w:p>
            <w:pPr>
              <w:pStyle w:val="Compact"/>
              <w:jc w:val="left"/>
            </w:pPr>
            <w:r>
              <w:t xml:space="preserve">regulations</w:t>
            </w:r>
          </w:p>
        </w:tc>
        <w:tc>
          <w:tcPr/>
          <w:p>
            <w:pPr>
              <w:pStyle w:val="Compact"/>
              <w:jc w:val="left"/>
            </w:pPr>
            <w:r>
              <w:t xml:space="preserve">Groundwater</w:t>
            </w:r>
          </w:p>
        </w:tc>
        <w:tc>
          <w:tcPr/>
          <w:p>
            <w:pPr>
              <w:pStyle w:val="Compact"/>
              <w:jc w:val="left"/>
            </w:pPr>
            <w:r>
              <w:t xml:space="preserve">Aquifer, Historic, and shall take precedence over the</w:t>
            </w:r>
          </w:p>
        </w:tc>
        <w:tc>
          <w:tcPr/>
          <w:p>
            <w:pPr>
              <w:pStyle w:val="Compact"/>
              <w:jc w:val="left"/>
            </w:pPr>
            <w:r>
              <w:t xml:space="preserve">Solar</w:t>
            </w:r>
          </w:p>
        </w:tc>
      </w:tr>
      <w:tr>
        <w:tc>
          <w:tcPr/>
          <w:p>
            <w:pPr>
              <w:pStyle w:val="Compact"/>
              <w:jc w:val="left"/>
            </w:pPr>
            <w:r>
              <w:t xml:space="preserve">regulations of the</w:t>
            </w:r>
          </w:p>
        </w:tc>
        <w:tc>
          <w:tcPr/>
          <w:p>
            <w:pPr>
              <w:pStyle w:val="Compact"/>
              <w:jc w:val="left"/>
            </w:pPr>
            <w:r>
              <w:t xml:space="preserve">underlying zoning</w:t>
            </w:r>
          </w:p>
        </w:tc>
        <w:tc>
          <w:tcPr/>
          <w:p>
            <w:pPr>
              <w:pStyle w:val="Compact"/>
            </w:pPr>
          </w:p>
        </w:tc>
        <w:tc>
          <w:tcPr/>
          <w:p>
            <w:pPr>
              <w:pStyle w:val="Compact"/>
              <w:jc w:val="left"/>
            </w:pPr>
            <w:r>
              <w:t xml:space="preserve">district.</w:t>
            </w:r>
          </w:p>
        </w:tc>
        <w:tc>
          <w:tcPr/>
          <w:p>
            <w:pPr>
              <w:pStyle w:val="Compact"/>
              <w:jc w:val="left"/>
            </w:pPr>
            <w:r>
              <w:t xml:space="preserve">All other</w:t>
            </w:r>
          </w:p>
        </w:tc>
        <w:tc>
          <w:tcPr/>
          <w:p>
            <w:pPr>
              <w:pStyle w:val="Compact"/>
            </w:pPr>
          </w:p>
        </w:tc>
        <w:tc>
          <w:tcPr/>
          <w:p>
            <w:pPr>
              <w:pStyle w:val="Compact"/>
              <w:jc w:val="left"/>
            </w:pPr>
            <w:r>
              <w:t xml:space="preserve">provisions of the underlying</w:t>
            </w:r>
          </w:p>
        </w:tc>
        <w:tc>
          <w:tcPr/>
          <w:p>
            <w:pPr>
              <w:pStyle w:val="Compact"/>
              <w:jc w:val="left"/>
            </w:pPr>
            <w:r>
              <w:t xml:space="preserve">zoning</w:t>
            </w:r>
          </w:p>
        </w:tc>
      </w:tr>
      <w:tr>
        <w:tc>
          <w:tcPr/>
          <w:p>
            <w:pPr>
              <w:pStyle w:val="Compact"/>
              <w:jc w:val="left"/>
            </w:pPr>
            <w:r>
              <w:t xml:space="preserve">district which are not Each of the Overlay with a specific intent as Groundwater Aquifer</w:t>
            </w:r>
          </w:p>
        </w:tc>
        <w:tc>
          <w:tcPr/>
          <w:p>
            <w:pPr>
              <w:pStyle w:val="Compact"/>
              <w:jc w:val="left"/>
            </w:pPr>
            <w:r>
              <w:t xml:space="preserve">superseded by Zoning Districts follows: Protection</w:t>
            </w:r>
          </w:p>
        </w:tc>
        <w:tc>
          <w:tcPr/>
          <w:p>
            <w:pPr>
              <w:pStyle w:val="Compact"/>
            </w:pPr>
          </w:p>
        </w:tc>
        <w:tc>
          <w:tcPr/>
          <w:p>
            <w:pPr>
              <w:pStyle w:val="Compact"/>
              <w:jc w:val="left"/>
            </w:pPr>
            <w:r>
              <w:t xml:space="preserve">these overlay established Overlay District</w:t>
            </w:r>
          </w:p>
        </w:tc>
        <w:tc>
          <w:tcPr/>
          <w:p>
            <w:pPr>
              <w:pStyle w:val="Compact"/>
              <w:jc w:val="left"/>
            </w:pPr>
            <w:r>
              <w:t xml:space="preserve">districts by the (GAP).</w:t>
            </w:r>
          </w:p>
        </w:tc>
        <w:tc>
          <w:tcPr/>
          <w:p>
            <w:pPr>
              <w:pStyle w:val="Compact"/>
            </w:pPr>
          </w:p>
        </w:tc>
        <w:tc>
          <w:tcPr/>
          <w:p>
            <w:pPr>
              <w:pStyle w:val="Compact"/>
              <w:jc w:val="left"/>
            </w:pPr>
            <w:r>
              <w:t xml:space="preserve">shall remain in full force and provisions of this ordinance was This overlay district, which is</w:t>
            </w:r>
          </w:p>
        </w:tc>
        <w:tc>
          <w:tcPr/>
          <w:p>
            <w:pPr>
              <w:pStyle w:val="Compact"/>
              <w:jc w:val="left"/>
            </w:pPr>
            <w:r>
              <w:t xml:space="preserve">effect. created shown</w:t>
            </w:r>
          </w:p>
        </w:tc>
      </w:tr>
      <w:tr>
        <w:tc>
          <w:tcPr/>
          <w:p>
            <w:pPr>
              <w:pStyle w:val="Compact"/>
              <w:jc w:val="left"/>
            </w:pPr>
            <w:r>
              <w:t xml:space="preserve">on the North Smithfield the office of the reservoir, groundwater well-head protection protection areas Aquifer Protection Ordinance. Historic District Overlay</w:t>
            </w:r>
          </w:p>
        </w:tc>
        <w:tc>
          <w:tcPr/>
          <w:p>
            <w:pPr>
              <w:pStyle w:val="Compact"/>
              <w:jc w:val="left"/>
            </w:pPr>
            <w:r>
              <w:t xml:space="preserve">Groundwater Town Clerk, and recharge areas, and (schools). is Overlay District. Zone (HD).</w:t>
            </w:r>
          </w:p>
        </w:tc>
        <w:tc>
          <w:tcPr/>
          <w:p>
            <w:pPr>
              <w:pStyle w:val="Compact"/>
            </w:pPr>
          </w:p>
        </w:tc>
        <w:tc>
          <w:tcPr/>
          <w:p>
            <w:pPr>
              <w:pStyle w:val="Compact"/>
              <w:jc w:val="left"/>
            </w:pPr>
            <w:r>
              <w:t xml:space="preserve">Aquifer includes area, water town-owned established to Said This</w:t>
            </w:r>
          </w:p>
        </w:tc>
        <w:tc>
          <w:tcPr/>
          <w:p>
            <w:pPr>
              <w:pStyle w:val="Compact"/>
              <w:jc w:val="left"/>
            </w:pPr>
            <w:r>
              <w:t xml:space="preserve">Protection all land supply fulfill the map is district is</w:t>
            </w:r>
          </w:p>
        </w:tc>
        <w:tc>
          <w:tcPr/>
          <w:p>
            <w:pPr>
              <w:pStyle w:val="Compact"/>
              <w:jc w:val="left"/>
            </w:pPr>
            <w:r>
              <w:t xml:space="preserve">in basins non-transient, hereby</w:t>
            </w:r>
          </w:p>
        </w:tc>
        <w:tc>
          <w:tcPr/>
          <w:p>
            <w:pPr>
              <w:pStyle w:val="Compact"/>
              <w:jc w:val="left"/>
            </w:pPr>
            <w:r>
              <w:t xml:space="preserve">Overlay District (2012) on the Town identified as a groundwater (GAA classification), non-community wellhead purposes of Section 9, Groundwater declared to be part of this established to preserve structures</w:t>
            </w:r>
          </w:p>
        </w:tc>
        <w:tc>
          <w:tcPr/>
          <w:p>
            <w:pPr>
              <w:pStyle w:val="Compact"/>
              <w:jc w:val="left"/>
            </w:pPr>
            <w:r>
              <w:t xml:space="preserve">file in community of</w:t>
            </w:r>
          </w:p>
        </w:tc>
      </w:tr>
      <w:tr>
        <w:tc>
          <w:tcPr/>
          <w:p>
            <w:pPr>
              <w:pStyle w:val="Compact"/>
              <w:jc w:val="left"/>
            </w:pPr>
            <w:r>
              <w:t xml:space="preserve">historic or architectural Solar Photovoltaic</w:t>
            </w:r>
          </w:p>
        </w:tc>
        <w:tc>
          <w:tcPr/>
          <w:p>
            <w:pPr>
              <w:pStyle w:val="Compact"/>
              <w:jc w:val="left"/>
            </w:pPr>
            <w:r>
              <w:t xml:space="preserve">value as Overlay District.</w:t>
            </w:r>
          </w:p>
        </w:tc>
        <w:tc>
          <w:tcPr/>
          <w:p>
            <w:pPr>
              <w:pStyle w:val="Compact"/>
              <w:jc w:val="left"/>
            </w:pPr>
            <w:r>
              <w:t xml:space="preserve">defined</w:t>
            </w:r>
          </w:p>
        </w:tc>
        <w:tc>
          <w:tcPr/>
          <w:p>
            <w:pPr>
              <w:pStyle w:val="Compact"/>
              <w:jc w:val="left"/>
            </w:pPr>
            <w:r>
              <w:t xml:space="preserve">in Section See</w:t>
            </w:r>
          </w:p>
        </w:tc>
        <w:tc>
          <w:tcPr/>
          <w:p>
            <w:pPr>
              <w:pStyle w:val="Compact"/>
              <w:jc w:val="left"/>
            </w:pPr>
            <w:r>
              <w:t xml:space="preserve">14, subsection</w:t>
            </w:r>
          </w:p>
        </w:tc>
        <w:tc>
          <w:tcPr/>
          <w:p>
            <w:pPr>
              <w:pStyle w:val="Compact"/>
              <w:jc w:val="left"/>
            </w:pPr>
            <w:r>
              <w:t xml:space="preserve">a,</w:t>
            </w:r>
          </w:p>
        </w:tc>
        <w:tc>
          <w:tcPr/>
          <w:p>
            <w:pPr>
              <w:pStyle w:val="Compact"/>
              <w:jc w:val="left"/>
            </w:pPr>
            <w:r>
              <w:t xml:space="preserve">Historic District Zoning. purpose, of Section 5.7.11.</w:t>
            </w:r>
          </w:p>
        </w:tc>
        <w:tc>
          <w:tcPr/>
          <w:p>
            <w:pPr>
              <w:pStyle w:val="Compact"/>
            </w:pPr>
          </w:p>
        </w:tc>
      </w:tr>
    </w:tbl>
    <w:p>
      <w:pPr>
        <w:pStyle w:val="BodyText"/>
      </w:pPr>
      <w:r>
        <w:t xml:space="preserve">(Ord. of 5-21-2018; Ord. of 4-1-2018)</w:t>
      </w:r>
    </w:p>
    <w:bookmarkEnd w:id="38"/>
    <w:bookmarkStart w:id="39" w:name="intent-of-each-zoning-district"/>
    <w:p>
      <w:pPr>
        <w:pStyle w:val="Heading2"/>
      </w:pPr>
      <w:r>
        <w:t xml:space="preserve">§ 5.2. Intent of Each Zoning District</w:t>
      </w:r>
    </w:p>
    <w:p>
      <w:pPr>
        <w:pStyle w:val="FirstParagraph"/>
      </w:pPr>
      <w:r>
        <w:t xml:space="preserve">Sec. 5.2. Intent of Each Zoning District.</w:t>
      </w:r>
    </w:p>
    <w:p>
      <w:pPr>
        <w:pStyle w:val="BodyText"/>
      </w:pPr>
      <w:r>
        <w:t xml:space="preserve">Each of the underlying zoning districts established by the provisions of this ordinance are created with specific intent as follows: Rural Estate Agricultural (REA). This district is established to provide protection to areas where the conservation of water bodies and streams are of significant importance; where development may be threatened by flood, or would increase the danger of flood elsewhere and where limited agricultural pursuits and low density residential uses are compatible with open space objectives. Rural Agricultural (RA). This district is established to allow limited, orderly growth in areas where facilities necessary for intensive, urban-type development appear unlikely in the near future. It is designed to permit some conservation objectives, many agricultural pursuits and to allow the orderly transition from agriculture to low density residential use. Conservation development by design and the placement of structures which may facilitate more efficient rezoning in the future is strongly encouraged within the district. Residential - Suburban (RS). This district is established to provide areas where medium-low density residential uses now appear feasible because community facilities such as public water or sewers are likely in the foreseeable future. Residential - Urban (RU). This district is established to provide for a somewhat broader range of urban housing types and for higher residential densities. It is anticipated that facilities necessary for urban living will service most of these districts within the near future. Business - Neighborhood (BN). This district is established to provide areas for the retailing of convenience goods and furnishing of some personal services. It is primarily intended to serve the day-to-day needs of persons living nearby, although the secondary function of serving community-wide needs is also permitted. Business - Highway (BH). This district is established to provide areas for commercial establishments that depend primarily on a great volume of vehicular traffic. Typical uses include those which offer accommodations and services to motorists, specialized retail outlets, and commercial amusement enterprises. Limited Commercial (LC). This district is established to provide areas for commercial establishments, light industry and office uses. It is intended to serve community-wide needs and accommodate specialized retail and wholesale establishments which require outdoor storage of materials. Manufacturing (M). This district is established to provide areas suitable for industrial development, research and certain transportation, storage and utility uses. In addition, certain commercial services catering primarily to the needs of industry and its employees are permitted. In order to maximize the potential of this district, incompatible uses which require extensive improvements are not permitted. Mixed Use – Commercial (MU-1). This district is intended to provide for compact, planned</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village-mixed use retail, with a mix shops, and service Mixed Use –</w:t>
            </w:r>
          </w:p>
        </w:tc>
        <w:tc>
          <w:tcPr/>
          <w:p>
            <w:pPr>
              <w:pStyle w:val="Compact"/>
              <w:jc w:val="left"/>
            </w:pPr>
            <w:r>
              <w:t xml:space="preserve">development of of small-scale industries. Industrial (MU-2).</w:t>
            </w:r>
          </w:p>
        </w:tc>
      </w:tr>
      <w:tr>
        <w:tc>
          <w:tcPr/>
          <w:p>
            <w:pPr>
              <w:pStyle w:val="Compact"/>
              <w:jc w:val="left"/>
            </w:pPr>
            <w:r>
              <w:t xml:space="preserve">village-mixed use style, around shared Open Space (OS).</w:t>
            </w:r>
          </w:p>
        </w:tc>
        <w:tc>
          <w:tcPr/>
          <w:p>
            <w:pPr>
              <w:pStyle w:val="Compact"/>
              <w:jc w:val="left"/>
            </w:pPr>
            <w:r>
              <w:t xml:space="preserve">and light industrial open space This district</w:t>
            </w:r>
          </w:p>
        </w:tc>
      </w:tr>
    </w:tbl>
    <w:p>
      <w:pPr>
        <w:pStyle w:val="BodyText"/>
      </w:pPr>
      <w:r>
        <w:t xml:space="preserve">a village nature with existing commercial, but not big -box businesses such as restaurants, coffee shops, bookstores, retail This district is intended to provide for compact, planned development where buildings should be clustered, campusamenities, with parking located to the side and rear of structures.</w:t>
      </w:r>
    </w:p>
    <w:p>
      <w:pPr>
        <w:pStyle w:val="BodyText"/>
      </w:pPr>
      <w:r>
        <w:t xml:space="preserve">includes properties owned by the Town, State or Federal government presently used for public recreation or conservation purposes. It also includes quasipublic or privately-owned land where development rights or conservation easements have been conveyed, or for which there is a reasonable expectation of long-term use for open space conservation or recreation, such as Audubon Society or North Smithfield Land Trust lands. Certain limited residential, recreational, agricultural, and educational uses are permitted. (Ord. of 4-1-2019)</w:t>
      </w:r>
    </w:p>
    <w:bookmarkEnd w:id="39"/>
    <w:bookmarkStart w:id="40" w:name="interpretation-of-use-table-and-symbols"/>
    <w:p>
      <w:pPr>
        <w:pStyle w:val="Heading2"/>
      </w:pPr>
      <w:r>
        <w:t xml:space="preserve">§ 5.3. Interpretation of Use Table and Symbols</w:t>
      </w:r>
    </w:p>
    <w:p>
      <w:pPr>
        <w:pStyle w:val="FirstParagraph"/>
      </w:pPr>
      <w:r>
        <w:t xml:space="preserve">Sec. 5.3. Interpretation of Use Table and Symbols.</w:t>
      </w:r>
    </w:p>
    <w:p>
      <w:pPr>
        <w:pStyle w:val="BodyText"/>
      </w:pPr>
      <w:r>
        <w:t xml:space="preserve">The status of uses which appear in the table of district use regulations vary from district to district as indicated by the symbol appearing under the appropriate column heading. The interpretation of symbols shall be as follows: Y - The use is permitted by right. S - The use may be permitted as a Special-use under the provisions of Section 19.22 of this ordinance. Y - The use shall be permitted under provisions of this Ordinance for a limited time as T customarily appropriate to the use, not to exceed one (1) year. N - The use is not permitted. Where any proposed use is not listed in this section or in Section 21, Definitions, it shall be the duty of the Zoning Enforcement Officer to determine if the use is substantially similar to any existing use. If the Officer determines that the proposed use is not substantially similar to any existing use, then such use shall be prohibited in all zones. A decision of the Officer, either to classify a proposed use within an existing use contained in the table below, or to prohibit the use, shall be appealable to the Zoning Board as set forth in Section 18. Uses permitted by right or by special-use must also comply with all other aspects of this Ordinance, such as the dimensional regulations and on-site parking requirements. Environmental constraints and infrastructure limitation may further restrict a parcel’s buildout and use. For example, the minimum lot areas listed in the table may not be adequate in certain cases to meet state standards for on-site sewage disposal; a larger lot area may be specified by the Department of Environmental Management as part of the approval of an individual septic disposal system. Uses listed in the following table may also be governed by the Groundwater Aquifer and Historic overlay districts, or by the provisions of Section 8, Flood Hazard Areas. Any uses involving materials having a health hazard rating of 2,3,or 4 or a flammability hazard rating of 1,2,3,or 4 as defined by NFPA 325M shall require a Special-use Permit. Uses permitted by right involving the construction of multiple uses or units will require review approval by the Planning Board as a Land Development Project. The process associated with the review and approval of a Land Development project is contained in the Town of North Smithfield’s Land Development and Subdivision Regulations.</w:t>
      </w:r>
    </w:p>
    <w:bookmarkEnd w:id="40"/>
    <w:bookmarkStart w:id="41" w:name="district-use-regulations-1"/>
    <w:p>
      <w:pPr>
        <w:pStyle w:val="Heading2"/>
      </w:pPr>
      <w:r>
        <w:t xml:space="preserve">§ 5.4. District use regulations</w:t>
      </w:r>
    </w:p>
    <w:p>
      <w:pPr>
        <w:pStyle w:val="FirstParagraph"/>
      </w:pPr>
      <w:r>
        <w:t xml:space="preserve">Sec. 5.4. District use regulations.</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ZONE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USE</w:t>
            </w:r>
          </w:p>
        </w:tc>
        <w:tc>
          <w:tcPr/>
          <w:p>
            <w:pPr>
              <w:pStyle w:val="Compact"/>
            </w:pP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5.4.1. Agricultural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Pets &amp; Watchdogs</w:t>
            </w: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2. Animals, non-commercial raising watchdogs, apiary)</w:t>
            </w:r>
          </w:p>
        </w:tc>
        <w:tc>
          <w:tcPr/>
          <w:p>
            <w:pPr>
              <w:pStyle w:val="Compact"/>
              <w:jc w:val="left"/>
            </w:pPr>
            <w:r>
              <w:t xml:space="preserve">(excluding pets,</w:t>
            </w:r>
          </w:p>
        </w:tc>
        <w:tc>
          <w:tcPr/>
          <w:p>
            <w:pPr>
              <w:pStyle w:val="Compact"/>
              <w:jc w:val="left"/>
            </w:pPr>
            <w:r>
              <w:t xml:space="preserve">Y</w:t>
            </w:r>
          </w:p>
        </w:tc>
        <w:tc>
          <w:tcPr/>
          <w:p>
            <w:pPr>
              <w:pStyle w:val="Compact"/>
              <w:jc w:val="left"/>
            </w:pPr>
            <w:r>
              <w:t xml:space="preserve">1 Y</w:t>
            </w:r>
          </w:p>
        </w:tc>
        <w:tc>
          <w:tcPr/>
          <w:p>
            <w:pPr>
              <w:pStyle w:val="Compact"/>
              <w:jc w:val="left"/>
            </w:pPr>
            <w:r>
              <w:t xml:space="preserve">1 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 Apiary</w:t>
            </w: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4. Chicken hens per ordinance</w:t>
            </w: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 Livestock, commercial raising,</w:t>
            </w:r>
          </w:p>
        </w:tc>
        <w:tc>
          <w:tcPr/>
          <w:p>
            <w:pPr>
              <w:pStyle w:val="Compact"/>
              <w:jc w:val="left"/>
            </w:pPr>
            <w:r>
              <w:t xml:space="preserve">except pig and/or mink</w:t>
            </w:r>
          </w:p>
        </w:tc>
        <w:tc>
          <w:tcPr/>
          <w:p>
            <w:pPr>
              <w:pStyle w:val="Compact"/>
              <w:jc w:val="left"/>
            </w:pPr>
            <w:r>
              <w:t xml:space="preserve">Y1</w:t>
            </w:r>
          </w:p>
        </w:tc>
        <w:tc>
          <w:tcPr/>
          <w:p>
            <w:pPr>
              <w:pStyle w:val="Compact"/>
              <w:jc w:val="left"/>
            </w:pPr>
            <w:r>
              <w:t xml:space="preserve">1 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6. Crops &amp; Trees, non-commercial</w:t>
            </w:r>
          </w:p>
        </w:tc>
        <w:tc>
          <w:tcPr/>
          <w:p>
            <w:pPr>
              <w:pStyle w:val="Compact"/>
              <w:jc w:val="left"/>
            </w:pPr>
            <w:r>
              <w:t xml:space="preserve">raising</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7. Crops &amp; Trees, commercial raising</w:t>
            </w: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8. Greenhouse &amp; Nursery, commercial</w:t>
            </w:r>
          </w:p>
        </w:tc>
        <w:tc>
          <w:tcPr/>
          <w:p>
            <w:pPr>
              <w:pStyle w:val="Compact"/>
            </w:pP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9. Farm Stand</w:t>
            </w:r>
          </w:p>
        </w:tc>
        <w:tc>
          <w:tcPr/>
          <w:p>
            <w:pPr>
              <w:pStyle w:val="Compact"/>
            </w:pP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10. Farm Retail Sales Building</w:t>
            </w:r>
          </w:p>
        </w:tc>
        <w:tc>
          <w:tcPr/>
          <w:p>
            <w:pPr>
              <w:pStyle w:val="Compact"/>
            </w:pP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11. Farm and Farm-Related Products,</w:t>
            </w:r>
          </w:p>
        </w:tc>
        <w:tc>
          <w:tcPr/>
          <w:p>
            <w:pPr>
              <w:pStyle w:val="Compact"/>
              <w:jc w:val="left"/>
            </w:pPr>
            <w:r>
              <w:t xml:space="preserve">retail sales</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12. Natural Christmas Tree Sales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13. Animal Hospital or Veterinary Facility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14. Livestock, commercial raising, pig and/or mink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15. Kennel or Animal Boarding</w:t>
            </w:r>
          </w:p>
        </w:tc>
        <w:tc>
          <w:tcPr/>
          <w:p>
            <w:pPr>
              <w:pStyle w:val="Compact"/>
              <w:jc w:val="left"/>
            </w:pPr>
            <w:r>
              <w:t xml:space="preserve">1 Y</w:t>
            </w:r>
          </w:p>
        </w:tc>
        <w:tc>
          <w:tcPr/>
          <w:p>
            <w:pPr>
              <w:pStyle w:val="Compact"/>
              <w:jc w:val="left"/>
            </w:pPr>
            <w:r>
              <w:t xml:space="preserve">1 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16. Medical Marijuana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5.4.2. Residential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Dwelling, single-family detached</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 Dwelling, accessory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 Dwelling, duplex</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4. Dwelling, multi-family &amp; apartments; 3 to 6 units with no 2, 4 more than 12 bedrooms</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5. Dwelling, multi-family &amp; apartments; 7 or more units with 2,4 greater than 12 bedrooms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6. Dwelling, attached for operator or owner of a principal business or manufacturing 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7. Home Occupation, performed by The resident of the premises utilizing no more than 200 sq. ft. of the area of one floor</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9. Bed and breakfast</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4 10. Dormitory for a permitted use</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bedrooms4 11. Transient lodging, not to exceed 8 guest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bedrooms4 12. Transient lodging, exceeding 8 guest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13. Mobile Home, park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14. Loft, commercial artist</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15. Community Residences up to 5 bedrooms 4 Community residences greater than 5 bedrooms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16. Elderly Housing, limited care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17. Residential Care and Assisted Living</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18. Halfway House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19. Transient Residential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20. Mobile Home, single unit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21. Residential Cooperative Cultivation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22. Patient Cultivation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23. Caregiver Cultivation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24. Tiny house on Wheels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5.4.3. Office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Office, home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2. Office, temporary real estate (up to one year)</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N</w:t>
            </w:r>
          </w:p>
        </w:tc>
      </w:tr>
      <w:tr>
        <w:tc>
          <w:tcPr/>
          <w:p>
            <w:pPr>
              <w:pStyle w:val="Compact"/>
              <w:jc w:val="left"/>
            </w:pPr>
            <w:r>
              <w:t xml:space="preserve">3. Office, accessory to a wholesale or manufacturing 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Office, construction trailer</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YT</w:t>
            </w:r>
          </w:p>
        </w:tc>
        <w:tc>
          <w:tcPr/>
          <w:p>
            <w:pPr>
              <w:pStyle w:val="Compact"/>
              <w:jc w:val="left"/>
            </w:pPr>
            <w:r>
              <w:t xml:space="preserve">S</w:t>
            </w:r>
          </w:p>
        </w:tc>
      </w:tr>
      <w:tr>
        <w:tc>
          <w:tcPr/>
          <w:p>
            <w:pPr>
              <w:pStyle w:val="Compact"/>
              <w:jc w:val="left"/>
            </w:pPr>
            <w:r>
              <w:t xml:space="preserve">5. Office, building under 3,000 sf. GLA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6. Office, building 3,000 sf. or greater GLA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5.4.4.Public and semi-public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4 1. School, public or private including college or university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2. Day Care Center / Nursery School, up to 12 children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3. Day Care Center / Nursery School, over 12 children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Day Care, family day care home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5. School, trade or professional utilizing heavy machinery for instructional purposes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6. School, trade or professional not utilizing heavy machinery for instructional purposes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7. Tutoring, utilizing less than 200 sq. ft.</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8. Religious institution or place of worship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9. Cultural Activities, including library, museums, aquariums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3,7, 4 10. Rest Home, Convalescent Home, Nursing Home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11. Hospital or Health Services Facility greater than 5,000 sq. 4 ft.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12. Fire, Police, or Rescue Station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13. Sewage or Water Plant, municipal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14. Sewage or Water Plant, non-municipal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15. Landfill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16. Incinerator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17. Government, other municipal uses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18. Government, municipal garage or utility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19. Hall, general purpose used for recreation, social or other intermittent functions – not serving alcohol</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20. Hall, general purpose used for recreation, social or other intermittent functions – serving alcohol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21. Cemetery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22. Community Center</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23. Penal Facility or Prison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24. Rehabilitation Facility, drug or alcohol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5.4.5. Open recreation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Commercial Bathing Facility, outdoors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2. Public Parks, playgrounds, picnic groves, open land refuges and preserves, etc.</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3. Golf Course, minimum of 3 holes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4 4. Country Club</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5. Riding Academy or Stable, commercial</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6. Amusement Park, commercial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7. Carnival or Circus</w:t>
            </w:r>
          </w:p>
        </w:tc>
        <w:tc>
          <w:tcPr/>
          <w:p>
            <w:pPr>
              <w:pStyle w:val="Compact"/>
              <w:jc w:val="left"/>
            </w:pPr>
            <w:r>
              <w:t xml:space="preserve">YT</w:t>
            </w:r>
          </w:p>
        </w:tc>
        <w:tc>
          <w:tcPr/>
          <w:p>
            <w:pPr>
              <w:pStyle w:val="Compact"/>
              <w:jc w:val="left"/>
            </w:pPr>
            <w:r>
              <w:t xml:space="preserve">YT</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8. Fairground or Exposition Grounds</w:t>
            </w:r>
          </w:p>
        </w:tc>
        <w:tc>
          <w:tcPr/>
          <w:p>
            <w:pPr>
              <w:pStyle w:val="Compact"/>
              <w:jc w:val="left"/>
            </w:pPr>
            <w:r>
              <w:t xml:space="preserve">YT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9. Day Camp</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10. Drive-in Theater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11. Summer Theater or Amphitheater</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12. Recreation, outdoor commercial</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r>
      <w:tr>
        <w:tc>
          <w:tcPr/>
          <w:p>
            <w:pPr>
              <w:pStyle w:val="Compact"/>
              <w:jc w:val="left"/>
            </w:pPr>
            <w:r>
              <w:t xml:space="preserve">5.4.6. Restaurants and entertainment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Restaurant/Banquet Facility (principal sales - food):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(a) seating capacity of up to 50 people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8 (b) seating capacity of 51-299 people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8 (c) seating capacity of 300+ people</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 Restaurant - drive thru/take out (no inside dining)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8 3. Restaurant - drive thru and inside eating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4. Night Club, Tavern, Lounge (no adult entertainment)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 Night Club, Tavern, Lounge (adult entertainment)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6. Lunchroom or Cafeteria (accessory use to a permitted use with no exterior advertising)</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8. Theater or Concert Hall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9. Recreation, indoor commercial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10. Casino or Racetrack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5.4.7. Retail business and service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Health &amp; Fitness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6 2. Adult Entertainment Specialty Shops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 Engine Repair, non-automotive excluding heavy equipment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4. Automotive, fueling area; gas stations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carwash4 5. Automotive,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6. Automotive, light repair garage (excluding body work)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7. Automotive, heavy repair garage (excluding body work)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8. Automotive, rental, up to 5 vehicles Automotive, rental, over 5 vehicles</w:t>
            </w:r>
          </w:p>
        </w:tc>
        <w:tc>
          <w:tcPr/>
          <w:p>
            <w:pPr>
              <w:pStyle w:val="Compact"/>
              <w:jc w:val="left"/>
            </w:pPr>
            <w:r>
              <w:t xml:space="preserve">N N</w:t>
            </w:r>
          </w:p>
        </w:tc>
        <w:tc>
          <w:tcPr/>
          <w:p>
            <w:pPr>
              <w:pStyle w:val="Compact"/>
              <w:jc w:val="left"/>
            </w:pPr>
            <w:r>
              <w:t xml:space="preserve">N N</w:t>
            </w:r>
          </w:p>
        </w:tc>
        <w:tc>
          <w:tcPr/>
          <w:p>
            <w:pPr>
              <w:pStyle w:val="Compact"/>
              <w:jc w:val="left"/>
            </w:pPr>
            <w:r>
              <w:t xml:space="preserve">N N</w:t>
            </w:r>
          </w:p>
        </w:tc>
        <w:tc>
          <w:tcPr/>
          <w:p>
            <w:pPr>
              <w:pStyle w:val="Compact"/>
              <w:jc w:val="left"/>
            </w:pPr>
            <w:r>
              <w:t xml:space="preserve">N N</w:t>
            </w:r>
          </w:p>
        </w:tc>
        <w:tc>
          <w:tcPr/>
          <w:p>
            <w:pPr>
              <w:pStyle w:val="Compact"/>
              <w:jc w:val="left"/>
            </w:pPr>
            <w:r>
              <w:t xml:space="preserve">Y Y</w:t>
            </w:r>
          </w:p>
        </w:tc>
        <w:tc>
          <w:tcPr/>
          <w:p>
            <w:pPr>
              <w:pStyle w:val="Compact"/>
              <w:jc w:val="left"/>
            </w:pPr>
            <w:r>
              <w:t xml:space="preserve">S S</w:t>
            </w:r>
          </w:p>
        </w:tc>
        <w:tc>
          <w:tcPr/>
          <w:p>
            <w:pPr>
              <w:pStyle w:val="Compact"/>
              <w:jc w:val="left"/>
            </w:pPr>
            <w:r>
              <w:t xml:space="preserve">S S</w:t>
            </w:r>
          </w:p>
        </w:tc>
        <w:tc>
          <w:tcPr/>
          <w:p>
            <w:pPr>
              <w:pStyle w:val="Compact"/>
              <w:jc w:val="left"/>
            </w:pPr>
            <w:r>
              <w:t xml:space="preserve">S S</w:t>
            </w:r>
          </w:p>
        </w:tc>
        <w:tc>
          <w:tcPr/>
          <w:p>
            <w:pPr>
              <w:pStyle w:val="Compact"/>
              <w:jc w:val="left"/>
            </w:pPr>
            <w:r>
              <w:t xml:space="preserve">S S</w:t>
            </w:r>
          </w:p>
        </w:tc>
        <w:tc>
          <w:tcPr/>
          <w:p>
            <w:pPr>
              <w:pStyle w:val="Compact"/>
              <w:jc w:val="left"/>
            </w:pPr>
            <w:r>
              <w:t xml:space="preserve">S S</w:t>
            </w:r>
          </w:p>
        </w:tc>
        <w:tc>
          <w:tcPr/>
          <w:p>
            <w:pPr>
              <w:pStyle w:val="Compact"/>
              <w:jc w:val="left"/>
            </w:pPr>
            <w:r>
              <w:t xml:space="preserve">N N</w:t>
            </w:r>
          </w:p>
        </w:tc>
      </w:tr>
      <w:tr>
        <w:tc>
          <w:tcPr/>
          <w:p>
            <w:pPr>
              <w:pStyle w:val="Compact"/>
              <w:jc w:val="left"/>
            </w:pPr>
            <w:r>
              <w:t xml:space="preserve">9. Automotive,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10. Package Store (where alcoholic beverages are sold)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11. Funeral Home or Mortuary or Crematorium</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12. Crematorium, only in conjunction with a cemetery</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r>
      <w:tr>
        <w:tc>
          <w:tcPr/>
          <w:p>
            <w:pPr>
              <w:pStyle w:val="Compact"/>
              <w:jc w:val="left"/>
            </w:pPr>
            <w:r>
              <w:t xml:space="preserve">13. Radio or Television Studio</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14. Amateur Radio antenna and/or tower, less than 70 feet in height</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15. Broadcast radio and/or television towers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16. Cellular Communications Antenna Array on an existing structure or building (subject to restrictions of Section 17)</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17. Cellular Communications Tower – Monopole up to 125 feet in height (subject to the restrictions of Section 17)</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18. Cellular Communications Tower – Monopole over 125 feet in height and up to 200 feet in height (subject to the restrictions of Section 17)</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r>
      <w:tr>
        <w:tc>
          <w:tcPr/>
          <w:p>
            <w:pPr>
              <w:pStyle w:val="Compact"/>
              <w:jc w:val="left"/>
            </w:pPr>
            <w:r>
              <w:t xml:space="preserve">19. Cellular Communications Tower – Lattice or Guyed, any height up to 200 feet in height (subject to the restrictions of Section 17)</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20. Retail Sales in an Open Lot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21. Shopping Center, up to 15 acres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22. Propane Tanks, wholesale or retail filling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GLA7 23. Retail Sales, under 3,000 sf with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GLA7 24. Retail Sales, under 3,000 sf without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GLA7 25. Service Establishments, under 3,000 sf With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GLA7 26. Service Establishments, under 3,000 sf. without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GLA7 27. Retail Sales/Service, 3000 to 20,000 sf. with drive- 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GLA7 28. Retail Sales/Service, 3000 to 20,000 sf. without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GLA7 29. Retail Sales/Service, over 20,000 to 40,000 sf. with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GLA7 30. Retail Sales/Service, over 20,000 to 40,000 sf. without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31. Bank or Financial Institution, with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32. Bank or Financial Institution, without drive-thru</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33. Compassion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5.4.8. Wholesale business and storage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1. Wholesale Business and Storage of Nonflammable and Non-explosive Material in a Building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2. Open Lot Storage, building materials and machinery excluding retail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c>
          <w:tcPr/>
          <w:p>
            <w:pPr>
              <w:pStyle w:val="Compact"/>
              <w:jc w:val="left"/>
            </w:pPr>
            <w:r>
              <w:t xml:space="preserve">N</w:t>
            </w:r>
          </w:p>
        </w:tc>
      </w:tr>
      <w:tr>
        <w:tc>
          <w:tcPr/>
          <w:p>
            <w:pPr>
              <w:pStyle w:val="Compact"/>
              <w:jc w:val="left"/>
            </w:pPr>
            <w:r>
              <w:t xml:space="preserve">3. Open Lot Storage, serviceable automotive and boat 3 equipment excluding retail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c>
          <w:tcPr/>
          <w:p>
            <w:pPr>
              <w:pStyle w:val="Compact"/>
              <w:jc w:val="left"/>
            </w:pPr>
            <w:r>
              <w:t xml:space="preserve">N</w:t>
            </w:r>
          </w:p>
        </w:tc>
      </w:tr>
      <w:tr>
        <w:tc>
          <w:tcPr/>
          <w:p>
            <w:pPr>
              <w:pStyle w:val="Compact"/>
              <w:jc w:val="left"/>
            </w:pPr>
            <w:r>
              <w:t xml:space="preserve">4. Open Lot Storage, solid fuel, sand and gravel excluding retail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Y5</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 Open Lot Storage, junk and salvage material excluding retail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6. Storage of Flammable, Hazardous, or Explosive Materials, not integral to a manufacturing process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7. Retail Outlet for a Wholesale or Storage Use, including the sale of ice, fuel oil, coal, wood on site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8. Self-Storage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9. General Warehouse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10. Non-Residential Cooperative Cultivation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11. Licensed Cultivator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5.4.9. Service industries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4 1. Laundry or Dry Cleaning Plant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2. Furniture, Carpet, and Rug Cleaning Plant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3. Auto Body or Paint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4. Blacksmith or Welding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5.Power Generating Station or Sub-station using fossil fuels (e.g., coal, oil, gas)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6. Waste-to-Energy Power Generation Station or Sub-station (e.g., methane, excluding burning solid waste)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7. Renewable energy power generation plant using water.</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r>
      <w:tr>
        <w:tc>
          <w:tcPr/>
          <w:p>
            <w:pPr>
              <w:pStyle w:val="Compact"/>
              <w:jc w:val="left"/>
            </w:pPr>
            <w:r>
              <w:t xml:space="preserve">8. Roof-mounted solar photovoltaic systems as accessory use to residential or commercial buildings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9. Ground-mounted solar photovoltaic systems as accessory use to residential or commercial buildings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10. Ground-mounted solar photovoltaic systems for commercial use</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S10</w:t>
            </w:r>
          </w:p>
        </w:tc>
        <w:tc>
          <w:tcPr/>
          <w:p>
            <w:pPr>
              <w:pStyle w:val="Compact"/>
              <w:jc w:val="left"/>
            </w:pPr>
            <w:r>
              <w:t xml:space="preserve">S</w:t>
            </w:r>
          </w:p>
        </w:tc>
        <w:tc>
          <w:tcPr/>
          <w:p>
            <w:pPr>
              <w:pStyle w:val="Compact"/>
              <w:jc w:val="left"/>
            </w:pPr>
            <w:r>
              <w:t xml:space="preserve">S10</w:t>
            </w:r>
          </w:p>
        </w:tc>
        <w:tc>
          <w:tcPr/>
          <w:p>
            <w:pPr>
              <w:pStyle w:val="Compact"/>
              <w:jc w:val="left"/>
            </w:pPr>
            <w:r>
              <w:t xml:space="preserve">S10</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11. Renewable Energy Generated by Wind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5.4.10. Industrial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Retail Outlet for Industrial Operation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S9</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2. Mining, Quarrying, Sand and Gravel Extraction, Loam Stripping, Stone Cutting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3. Recycling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4. Transfer Station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 Light Industrial, including on-site retail outlet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6. Heavy Industrial, excluding on-site retail outlet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7. Noxious Industrial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5.4.11. Transportation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Airport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2. Landing Strip or Pad, private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Look w:firstRow="1" w:lastRow="0" w:firstColumn="0" w:lastColumn="0" w:noHBand="0" w:noVBand="0" w:val="0020"/>
      </w:tblPr>
      <w:tblGrid>
        <w:gridCol w:w="565"/>
        <w:gridCol w:w="565"/>
        <w:gridCol w:w="565"/>
        <w:gridCol w:w="565"/>
        <w:gridCol w:w="565"/>
        <w:gridCol w:w="565"/>
        <w:gridCol w:w="565"/>
        <w:gridCol w:w="565"/>
        <w:gridCol w:w="565"/>
        <w:gridCol w:w="565"/>
        <w:gridCol w:w="565"/>
        <w:gridCol w:w="565"/>
        <w:gridCol w:w="565"/>
        <w:gridCol w:w="565"/>
      </w:tblGrid>
      <w:tr>
        <w:trPr>
          <w:tblHeader w:val="on"/>
        </w:trPr>
        <w:tc>
          <w:tcPr/>
          <w:p>
            <w:pPr>
              <w:pStyle w:val="Compact"/>
            </w:pPr>
          </w:p>
        </w:tc>
        <w:tc>
          <w:tcPr/>
          <w:p>
            <w:pPr>
              <w:pStyle w:val="Compact"/>
            </w:pPr>
          </w:p>
        </w:tc>
        <w:tc>
          <w:tcPr/>
          <w:p>
            <w:pPr>
              <w:pStyle w:val="Compact"/>
              <w:jc w:val="left"/>
            </w:pPr>
            <w:r>
              <w:t xml:space="preserve">USE</w:t>
            </w:r>
          </w:p>
        </w:tc>
        <w:tc>
          <w:tcPr/>
          <w:p>
            <w:pPr>
              <w:pStyle w:val="Compact"/>
              <w:jc w:val="left"/>
            </w:pPr>
            <w:r>
              <w:t xml:space="preserve">REA</w:t>
            </w:r>
          </w:p>
        </w:tc>
        <w:tc>
          <w:tcPr/>
          <w:p>
            <w:pPr>
              <w:pStyle w:val="Compact"/>
              <w:jc w:val="left"/>
            </w:pPr>
            <w:r>
              <w:t xml:space="preserve">RA</w:t>
            </w:r>
          </w:p>
        </w:tc>
        <w:tc>
          <w:tcPr/>
          <w:p>
            <w:pPr>
              <w:pStyle w:val="Compact"/>
              <w:jc w:val="left"/>
            </w:pPr>
            <w:r>
              <w:t xml:space="preserve">RS</w:t>
            </w:r>
          </w:p>
        </w:tc>
        <w:tc>
          <w:tcPr/>
          <w:p>
            <w:pPr>
              <w:pStyle w:val="Compact"/>
              <w:jc w:val="left"/>
            </w:pPr>
            <w:r>
              <w:t xml:space="preserve">RU</w:t>
            </w:r>
          </w:p>
        </w:tc>
        <w:tc>
          <w:tcPr/>
          <w:p>
            <w:pPr>
              <w:pStyle w:val="Compact"/>
              <w:jc w:val="left"/>
            </w:pPr>
            <w:r>
              <w:t xml:space="preserve">BH</w:t>
            </w:r>
          </w:p>
        </w:tc>
        <w:tc>
          <w:tcPr/>
          <w:p>
            <w:pPr>
              <w:pStyle w:val="Compact"/>
              <w:jc w:val="left"/>
            </w:pPr>
            <w:r>
              <w:t xml:space="preserve">BN</w:t>
            </w:r>
          </w:p>
        </w:tc>
        <w:tc>
          <w:tcPr/>
          <w:p>
            <w:pPr>
              <w:pStyle w:val="Compact"/>
              <w:jc w:val="left"/>
            </w:pPr>
            <w:r>
              <w:t xml:space="preserve">LC</w:t>
            </w:r>
          </w:p>
        </w:tc>
        <w:tc>
          <w:tcPr/>
          <w:p>
            <w:pPr>
              <w:pStyle w:val="Compact"/>
              <w:jc w:val="left"/>
            </w:pPr>
            <w:r>
              <w:t xml:space="preserve">M</w:t>
            </w:r>
          </w:p>
        </w:tc>
        <w:tc>
          <w:tcPr/>
          <w:p>
            <w:pPr>
              <w:pStyle w:val="Compact"/>
              <w:jc w:val="left"/>
            </w:pPr>
            <w:r>
              <w:t xml:space="preserve">MU 1</w:t>
            </w:r>
          </w:p>
        </w:tc>
        <w:tc>
          <w:tcPr/>
          <w:p>
            <w:pPr>
              <w:pStyle w:val="Compact"/>
              <w:jc w:val="left"/>
            </w:pPr>
            <w:r>
              <w:t xml:space="preserve">MU 2</w:t>
            </w:r>
          </w:p>
        </w:tc>
        <w:tc>
          <w:tcPr/>
          <w:p>
            <w:pPr>
              <w:pStyle w:val="Compact"/>
              <w:jc w:val="left"/>
            </w:pPr>
            <w:r>
              <w:t xml:space="preserve">OS</w:t>
            </w:r>
          </w:p>
        </w:tc>
      </w:tr>
      <w:tr>
        <w:tc>
          <w:tcPr/>
          <w:p>
            <w:pPr>
              <w:pStyle w:val="Compact"/>
              <w:jc w:val="left"/>
            </w:pPr>
            <w:r>
              <w:t xml:space="preserve">3.</w:t>
            </w:r>
          </w:p>
        </w:tc>
        <w:tc>
          <w:tcPr/>
          <w:p>
            <w:pPr>
              <w:pStyle w:val="Compact"/>
              <w:jc w:val="left"/>
            </w:pPr>
            <w:r>
              <w:t xml:space="preserve">Heliport</w:t>
            </w:r>
          </w:p>
        </w:tc>
        <w:tc>
          <w:tcPr/>
          <w:p>
            <w:pPr>
              <w:pStyle w:val="Compact"/>
            </w:pP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4.</w:t>
            </w:r>
          </w:p>
        </w:tc>
        <w:tc>
          <w:tcPr/>
          <w:p>
            <w:pPr>
              <w:pStyle w:val="Compact"/>
              <w:jc w:val="left"/>
            </w:pPr>
            <w:r>
              <w:t xml:space="preserve">Parking, off-street</w:t>
            </w:r>
          </w:p>
        </w:tc>
        <w:tc>
          <w:tcPr/>
          <w:p>
            <w:pPr>
              <w:pStyle w:val="Compact"/>
              <w:jc w:val="left"/>
            </w:pPr>
            <w:r>
              <w:t xml:space="preserve">as an accessory to a permitted use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5.</w:t>
            </w:r>
          </w:p>
        </w:tc>
        <w:tc>
          <w:tcPr/>
          <w:p>
            <w:pPr>
              <w:pStyle w:val="Compact"/>
              <w:jc w:val="left"/>
            </w:pPr>
            <w:r>
              <w:t xml:space="preserve">Parking, commercial</w:t>
            </w:r>
          </w:p>
        </w:tc>
        <w:tc>
          <w:tcPr/>
          <w:p>
            <w:pPr>
              <w:pStyle w:val="Compact"/>
              <w:jc w:val="left"/>
            </w:pPr>
            <w:r>
              <w:t xml:space="preserve">off-street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6.</w:t>
            </w:r>
          </w:p>
        </w:tc>
        <w:tc>
          <w:tcPr/>
          <w:p>
            <w:pPr>
              <w:pStyle w:val="Compact"/>
              <w:jc w:val="left"/>
            </w:pPr>
            <w:r>
              <w:t xml:space="preserve">Rail or Motor Freight,</w:t>
            </w:r>
          </w:p>
        </w:tc>
        <w:tc>
          <w:tcPr/>
          <w:p>
            <w:pPr>
              <w:pStyle w:val="Compact"/>
              <w:jc w:val="left"/>
            </w:pPr>
            <w:r>
              <w:t xml:space="preserve">terminal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c>
          <w:tcPr/>
          <w:p>
            <w:pPr>
              <w:pStyle w:val="Compact"/>
              <w:jc w:val="left"/>
            </w:pPr>
            <w:r>
              <w:t xml:space="preserve">S</w:t>
            </w:r>
          </w:p>
        </w:tc>
        <w:tc>
          <w:tcPr/>
          <w:p>
            <w:pPr>
              <w:pStyle w:val="Compact"/>
              <w:jc w:val="left"/>
            </w:pPr>
            <w:r>
              <w:t xml:space="preserve">Y</w:t>
            </w:r>
          </w:p>
        </w:tc>
        <w:tc>
          <w:tcPr/>
          <w:p>
            <w:pPr>
              <w:pStyle w:val="Compact"/>
              <w:jc w:val="left"/>
            </w:pPr>
            <w:r>
              <w:t xml:space="preserve">N</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7.</w:t>
            </w:r>
          </w:p>
        </w:tc>
        <w:tc>
          <w:tcPr/>
          <w:p>
            <w:pPr>
              <w:pStyle w:val="Compact"/>
              <w:jc w:val="left"/>
            </w:pPr>
            <w:r>
              <w:t xml:space="preserve">Rail or Bus Passenger,</w:t>
            </w:r>
          </w:p>
        </w:tc>
        <w:tc>
          <w:tcPr/>
          <w:p>
            <w:pPr>
              <w:pStyle w:val="Compact"/>
              <w:jc w:val="left"/>
            </w:pPr>
            <w:r>
              <w:t xml:space="preserve">station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r>
      <w:tr>
        <w:tc>
          <w:tcPr/>
          <w:p>
            <w:pPr>
              <w:pStyle w:val="Compact"/>
              <w:jc w:val="left"/>
            </w:pPr>
            <w:r>
              <w:t xml:space="preserve">8.</w:t>
            </w:r>
          </w:p>
        </w:tc>
        <w:tc>
          <w:tcPr/>
          <w:p>
            <w:pPr>
              <w:pStyle w:val="Compact"/>
              <w:jc w:val="left"/>
            </w:pPr>
            <w:r>
              <w:t xml:space="preserve">Taxi Cab, dispatching</w:t>
            </w:r>
          </w:p>
        </w:tc>
        <w:tc>
          <w:tcPr/>
          <w:p>
            <w:pPr>
              <w:pStyle w:val="Compact"/>
              <w:jc w:val="left"/>
            </w:pPr>
            <w:r>
              <w:t xml:space="preserve">office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9.</w:t>
            </w:r>
          </w:p>
        </w:tc>
        <w:tc>
          <w:tcPr/>
          <w:p>
            <w:pPr>
              <w:pStyle w:val="Compact"/>
              <w:jc w:val="left"/>
            </w:pPr>
            <w:r>
              <w:t xml:space="preserve">Taxi Cab, garage;</w:t>
            </w:r>
          </w:p>
        </w:tc>
        <w:tc>
          <w:tcPr/>
          <w:p>
            <w:pPr>
              <w:pStyle w:val="Compact"/>
              <w:jc w:val="left"/>
            </w:pPr>
            <w:r>
              <w:t xml:space="preserve">limousine livery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r>
      <w:tr>
        <w:tc>
          <w:tcPr/>
          <w:p>
            <w:pPr>
              <w:pStyle w:val="Compact"/>
            </w:pPr>
          </w:p>
        </w:tc>
        <w:tc>
          <w:tcPr/>
          <w:p>
            <w:pPr>
              <w:pStyle w:val="Compact"/>
              <w:jc w:val="left"/>
            </w:pPr>
            <w:r>
              <w:t xml:space="preserve">5.4.12. Accessory uses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 in</w:t>
            </w:r>
          </w:p>
        </w:tc>
        <w:tc>
          <w:tcPr/>
          <w:p>
            <w:pPr>
              <w:pStyle w:val="Compact"/>
              <w:jc w:val="left"/>
            </w:pPr>
            <w:r>
              <w:t xml:space="preserve">Any accessory use the district and located</w:t>
            </w:r>
          </w:p>
        </w:tc>
        <w:tc>
          <w:tcPr/>
          <w:p>
            <w:pPr>
              <w:pStyle w:val="Compact"/>
              <w:jc w:val="left"/>
            </w:pPr>
            <w:r>
              <w:t xml:space="preserve">customarily incidental to a use permitted on the same site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r>
      <w:tr>
        <w:tc>
          <w:tcPr/>
          <w:p>
            <w:pPr>
              <w:pStyle w:val="Compact"/>
              <w:jc w:val="left"/>
            </w:pPr>
            <w:r>
              <w:t xml:space="preserve">2. as</w:t>
            </w:r>
          </w:p>
        </w:tc>
        <w:tc>
          <w:tcPr/>
          <w:p>
            <w:pPr>
              <w:pStyle w:val="Compact"/>
              <w:jc w:val="left"/>
            </w:pPr>
            <w:r>
              <w:t xml:space="preserve">Any accessory use a special use in the</w:t>
            </w:r>
          </w:p>
        </w:tc>
        <w:tc>
          <w:tcPr/>
          <w:p>
            <w:pPr>
              <w:pStyle w:val="Compact"/>
              <w:jc w:val="left"/>
            </w:pPr>
            <w:r>
              <w:t xml:space="preserve">customarily incidental to a use permitted district and located on the same site</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r>
      <w:tr>
        <w:tc>
          <w:tcPr/>
          <w:p>
            <w:pPr>
              <w:pStyle w:val="Compact"/>
            </w:pPr>
          </w:p>
        </w:tc>
        <w:tc>
          <w:tcPr/>
          <w:p>
            <w:pPr>
              <w:pStyle w:val="Compact"/>
              <w:jc w:val="left"/>
            </w:pPr>
            <w:r>
              <w:t xml:space="preserve">FOOTNOTE KEY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Y The use shall be permitted under provisions of this ordinance for a limited time as customarily appropriate to the use and not to exceed T one(1) year.</w:t>
      </w:r>
    </w:p>
    <w:p>
      <w:pPr>
        <w:numPr>
          <w:ilvl w:val="0"/>
          <w:numId w:val="1040"/>
        </w:numPr>
      </w:pPr>
      <w:r>
        <w:t xml:space="preserve">1. Special-use permit required for lots under five acres.</w:t>
      </w:r>
    </w:p>
    <w:p>
      <w:pPr>
        <w:numPr>
          <w:ilvl w:val="0"/>
          <w:numId w:val="1041"/>
        </w:numPr>
      </w:pPr>
      <w:r>
        <w:t xml:space="preserve">2. Falls under Section 5.6.3.7</w:t>
      </w:r>
    </w:p>
    <w:p>
      <w:pPr>
        <w:numPr>
          <w:ilvl w:val="0"/>
          <w:numId w:val="1000"/>
        </w:numPr>
      </w:pPr>
      <w:r>
        <w:t xml:space="preserve">3. See Section 6.2</w:t>
      </w:r>
    </w:p>
    <w:p>
      <w:pPr>
        <w:numPr>
          <w:ilvl w:val="0"/>
          <w:numId w:val="1000"/>
        </w:numPr>
      </w:pPr>
      <w:r>
        <w:t xml:space="preserve">4. Only in areas served by municipal water and sewers.</w:t>
      </w:r>
    </w:p>
    <w:p>
      <w:pPr>
        <w:numPr>
          <w:ilvl w:val="0"/>
          <w:numId w:val="1042"/>
        </w:numPr>
      </w:pPr>
      <w:r>
        <w:t xml:space="preserve">5. Must be screened by an opaque fence or hedge no less than seven feet in height.</w:t>
      </w:r>
    </w:p>
    <w:p>
      <w:pPr>
        <w:numPr>
          <w:ilvl w:val="0"/>
          <w:numId w:val="1043"/>
        </w:numPr>
      </w:pPr>
      <w:r>
        <w:t xml:space="preserve">6. Adult Specialty Shops shall not be located within 1,000 feet of a residential district, a house of worship, a school, or a playground. No explicit material or advertising shall be visible from the exterior of the building.</w:t>
      </w:r>
    </w:p>
    <w:p>
      <w:pPr>
        <w:numPr>
          <w:ilvl w:val="0"/>
          <w:numId w:val="1044"/>
        </w:numPr>
      </w:pPr>
      <w:r>
        <w:t xml:space="preserve">7. GLA: Gross Leasable Area. The Gross leasable area shall include indoor and outdoor space utilized for retail display and sale of goods. The gross leasable area of adjacent stores shall be aggregated in cases where the stores are (1) engaged in the selling of similar or related goods, wares, or merchandise and operate under common ownership or management; (2) share checkstands, a warehouse, or a distribution facility; or (3) otherwise operate as associated, integrated, or co-operative business enterprises.</w:t>
      </w:r>
    </w:p>
    <w:p>
      <w:pPr>
        <w:numPr>
          <w:ilvl w:val="0"/>
          <w:numId w:val="1045"/>
        </w:numPr>
      </w:pPr>
      <w:r>
        <w:t xml:space="preserve">8. Only in areas served by municipal water.</w:t>
      </w:r>
    </w:p>
    <w:p>
      <w:pPr>
        <w:numPr>
          <w:ilvl w:val="0"/>
          <w:numId w:val="1046"/>
        </w:numPr>
      </w:pPr>
      <w:r>
        <w:t xml:space="preserve">9. Light industrial only</w:t>
      </w:r>
    </w:p>
    <w:p>
      <w:pPr>
        <w:numPr>
          <w:ilvl w:val="0"/>
          <w:numId w:val="1000"/>
        </w:numPr>
      </w:pPr>
      <w:r>
        <w:t xml:space="preserve">10. Allowed by right within developed portions of existing developed sites of two or more acres. (Ord. of 4-1-2019)</w:t>
      </w:r>
    </w:p>
    <w:bookmarkEnd w:id="41"/>
    <w:bookmarkStart w:id="42" w:name="district-dimensional-regulations"/>
    <w:p>
      <w:pPr>
        <w:pStyle w:val="Heading2"/>
      </w:pPr>
      <w:r>
        <w:t xml:space="preserve">§ 5.5. District dimensional regulations</w:t>
      </w:r>
    </w:p>
    <w:p>
      <w:pPr>
        <w:pStyle w:val="FirstParagraph"/>
      </w:pPr>
      <w:r>
        <w:t xml:space="preserve">Sec. 5.5. District dimensional regulations.</w:t>
      </w:r>
    </w:p>
    <w:p>
      <w:pPr>
        <w:pStyle w:val="BodyText"/>
      </w:pPr>
      <w:r>
        <w:t xml:space="preserve">Note: Section 6 and subsections 5.6 and 9.3, where applicable, contain certain provisions, modifications, and limitations to the following dimensional regulations.</w:t>
      </w:r>
    </w:p>
    <w:p>
      <w:pPr>
        <w:numPr>
          <w:ilvl w:val="0"/>
          <w:numId w:val="1047"/>
        </w:numPr>
      </w:pPr>
      <w:r>
        <w:t xml:space="preserve">5.5.1. Residential districts.</w:t>
      </w:r>
    </w:p>
    <w:tbl>
      <w:tblPr>
        <w:tblStyle w:val="Table"/>
        <w:tblW w:type="auto" w:w="0"/>
        <w:jc w:val="left"/>
        <w:tblLook w:firstRow="1" w:lastRow="0" w:firstColumn="0" w:lastColumn="0" w:noHBand="0" w:noVBand="0" w:val="0020"/>
      </w:tblPr>
      <w:tblGrid>
        <w:gridCol w:w="565"/>
        <w:gridCol w:w="565"/>
        <w:gridCol w:w="565"/>
        <w:gridCol w:w="565"/>
        <w:gridCol w:w="565"/>
        <w:gridCol w:w="565"/>
        <w:gridCol w:w="565"/>
        <w:gridCol w:w="565"/>
        <w:gridCol w:w="565"/>
        <w:gridCol w:w="565"/>
        <w:gridCol w:w="565"/>
        <w:gridCol w:w="565"/>
        <w:gridCol w:w="565"/>
        <w:gridCol w:w="565"/>
      </w:tblGrid>
      <w:tr>
        <w:trPr>
          <w:tblHeader w:val="on"/>
        </w:trPr>
        <w:tc>
          <w:tcPr/>
          <w:p>
            <w:pPr>
              <w:pStyle w:val="Compact"/>
            </w:pPr>
          </w:p>
        </w:tc>
        <w:tc>
          <w:tcPr/>
          <w:p>
            <w:pPr>
              <w:pStyle w:val="Compact"/>
            </w:pPr>
          </w:p>
        </w:tc>
        <w:tc>
          <w:tcPr/>
          <w:p>
            <w:pPr>
              <w:pStyle w:val="Compact"/>
            </w:pPr>
          </w:p>
        </w:tc>
        <w:tc>
          <w:tcPr/>
          <w:p>
            <w:pPr>
              <w:pStyle w:val="Compact"/>
              <w:jc w:val="left"/>
            </w:pPr>
            <w:r>
              <w:t xml:space="preserve">MINIMUMS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OF</w:t>
            </w:r>
          </w:p>
        </w:tc>
        <w:tc>
          <w:tcPr/>
          <w:p>
            <w:pPr>
              <w:pStyle w:val="Compact"/>
              <w:jc w:val="left"/>
            </w:pPr>
            <w:r>
              <w:t xml:space="preserve">MAXIMUM MEAN</w:t>
            </w:r>
          </w:p>
        </w:tc>
        <w:tc>
          <w:tcPr/>
          <w:p>
            <w:pPr>
              <w:pStyle w:val="Compact"/>
              <w:jc w:val="left"/>
            </w:pPr>
            <w:r>
              <w:t xml:space="preserve">HEIGHT SECTION</w:t>
            </w:r>
          </w:p>
        </w:tc>
      </w:tr>
      <w:tr>
        <w:tc>
          <w:tcPr/>
          <w:p>
            <w:pPr>
              <w:pStyle w:val="Compact"/>
            </w:pPr>
          </w:p>
        </w:tc>
        <w:tc>
          <w:tcPr/>
          <w:p>
            <w:pPr>
              <w:pStyle w:val="Compact"/>
            </w:pPr>
          </w:p>
        </w:tc>
        <w:tc>
          <w:tcPr/>
          <w:p>
            <w:pPr>
              <w:pStyle w:val="Compact"/>
            </w:pPr>
          </w:p>
        </w:tc>
        <w:tc>
          <w:tcPr/>
          <w:p>
            <w:pPr>
              <w:pStyle w:val="Compact"/>
              <w:jc w:val="left"/>
            </w:pPr>
            <w:r>
              <w:t xml:space="preserve">Area1 Lot (sq. ft.)</w:t>
            </w:r>
          </w:p>
        </w:tc>
        <w:tc>
          <w:tcPr/>
          <w:p>
            <w:pPr>
              <w:pStyle w:val="Compact"/>
              <w:jc w:val="left"/>
            </w:pPr>
            <w:r>
              <w:t xml:space="preserve">Lot Frontage2</w:t>
            </w:r>
          </w:p>
        </w:tc>
        <w:tc>
          <w:tcPr/>
          <w:p>
            <w:pPr>
              <w:pStyle w:val="Compact"/>
              <w:jc w:val="left"/>
            </w:pPr>
            <w:r>
              <w:t xml:space="preserve">Front Depth</w:t>
            </w:r>
          </w:p>
        </w:tc>
        <w:tc>
          <w:tcPr/>
          <w:p>
            <w:pPr>
              <w:pStyle w:val="Compact"/>
              <w:jc w:val="left"/>
            </w:pPr>
            <w:r>
              <w:t xml:space="preserve">Rear (feet)</w:t>
            </w:r>
          </w:p>
        </w:tc>
        <w:tc>
          <w:tcPr/>
          <w:p>
            <w:pPr>
              <w:pStyle w:val="Compact"/>
              <w:jc w:val="left"/>
            </w:pPr>
            <w:r>
              <w:t xml:space="preserve">Yard</w:t>
            </w:r>
          </w:p>
        </w:tc>
        <w:tc>
          <w:tcPr/>
          <w:p>
            <w:pPr>
              <w:pStyle w:val="Compact"/>
              <w:jc w:val="left"/>
            </w:pPr>
            <w:r>
              <w:t xml:space="preserve">Side (each</w:t>
            </w:r>
          </w:p>
        </w:tc>
        <w:tc>
          <w:tcPr/>
          <w:p>
            <w:pPr>
              <w:pStyle w:val="Compact"/>
              <w:jc w:val="left"/>
            </w:pPr>
            <w:r>
              <w:t xml:space="preserve">Yards side)</w:t>
            </w:r>
          </w:p>
        </w:tc>
        <w:tc>
          <w:tcPr/>
          <w:p>
            <w:pPr>
              <w:pStyle w:val="Compact"/>
              <w:jc w:val="left"/>
            </w:pPr>
            <w:r>
              <w:t xml:space="preserve">Building Coverage3</w:t>
            </w:r>
          </w:p>
        </w:tc>
        <w:tc>
          <w:tcPr/>
          <w:p>
            <w:pPr>
              <w:pStyle w:val="Compact"/>
              <w:jc w:val="left"/>
            </w:pPr>
            <w:r>
              <w:t xml:space="preserve">Main Structure</w:t>
            </w:r>
          </w:p>
        </w:tc>
        <w:tc>
          <w:tcPr/>
          <w:p>
            <w:pPr>
              <w:pStyle w:val="Compact"/>
            </w:pPr>
          </w:p>
        </w:tc>
        <w:tc>
          <w:tcPr/>
          <w:p>
            <w:pPr>
              <w:pStyle w:val="Compact"/>
              <w:jc w:val="left"/>
            </w:pPr>
            <w:r>
              <w:t xml:space="preserve">Accessory Structures</w:t>
            </w: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(feet)</w:t>
            </w:r>
          </w:p>
        </w:tc>
        <w:tc>
          <w:tcPr/>
          <w:p>
            <w:pPr>
              <w:pStyle w:val="Compact"/>
              <w:jc w:val="left"/>
            </w:pPr>
            <w:r>
              <w:t xml:space="preserve">(feet)</w:t>
            </w:r>
          </w:p>
        </w:tc>
        <w:tc>
          <w:tcPr/>
          <w:p>
            <w:pPr>
              <w:pStyle w:val="Compact"/>
            </w:pPr>
          </w:p>
        </w:tc>
        <w:tc>
          <w:tcPr/>
          <w:p>
            <w:pPr>
              <w:pStyle w:val="Compact"/>
            </w:pPr>
          </w:p>
        </w:tc>
        <w:tc>
          <w:tcPr/>
          <w:p>
            <w:pPr>
              <w:pStyle w:val="Compact"/>
              <w:jc w:val="left"/>
            </w:pPr>
            <w:r>
              <w:t xml:space="preserve">(feet)</w:t>
            </w:r>
          </w:p>
        </w:tc>
        <w:tc>
          <w:tcPr/>
          <w:p>
            <w:pPr>
              <w:pStyle w:val="Compact"/>
            </w:pPr>
          </w:p>
        </w:tc>
        <w:tc>
          <w:tcPr/>
          <w:p>
            <w:pPr>
              <w:pStyle w:val="Compact"/>
              <w:jc w:val="left"/>
            </w:pPr>
            <w:r>
              <w:t xml:space="preserve">(percent)</w:t>
            </w:r>
          </w:p>
        </w:tc>
        <w:tc>
          <w:tcPr/>
          <w:p>
            <w:pPr>
              <w:pStyle w:val="Compact"/>
              <w:jc w:val="left"/>
            </w:pPr>
            <w:r>
              <w:t xml:space="preserve">(feet)</w:t>
            </w:r>
          </w:p>
        </w:tc>
        <w:tc>
          <w:tcPr/>
          <w:p>
            <w:pPr>
              <w:pStyle w:val="Compact"/>
            </w:pPr>
          </w:p>
        </w:tc>
        <w:tc>
          <w:tcPr/>
          <w:p>
            <w:pPr>
              <w:pStyle w:val="Compact"/>
              <w:jc w:val="left"/>
            </w:pPr>
            <w:r>
              <w:t xml:space="preserve">(feet)</w:t>
            </w:r>
          </w:p>
        </w:tc>
      </w:tr>
      <w:tr>
        <w:tc>
          <w:tcPr/>
          <w:p>
            <w:pPr>
              <w:pStyle w:val="Compact"/>
              <w:jc w:val="left"/>
            </w:pPr>
            <w:r>
              <w:t xml:space="preserve">REA Residential</w:t>
            </w:r>
          </w:p>
        </w:tc>
        <w:tc>
          <w:tcPr/>
          <w:p>
            <w:pPr>
              <w:pStyle w:val="Compact"/>
              <w:jc w:val="left"/>
            </w:pPr>
            <w:r>
              <w:t xml:space="preserve">District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Single-family</w:t>
            </w:r>
          </w:p>
        </w:tc>
        <w:tc>
          <w:tcPr/>
          <w:p>
            <w:pPr>
              <w:pStyle w:val="Compact"/>
              <w:jc w:val="left"/>
            </w:pPr>
            <w:r>
              <w:t xml:space="preserve">dwelling</w:t>
            </w:r>
          </w:p>
        </w:tc>
        <w:tc>
          <w:tcPr/>
          <w:p>
            <w:pPr>
              <w:pStyle w:val="Compact"/>
              <w:jc w:val="left"/>
            </w:pPr>
            <w:r>
              <w:t xml:space="preserve">120,000</w:t>
            </w:r>
          </w:p>
        </w:tc>
        <w:tc>
          <w:tcPr/>
          <w:p>
            <w:pPr>
              <w:pStyle w:val="Compact"/>
              <w:jc w:val="left"/>
            </w:pPr>
            <w:r>
              <w:t xml:space="preserve">300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20</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Other permitted special-use</w:t>
            </w:r>
          </w:p>
        </w:tc>
        <w:tc>
          <w:tcPr/>
          <w:p>
            <w:pPr>
              <w:pStyle w:val="Compact"/>
              <w:jc w:val="left"/>
            </w:pPr>
            <w:r>
              <w:t xml:space="preserve">or permit uses</w:t>
            </w:r>
          </w:p>
        </w:tc>
        <w:tc>
          <w:tcPr/>
          <w:p>
            <w:pPr>
              <w:pStyle w:val="Compact"/>
              <w:jc w:val="left"/>
            </w:pPr>
            <w:r>
              <w:t xml:space="preserve">120,000</w:t>
            </w:r>
          </w:p>
        </w:tc>
        <w:tc>
          <w:tcPr/>
          <w:p>
            <w:pPr>
              <w:pStyle w:val="Compact"/>
              <w:jc w:val="left"/>
            </w:pPr>
            <w:r>
              <w:t xml:space="preserve">300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20</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jc w:val="left"/>
            </w:pPr>
            <w:r>
              <w:t xml:space="preserve">RA Residential</w:t>
            </w:r>
          </w:p>
        </w:tc>
        <w:tc>
          <w:tcPr/>
          <w:p>
            <w:pPr>
              <w:pStyle w:val="Compact"/>
              <w:jc w:val="left"/>
            </w:pPr>
            <w:r>
              <w:t xml:space="preserve">District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Single-family</w:t>
            </w:r>
          </w:p>
        </w:tc>
        <w:tc>
          <w:tcPr/>
          <w:p>
            <w:pPr>
              <w:pStyle w:val="Compact"/>
              <w:jc w:val="left"/>
            </w:pPr>
            <w:r>
              <w:t xml:space="preserve">dwelling</w:t>
            </w:r>
          </w:p>
        </w:tc>
        <w:tc>
          <w:tcPr/>
          <w:p>
            <w:pPr>
              <w:pStyle w:val="Compact"/>
              <w:jc w:val="left"/>
            </w:pPr>
            <w:r>
              <w:t xml:space="preserve">65,000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25</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Two-family</w:t>
            </w:r>
          </w:p>
        </w:tc>
        <w:tc>
          <w:tcPr/>
          <w:p>
            <w:pPr>
              <w:pStyle w:val="Compact"/>
              <w:jc w:val="left"/>
            </w:pPr>
            <w:r>
              <w:t xml:space="preserve">dwelling</w:t>
            </w:r>
          </w:p>
        </w:tc>
        <w:tc>
          <w:tcPr/>
          <w:p>
            <w:pPr>
              <w:pStyle w:val="Compact"/>
              <w:jc w:val="left"/>
            </w:pPr>
            <w:r>
              <w:t xml:space="preserve">130,000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25</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Multifamily apartment 20,000 sq. ft. bedroom)</w:t>
            </w:r>
          </w:p>
        </w:tc>
        <w:tc>
          <w:tcPr/>
          <w:p>
            <w:pPr>
              <w:pStyle w:val="Compact"/>
              <w:jc w:val="left"/>
            </w:pPr>
            <w:r>
              <w:t xml:space="preserve">dwelling or house (plus for each</w:t>
            </w:r>
          </w:p>
        </w:tc>
        <w:tc>
          <w:tcPr/>
          <w:p>
            <w:pPr>
              <w:pStyle w:val="Compact"/>
              <w:jc w:val="left"/>
            </w:pPr>
            <w:r>
              <w:t xml:space="preserve">65,000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30</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Other permitted special-use</w:t>
            </w:r>
          </w:p>
        </w:tc>
        <w:tc>
          <w:tcPr/>
          <w:p>
            <w:pPr>
              <w:pStyle w:val="Compact"/>
              <w:jc w:val="left"/>
            </w:pPr>
            <w:r>
              <w:t xml:space="preserve">or permit uses</w:t>
            </w:r>
          </w:p>
        </w:tc>
        <w:tc>
          <w:tcPr/>
          <w:p>
            <w:pPr>
              <w:pStyle w:val="Compact"/>
              <w:jc w:val="left"/>
            </w:pPr>
            <w:r>
              <w:t xml:space="preserve">65,000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25</w:t>
            </w:r>
          </w:p>
        </w:tc>
        <w:tc>
          <w:tcPr/>
          <w:p>
            <w:pPr>
              <w:pStyle w:val="Compact"/>
              <w:jc w:val="left"/>
            </w:pPr>
            <w:r>
              <w:t xml:space="preserve">35</w:t>
            </w:r>
          </w:p>
        </w:tc>
        <w:tc>
          <w:tcPr/>
          <w:p>
            <w:pPr>
              <w:pStyle w:val="Compact"/>
            </w:pPr>
          </w:p>
        </w:tc>
        <w:tc>
          <w:tcPr/>
          <w:p>
            <w:pPr>
              <w:pStyle w:val="Compact"/>
              <w:jc w:val="left"/>
            </w:pPr>
            <w:r>
              <w:t xml:space="preserve">25</w:t>
            </w:r>
          </w:p>
        </w:tc>
      </w:tr>
      <w:tr>
        <w:tc>
          <w:tcPr/>
          <w:p>
            <w:pPr>
              <w:pStyle w:val="Compact"/>
              <w:jc w:val="left"/>
            </w:pPr>
            <w:r>
              <w:t xml:space="preserve">RS Residential</w:t>
            </w:r>
          </w:p>
        </w:tc>
        <w:tc>
          <w:tcPr/>
          <w:p>
            <w:pPr>
              <w:pStyle w:val="Compact"/>
              <w:jc w:val="left"/>
            </w:pPr>
            <w:r>
              <w:t xml:space="preserve">Districts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Single-family</w:t>
            </w:r>
          </w:p>
        </w:tc>
        <w:tc>
          <w:tcPr/>
          <w:p>
            <w:pPr>
              <w:pStyle w:val="Compact"/>
              <w:jc w:val="left"/>
            </w:pPr>
            <w:r>
              <w:t xml:space="preserve">dwelling</w:t>
            </w:r>
          </w:p>
        </w:tc>
        <w:tc>
          <w:tcPr/>
          <w:p>
            <w:pPr>
              <w:pStyle w:val="Compact"/>
              <w:jc w:val="left"/>
            </w:pPr>
            <w:r>
              <w:t xml:space="preserve">40,000</w:t>
            </w:r>
          </w:p>
        </w:tc>
        <w:tc>
          <w:tcPr/>
          <w:p>
            <w:pPr>
              <w:pStyle w:val="Compact"/>
              <w:jc w:val="left"/>
            </w:pPr>
            <w:r>
              <w:t xml:space="preserve">150</w:t>
            </w:r>
          </w:p>
        </w:tc>
        <w:tc>
          <w:tcPr/>
          <w:p>
            <w:pPr>
              <w:pStyle w:val="Compact"/>
              <w:jc w:val="left"/>
            </w:pPr>
            <w:r>
              <w:t xml:space="preserve">30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Two-family</w:t>
            </w:r>
          </w:p>
        </w:tc>
        <w:tc>
          <w:tcPr/>
          <w:p>
            <w:pPr>
              <w:pStyle w:val="Compact"/>
              <w:jc w:val="left"/>
            </w:pPr>
            <w:r>
              <w:t xml:space="preserve">dwelling</w:t>
            </w:r>
          </w:p>
        </w:tc>
        <w:tc>
          <w:tcPr/>
          <w:p>
            <w:pPr>
              <w:pStyle w:val="Compact"/>
              <w:jc w:val="left"/>
            </w:pPr>
            <w:r>
              <w:t xml:space="preserve">80,000</w:t>
            </w:r>
          </w:p>
        </w:tc>
        <w:tc>
          <w:tcPr/>
          <w:p>
            <w:pPr>
              <w:pStyle w:val="Compact"/>
              <w:jc w:val="left"/>
            </w:pPr>
            <w:r>
              <w:t xml:space="preserve">175</w:t>
            </w:r>
          </w:p>
        </w:tc>
        <w:tc>
          <w:tcPr/>
          <w:p>
            <w:pPr>
              <w:pStyle w:val="Compact"/>
              <w:jc w:val="left"/>
            </w:pPr>
            <w:r>
              <w:t xml:space="preserve">30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Multifamily apartment 6,000 sq. ft. bedroom)</w:t>
            </w:r>
          </w:p>
        </w:tc>
        <w:tc>
          <w:tcPr/>
          <w:p>
            <w:pPr>
              <w:pStyle w:val="Compact"/>
              <w:jc w:val="left"/>
            </w:pPr>
            <w:r>
              <w:t xml:space="preserve">dwelling or house (plus for each</w:t>
            </w:r>
          </w:p>
        </w:tc>
        <w:tc>
          <w:tcPr/>
          <w:p>
            <w:pPr>
              <w:pStyle w:val="Compact"/>
              <w:jc w:val="left"/>
            </w:pPr>
            <w:r>
              <w:t xml:space="preserve">40,000</w:t>
            </w:r>
          </w:p>
        </w:tc>
        <w:tc>
          <w:tcPr/>
          <w:p>
            <w:pPr>
              <w:pStyle w:val="Compact"/>
              <w:jc w:val="left"/>
            </w:pPr>
            <w:r>
              <w:t xml:space="preserve">200</w:t>
            </w:r>
          </w:p>
        </w:tc>
        <w:tc>
          <w:tcPr/>
          <w:p>
            <w:pPr>
              <w:pStyle w:val="Compact"/>
              <w:jc w:val="left"/>
            </w:pPr>
            <w:r>
              <w:t xml:space="preserve">30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30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Other permitted special-use</w:t>
            </w:r>
          </w:p>
        </w:tc>
        <w:tc>
          <w:tcPr/>
          <w:p>
            <w:pPr>
              <w:pStyle w:val="Compact"/>
              <w:jc w:val="left"/>
            </w:pPr>
            <w:r>
              <w:t xml:space="preserve">or permit uses</w:t>
            </w:r>
          </w:p>
        </w:tc>
        <w:tc>
          <w:tcPr/>
          <w:p>
            <w:pPr>
              <w:pStyle w:val="Compact"/>
              <w:jc w:val="left"/>
            </w:pPr>
            <w:r>
              <w:t xml:space="preserve">40,000</w:t>
            </w:r>
          </w:p>
        </w:tc>
        <w:tc>
          <w:tcPr/>
          <w:p>
            <w:pPr>
              <w:pStyle w:val="Compact"/>
              <w:jc w:val="left"/>
            </w:pPr>
            <w:r>
              <w:t xml:space="preserve">150</w:t>
            </w:r>
          </w:p>
        </w:tc>
        <w:tc>
          <w:tcPr/>
          <w:p>
            <w:pPr>
              <w:pStyle w:val="Compact"/>
              <w:jc w:val="left"/>
            </w:pPr>
            <w:r>
              <w:t xml:space="preserve">30</w:t>
            </w:r>
          </w:p>
        </w:tc>
        <w:tc>
          <w:tcPr/>
          <w:p>
            <w:pPr>
              <w:pStyle w:val="Compact"/>
              <w:jc w:val="left"/>
            </w:pPr>
            <w:r>
              <w:t xml:space="preserve">40</w:t>
            </w: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jc w:val="left"/>
            </w:pPr>
            <w:r>
              <w:t xml:space="preserve">RU Residential</w:t>
            </w:r>
          </w:p>
        </w:tc>
        <w:tc>
          <w:tcPr/>
          <w:p>
            <w:pPr>
              <w:pStyle w:val="Compact"/>
              <w:jc w:val="left"/>
            </w:pPr>
            <w:r>
              <w:t xml:space="preserve">Districts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Single-family</w:t>
            </w:r>
          </w:p>
        </w:tc>
        <w:tc>
          <w:tcPr/>
          <w:p>
            <w:pPr>
              <w:pStyle w:val="Compact"/>
              <w:jc w:val="left"/>
            </w:pPr>
            <w:r>
              <w:t xml:space="preserve">dwelling</w:t>
            </w:r>
          </w:p>
        </w:tc>
        <w:tc>
          <w:tcPr/>
          <w:p>
            <w:pPr>
              <w:pStyle w:val="Compact"/>
              <w:jc w:val="left"/>
            </w:pPr>
            <w:r>
              <w:t xml:space="preserve">20,000</w:t>
            </w:r>
          </w:p>
        </w:tc>
        <w:tc>
          <w:tcPr/>
          <w:p>
            <w:pPr>
              <w:pStyle w:val="Compact"/>
              <w:jc w:val="left"/>
            </w:pPr>
            <w:r>
              <w:t xml:space="preserve">100</w:t>
            </w:r>
          </w:p>
        </w:tc>
        <w:tc>
          <w:tcPr/>
          <w:p>
            <w:pPr>
              <w:pStyle w:val="Compact"/>
              <w:jc w:val="left"/>
            </w:pPr>
            <w:r>
              <w:t xml:space="preserve">25</w:t>
            </w:r>
          </w:p>
        </w:tc>
        <w:tc>
          <w:tcPr/>
          <w:p>
            <w:pPr>
              <w:pStyle w:val="Compact"/>
              <w:jc w:val="left"/>
            </w:pPr>
            <w:r>
              <w:t xml:space="preserve">40</w:t>
            </w:r>
          </w:p>
        </w:tc>
        <w:tc>
          <w:tcPr/>
          <w:p>
            <w:pPr>
              <w:pStyle w:val="Compact"/>
            </w:pPr>
          </w:p>
        </w:tc>
        <w:tc>
          <w:tcPr/>
          <w:p>
            <w:pPr>
              <w:pStyle w:val="Compact"/>
              <w:jc w:val="left"/>
            </w:pPr>
            <w:r>
              <w:t xml:space="preserve">20</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Two-family</w:t>
            </w:r>
          </w:p>
        </w:tc>
        <w:tc>
          <w:tcPr/>
          <w:p>
            <w:pPr>
              <w:pStyle w:val="Compact"/>
              <w:jc w:val="left"/>
            </w:pPr>
            <w:r>
              <w:t xml:space="preserve">dwelling</w:t>
            </w:r>
          </w:p>
        </w:tc>
        <w:tc>
          <w:tcPr/>
          <w:p>
            <w:pPr>
              <w:pStyle w:val="Compact"/>
              <w:jc w:val="left"/>
            </w:pPr>
            <w:r>
              <w:t xml:space="preserve">30,000</w:t>
            </w:r>
          </w:p>
        </w:tc>
        <w:tc>
          <w:tcPr/>
          <w:p>
            <w:pPr>
              <w:pStyle w:val="Compact"/>
              <w:jc w:val="left"/>
            </w:pPr>
            <w:r>
              <w:t xml:space="preserve">120</w:t>
            </w:r>
          </w:p>
        </w:tc>
        <w:tc>
          <w:tcPr/>
          <w:p>
            <w:pPr>
              <w:pStyle w:val="Compact"/>
              <w:jc w:val="left"/>
            </w:pPr>
            <w:r>
              <w:t xml:space="preserve">25</w:t>
            </w:r>
          </w:p>
        </w:tc>
        <w:tc>
          <w:tcPr/>
          <w:p>
            <w:pPr>
              <w:pStyle w:val="Compact"/>
              <w:jc w:val="left"/>
            </w:pPr>
            <w:r>
              <w:t xml:space="preserve">40</w:t>
            </w:r>
          </w:p>
        </w:tc>
        <w:tc>
          <w:tcPr/>
          <w:p>
            <w:pPr>
              <w:pStyle w:val="Compact"/>
            </w:pPr>
          </w:p>
        </w:tc>
        <w:tc>
          <w:tcPr/>
          <w:p>
            <w:pPr>
              <w:pStyle w:val="Compact"/>
              <w:jc w:val="left"/>
            </w:pPr>
            <w:r>
              <w:t xml:space="preserve">20</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Multifamily apartment 4,000 sq. ft. bedroom)</w:t>
            </w:r>
          </w:p>
        </w:tc>
        <w:tc>
          <w:tcPr/>
          <w:p>
            <w:pPr>
              <w:pStyle w:val="Compact"/>
              <w:jc w:val="left"/>
            </w:pPr>
            <w:r>
              <w:t xml:space="preserve">dwelling or house (plus for each</w:t>
            </w:r>
          </w:p>
        </w:tc>
        <w:tc>
          <w:tcPr/>
          <w:p>
            <w:pPr>
              <w:pStyle w:val="Compact"/>
              <w:jc w:val="left"/>
            </w:pPr>
            <w:r>
              <w:t xml:space="preserve">6,000</w:t>
            </w:r>
          </w:p>
        </w:tc>
        <w:tc>
          <w:tcPr/>
          <w:p>
            <w:pPr>
              <w:pStyle w:val="Compact"/>
              <w:jc w:val="left"/>
            </w:pPr>
            <w:r>
              <w:t xml:space="preserve">200</w:t>
            </w:r>
          </w:p>
        </w:tc>
        <w:tc>
          <w:tcPr/>
          <w:p>
            <w:pPr>
              <w:pStyle w:val="Compact"/>
              <w:jc w:val="left"/>
            </w:pPr>
            <w:r>
              <w:t xml:space="preserve">25</w:t>
            </w:r>
          </w:p>
        </w:tc>
        <w:tc>
          <w:tcPr/>
          <w:p>
            <w:pPr>
              <w:pStyle w:val="Compact"/>
              <w:jc w:val="left"/>
            </w:pPr>
            <w:r>
              <w:t xml:space="preserve">40</w:t>
            </w:r>
          </w:p>
        </w:tc>
        <w:tc>
          <w:tcPr/>
          <w:p>
            <w:pPr>
              <w:pStyle w:val="Compact"/>
            </w:pPr>
          </w:p>
        </w:tc>
        <w:tc>
          <w:tcPr/>
          <w:p>
            <w:pPr>
              <w:pStyle w:val="Compact"/>
              <w:jc w:val="left"/>
            </w:pPr>
            <w:r>
              <w:t xml:space="preserve">20</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Other permitted special-use</w:t>
            </w:r>
          </w:p>
        </w:tc>
        <w:tc>
          <w:tcPr/>
          <w:p>
            <w:pPr>
              <w:pStyle w:val="Compact"/>
              <w:jc w:val="left"/>
            </w:pPr>
            <w:r>
              <w:t xml:space="preserve">or permit uses</w:t>
            </w:r>
          </w:p>
        </w:tc>
        <w:tc>
          <w:tcPr/>
          <w:p>
            <w:pPr>
              <w:pStyle w:val="Compact"/>
              <w:jc w:val="left"/>
            </w:pPr>
            <w:r>
              <w:t xml:space="preserve">10,000</w:t>
            </w:r>
          </w:p>
        </w:tc>
        <w:tc>
          <w:tcPr/>
          <w:p>
            <w:pPr>
              <w:pStyle w:val="Compact"/>
              <w:jc w:val="left"/>
            </w:pPr>
            <w:r>
              <w:t xml:space="preserve">100</w:t>
            </w:r>
          </w:p>
        </w:tc>
        <w:tc>
          <w:tcPr/>
          <w:p>
            <w:pPr>
              <w:pStyle w:val="Compact"/>
              <w:jc w:val="left"/>
            </w:pPr>
            <w:r>
              <w:t xml:space="preserve">25</w:t>
            </w:r>
          </w:p>
        </w:tc>
        <w:tc>
          <w:tcPr/>
          <w:p>
            <w:pPr>
              <w:pStyle w:val="Compact"/>
              <w:jc w:val="left"/>
            </w:pPr>
            <w:r>
              <w:t xml:space="preserve">40</w:t>
            </w:r>
          </w:p>
        </w:tc>
        <w:tc>
          <w:tcPr/>
          <w:p>
            <w:pPr>
              <w:pStyle w:val="Compact"/>
            </w:pPr>
          </w:p>
        </w:tc>
        <w:tc>
          <w:tcPr/>
          <w:p>
            <w:pPr>
              <w:pStyle w:val="Compact"/>
              <w:jc w:val="left"/>
            </w:pPr>
            <w:r>
              <w:t xml:space="preserve">20</w:t>
            </w:r>
          </w:p>
        </w:tc>
        <w:tc>
          <w:tcPr/>
          <w:p>
            <w:pPr>
              <w:pStyle w:val="Compact"/>
            </w:pPr>
          </w:p>
        </w:tc>
        <w:tc>
          <w:tcPr/>
          <w:p>
            <w:pPr>
              <w:pStyle w:val="Compact"/>
              <w:jc w:val="left"/>
            </w:pPr>
            <w:r>
              <w:t xml:space="preserve">20</w:t>
            </w:r>
          </w:p>
        </w:tc>
        <w:tc>
          <w:tcPr/>
          <w:p>
            <w:pPr>
              <w:pStyle w:val="Compact"/>
              <w:jc w:val="left"/>
            </w:pPr>
            <w:r>
              <w:t xml:space="preserve">30</w:t>
            </w:r>
          </w:p>
        </w:tc>
        <w:tc>
          <w:tcPr/>
          <w:p>
            <w:pPr>
              <w:pStyle w:val="Compact"/>
            </w:pPr>
          </w:p>
        </w:tc>
        <w:tc>
          <w:tcPr/>
          <w:p>
            <w:pPr>
              <w:pStyle w:val="Compact"/>
              <w:jc w:val="left"/>
            </w:pPr>
            <w:r>
              <w:t xml:space="preserve">25</w:t>
            </w:r>
          </w:p>
        </w:tc>
      </w:tr>
    </w:tbl>
    <w:p>
      <w:pPr>
        <w:pStyle w:val="BodyText"/>
      </w:pPr>
      <w:r>
        <w:t xml:space="preserve">________ 1 Lot areas shown may not be adequate to meet state sanitation approval.</w:t>
      </w:r>
    </w:p>
    <w:p>
      <w:pPr>
        <w:pStyle w:val="BodyText"/>
      </w:pPr>
      <w:r>
        <w:t xml:space="preserve">2 Lot width shall be measured at front yard depth. 3 Building coverage shall be measured as ground area of structure divided by total lot area.</w:t>
      </w:r>
    </w:p>
    <w:p>
      <w:pPr>
        <w:numPr>
          <w:ilvl w:val="0"/>
          <w:numId w:val="1048"/>
        </w:numPr>
      </w:pPr>
      <w:r>
        <w:t xml:space="preserve">4. For the purposes of calculating minimum lot and yard dimensions, area, density, maximum % coverage and the maximum number of lots or dwelling units permitted in a Conservation Development in any zoning 5.5.2. Nonresidential districts.</w:t>
      </w:r>
    </w:p>
    <w:tbl>
      <w:tblPr>
        <w:tblStyle w:val="Table"/>
        <w:tblW w:type="auto" w:w="0"/>
        <w:jc w:val="left"/>
        <w:tblLook w:firstRow="1" w:lastRow="0" w:firstColumn="0" w:lastColumn="0" w:noHBand="0" w:noVBand="0" w:val="0020"/>
      </w:tblPr>
      <w:tblGrid>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rPr>
          <w:tblHeader w:val="on"/>
        </w:trP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HEIGHT</w:t>
            </w:r>
          </w:p>
        </w:tc>
        <w:tc>
          <w:tcPr/>
          <w:p>
            <w:pPr>
              <w:pStyle w:val="Compact"/>
              <w:jc w:val="left"/>
            </w:pPr>
            <w:r>
              <w:t xml:space="preserve">MAXIMUM</w:t>
            </w:r>
          </w:p>
        </w:tc>
        <w:tc>
          <w:tcPr/>
          <w:p>
            <w:pPr>
              <w:pStyle w:val="Compact"/>
            </w:pPr>
          </w:p>
        </w:tc>
        <w:tc>
          <w:tcPr/>
          <w:p>
            <w:pPr>
              <w:pStyle w:val="Compact"/>
              <w:jc w:val="left"/>
            </w:pPr>
            <w:r>
              <w:t xml:space="preserve">BUILDING</w:t>
            </w: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Minimum</w:t>
            </w:r>
          </w:p>
        </w:tc>
        <w:tc>
          <w:tcPr/>
          <w:p>
            <w:pPr>
              <w:pStyle w:val="Compact"/>
              <w:jc w:val="left"/>
            </w:pPr>
            <w:r>
              <w:t xml:space="preserve">Yard</w:t>
            </w:r>
          </w:p>
        </w:tc>
        <w:tc>
          <w:tcPr/>
          <w:p>
            <w:pPr>
              <w:pStyle w:val="Compact"/>
              <w:jc w:val="left"/>
            </w:pPr>
            <w:r>
              <w:t xml:space="preserve">Depths</w:t>
            </w:r>
          </w:p>
        </w:tc>
        <w:tc>
          <w:tcPr/>
          <w:p>
            <w:pPr>
              <w:pStyle w:val="Compact"/>
              <w:jc w:val="left"/>
            </w:pPr>
            <w:r>
              <w:t xml:space="preserve">(in feet)</w:t>
            </w:r>
          </w:p>
        </w:tc>
        <w:tc>
          <w:tcPr/>
          <w:p>
            <w:pPr>
              <w:pStyle w:val="Compact"/>
            </w:pPr>
          </w:p>
        </w:tc>
        <w:tc>
          <w:tcPr/>
          <w:p>
            <w:pPr>
              <w:pStyle w:val="Compact"/>
            </w:pPr>
          </w:p>
        </w:tc>
        <w:tc>
          <w:tcPr/>
          <w:p>
            <w:pPr>
              <w:pStyle w:val="Compact"/>
            </w:pPr>
          </w:p>
        </w:tc>
        <w:tc>
          <w:tcPr/>
          <w:p>
            <w:pPr>
              <w:pStyle w:val="Compact"/>
              <w:jc w:val="left"/>
            </w:pPr>
            <w:r>
              <w:t xml:space="preserve">Main Structures</w:t>
            </w:r>
          </w:p>
        </w:tc>
        <w:tc>
          <w:tcPr/>
          <w:p>
            <w:pPr>
              <w:pStyle w:val="Compact"/>
            </w:pPr>
          </w:p>
        </w:tc>
        <w:tc>
          <w:tcPr/>
          <w:p>
            <w:pPr>
              <w:pStyle w:val="Compact"/>
              <w:jc w:val="left"/>
            </w:pPr>
            <w:r>
              <w:t xml:space="preserve">Accessory Structures</w:t>
            </w:r>
          </w:p>
        </w:tc>
        <w:tc>
          <w:tcPr/>
          <w:p>
            <w:pPr>
              <w:pStyle w:val="Compact"/>
            </w:pPr>
          </w:p>
        </w:tc>
        <w:tc>
          <w:tcPr/>
          <w:p>
            <w:pPr>
              <w:pStyle w:val="Compact"/>
            </w:pPr>
          </w:p>
        </w:tc>
        <w:tc>
          <w:tcPr/>
          <w:p>
            <w:pPr>
              <w:pStyle w:val="Compact"/>
              <w:jc w:val="left"/>
            </w:pPr>
            <w:r>
              <w:t xml:space="preserve">Maximum Floor</w:t>
            </w:r>
          </w:p>
        </w:tc>
        <w:tc>
          <w:tcPr/>
          <w:p>
            <w:pPr>
              <w:pStyle w:val="Compact"/>
              <w:jc w:val="left"/>
            </w:pPr>
            <w:r>
              <w:t xml:space="preserve">Area</w:t>
            </w: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Minimum</w:t>
            </w:r>
          </w:p>
        </w:tc>
        <w:tc>
          <w:tcPr/>
          <w:p>
            <w:pPr>
              <w:pStyle w:val="Compact"/>
            </w:pPr>
          </w:p>
        </w:tc>
        <w:tc>
          <w:tcPr/>
          <w:p>
            <w:pPr>
              <w:pStyle w:val="Compact"/>
              <w:jc w:val="left"/>
            </w:pPr>
            <w:r>
              <w:t xml:space="preserve">Front</w:t>
            </w:r>
          </w:p>
        </w:tc>
        <w:tc>
          <w:tcPr/>
          <w:p>
            <w:pPr>
              <w:pStyle w:val="Compact"/>
            </w:pPr>
          </w:p>
        </w:tc>
        <w:tc>
          <w:tcPr/>
          <w:p>
            <w:pPr>
              <w:pStyle w:val="Compact"/>
              <w:jc w:val="left"/>
            </w:pPr>
            <w:r>
              <w:t xml:space="preserve">Rear</w:t>
            </w:r>
          </w:p>
        </w:tc>
        <w:tc>
          <w:tcPr/>
          <w:p>
            <w:pPr>
              <w:pStyle w:val="Compact"/>
            </w:pPr>
          </w:p>
        </w:tc>
        <w:tc>
          <w:tcPr/>
          <w:p>
            <w:pPr>
              <w:pStyle w:val="Compact"/>
              <w:jc w:val="left"/>
            </w:pPr>
            <w:r>
              <w:t xml:space="preserve">Side</w:t>
            </w:r>
          </w:p>
        </w:tc>
        <w:tc>
          <w:tcPr/>
          <w:p>
            <w:pPr>
              <w:pStyle w:val="Compact"/>
            </w:pPr>
          </w:p>
        </w:tc>
        <w:tc>
          <w:tcPr/>
          <w:p>
            <w:pPr>
              <w:pStyle w:val="Compact"/>
            </w:pPr>
          </w:p>
        </w:tc>
        <w:tc>
          <w:tcPr/>
          <w:p>
            <w:pPr>
              <w:pStyle w:val="Compact"/>
              <w:jc w:val="left"/>
            </w:pPr>
            <w:r>
              <w:t xml:space="preserve">(feet)</w:t>
            </w:r>
          </w:p>
        </w:tc>
        <w:tc>
          <w:tcPr/>
          <w:p>
            <w:pPr>
              <w:pStyle w:val="Compact"/>
            </w:pPr>
          </w:p>
        </w:tc>
        <w:tc>
          <w:tcPr/>
          <w:p>
            <w:pPr>
              <w:pStyle w:val="Compact"/>
              <w:jc w:val="left"/>
            </w:pPr>
            <w:r>
              <w:t xml:space="preserve">(feet)</w:t>
            </w:r>
          </w:p>
        </w:tc>
        <w:tc>
          <w:tcPr/>
          <w:p>
            <w:pPr>
              <w:pStyle w:val="Compact"/>
            </w:pPr>
          </w:p>
        </w:tc>
        <w:tc>
          <w:tcPr/>
          <w:p>
            <w:pPr>
              <w:pStyle w:val="Compact"/>
            </w:pPr>
          </w:p>
        </w:tc>
        <w:tc>
          <w:tcPr/>
          <w:p>
            <w:pPr>
              <w:pStyle w:val="Compact"/>
              <w:jc w:val="left"/>
            </w:pPr>
            <w:r>
              <w:t xml:space="preserve">Ratio1</w:t>
            </w: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from Zone</w:t>
            </w:r>
          </w:p>
        </w:tc>
        <w:tc>
          <w:tcPr/>
          <w:p>
            <w:pPr>
              <w:pStyle w:val="Compact"/>
              <w:jc w:val="left"/>
            </w:pPr>
            <w:r>
              <w:t xml:space="preserve">Distances Structure Residential Boundary</w:t>
            </w:r>
          </w:p>
        </w:tc>
        <w:tc>
          <w:tcPr/>
          <w:p>
            <w:pPr>
              <w:pStyle w:val="Compact"/>
              <w:jc w:val="left"/>
            </w:pPr>
            <w:r>
              <w:t xml:space="preserve">of (in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feet)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BH</w:t>
            </w:r>
          </w:p>
        </w:tc>
        <w:tc>
          <w:tcPr/>
          <w:p>
            <w:pPr>
              <w:pStyle w:val="Compact"/>
            </w:pPr>
          </w:p>
        </w:tc>
        <w:tc>
          <w:tcPr/>
          <w:p>
            <w:pPr>
              <w:pStyle w:val="Compact"/>
              <w:jc w:val="left"/>
            </w:pPr>
            <w:r>
              <w:t xml:space="preserve">Business District. Any use2 permitted</w:t>
            </w:r>
          </w:p>
        </w:tc>
        <w:tc>
          <w:tcPr/>
          <w:p>
            <w:pPr>
              <w:pStyle w:val="Compact"/>
              <w:jc w:val="left"/>
            </w:pPr>
            <w:r>
              <w:t xml:space="preserve">25</w:t>
            </w:r>
          </w:p>
        </w:tc>
        <w:tc>
          <w:tcPr/>
          <w:p>
            <w:pPr>
              <w:pStyle w:val="Compact"/>
            </w:pP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30</w:t>
            </w:r>
          </w:p>
        </w:tc>
        <w:tc>
          <w:tcPr/>
          <w:p>
            <w:pPr>
              <w:pStyle w:val="Compact"/>
            </w:pPr>
          </w:p>
        </w:tc>
        <w:tc>
          <w:tcPr/>
          <w:p>
            <w:pPr>
              <w:pStyle w:val="Compact"/>
              <w:jc w:val="left"/>
            </w:pPr>
            <w:r>
              <w:t xml:space="preserve">15</w:t>
            </w:r>
          </w:p>
        </w:tc>
        <w:tc>
          <w:tcPr/>
          <w:p>
            <w:pPr>
              <w:pStyle w:val="Compact"/>
            </w:pPr>
          </w:p>
        </w:tc>
        <w:tc>
          <w:tcPr/>
          <w:p>
            <w:pPr>
              <w:pStyle w:val="Compact"/>
            </w:pPr>
          </w:p>
        </w:tc>
        <w:tc>
          <w:tcPr/>
          <w:p>
            <w:pPr>
              <w:pStyle w:val="Compact"/>
              <w:jc w:val="left"/>
            </w:pPr>
            <w:r>
              <w:t xml:space="preserve">35</w:t>
            </w:r>
          </w:p>
        </w:tc>
        <w:tc>
          <w:tcPr/>
          <w:p>
            <w:pPr>
              <w:pStyle w:val="Compact"/>
            </w:pPr>
          </w:p>
        </w:tc>
        <w:tc>
          <w:tcPr/>
          <w:p>
            <w:pPr>
              <w:pStyle w:val="Compact"/>
              <w:jc w:val="left"/>
            </w:pPr>
            <w:r>
              <w:t xml:space="preserve">20</w:t>
            </w:r>
          </w:p>
        </w:tc>
        <w:tc>
          <w:tcPr/>
          <w:p>
            <w:pPr>
              <w:pStyle w:val="Compact"/>
            </w:pPr>
          </w:p>
        </w:tc>
        <w:tc>
          <w:tcPr/>
          <w:p>
            <w:pPr>
              <w:pStyle w:val="Compact"/>
            </w:pPr>
          </w:p>
        </w:tc>
        <w:tc>
          <w:tcPr/>
          <w:p>
            <w:pPr>
              <w:pStyle w:val="Compact"/>
              <w:jc w:val="left"/>
            </w:pPr>
            <w:r>
              <w:t xml:space="preserve">0.25</w:t>
            </w:r>
          </w:p>
        </w:tc>
        <w:tc>
          <w:tcPr/>
          <w:p>
            <w:pPr>
              <w:pStyle w:val="Compact"/>
            </w:pPr>
          </w:p>
        </w:tc>
      </w:tr>
      <w:tr>
        <w:tc>
          <w:tcPr/>
          <w:p>
            <w:pPr>
              <w:pStyle w:val="Compact"/>
              <w:jc w:val="left"/>
            </w:pPr>
            <w:r>
              <w:t xml:space="preserve">BN</w:t>
            </w:r>
          </w:p>
        </w:tc>
        <w:tc>
          <w:tcPr/>
          <w:p>
            <w:pPr>
              <w:pStyle w:val="Compact"/>
            </w:pPr>
          </w:p>
        </w:tc>
        <w:tc>
          <w:tcPr/>
          <w:p>
            <w:pPr>
              <w:pStyle w:val="Compact"/>
              <w:jc w:val="left"/>
            </w:pPr>
            <w:r>
              <w:t xml:space="preserve">Business District. Any use2 permitted</w:t>
            </w:r>
          </w:p>
        </w:tc>
        <w:tc>
          <w:tcPr/>
          <w:p>
            <w:pPr>
              <w:pStyle w:val="Compact"/>
              <w:jc w:val="left"/>
            </w:pPr>
            <w:r>
              <w:t xml:space="preserve">25</w:t>
            </w:r>
          </w:p>
        </w:tc>
        <w:tc>
          <w:tcPr/>
          <w:p>
            <w:pPr>
              <w:pStyle w:val="Compact"/>
            </w:pPr>
          </w:p>
        </w:tc>
        <w:tc>
          <w:tcPr/>
          <w:p>
            <w:pPr>
              <w:pStyle w:val="Compact"/>
            </w:pPr>
          </w:p>
        </w:tc>
        <w:tc>
          <w:tcPr/>
          <w:p>
            <w:pPr>
              <w:pStyle w:val="Compact"/>
              <w:jc w:val="left"/>
            </w:pPr>
            <w:r>
              <w:t xml:space="preserve">25</w:t>
            </w:r>
          </w:p>
        </w:tc>
        <w:tc>
          <w:tcPr/>
          <w:p>
            <w:pPr>
              <w:pStyle w:val="Compact"/>
            </w:pPr>
          </w:p>
        </w:tc>
        <w:tc>
          <w:tcPr/>
          <w:p>
            <w:pPr>
              <w:pStyle w:val="Compact"/>
              <w:jc w:val="left"/>
            </w:pPr>
            <w:r>
              <w:t xml:space="preserve">30</w:t>
            </w:r>
          </w:p>
        </w:tc>
        <w:tc>
          <w:tcPr/>
          <w:p>
            <w:pPr>
              <w:pStyle w:val="Compact"/>
            </w:pPr>
          </w:p>
        </w:tc>
        <w:tc>
          <w:tcPr/>
          <w:p>
            <w:pPr>
              <w:pStyle w:val="Compact"/>
              <w:jc w:val="left"/>
            </w:pPr>
            <w:r>
              <w:t xml:space="preserve">15</w:t>
            </w:r>
          </w:p>
        </w:tc>
        <w:tc>
          <w:tcPr/>
          <w:p>
            <w:pPr>
              <w:pStyle w:val="Compact"/>
            </w:pPr>
          </w:p>
        </w:tc>
        <w:tc>
          <w:tcPr/>
          <w:p>
            <w:pPr>
              <w:pStyle w:val="Compact"/>
            </w:pPr>
          </w:p>
        </w:tc>
        <w:tc>
          <w:tcPr/>
          <w:p>
            <w:pPr>
              <w:pStyle w:val="Compact"/>
              <w:jc w:val="left"/>
            </w:pPr>
            <w:r>
              <w:t xml:space="preserve">35</w:t>
            </w:r>
          </w:p>
        </w:tc>
        <w:tc>
          <w:tcPr/>
          <w:p>
            <w:pPr>
              <w:pStyle w:val="Compact"/>
            </w:pPr>
          </w:p>
        </w:tc>
        <w:tc>
          <w:tcPr/>
          <w:p>
            <w:pPr>
              <w:pStyle w:val="Compact"/>
              <w:jc w:val="left"/>
            </w:pPr>
            <w:r>
              <w:t xml:space="preserve">20</w:t>
            </w:r>
          </w:p>
        </w:tc>
        <w:tc>
          <w:tcPr/>
          <w:p>
            <w:pPr>
              <w:pStyle w:val="Compact"/>
            </w:pPr>
          </w:p>
        </w:tc>
        <w:tc>
          <w:tcPr/>
          <w:p>
            <w:pPr>
              <w:pStyle w:val="Compact"/>
            </w:pPr>
          </w:p>
        </w:tc>
        <w:tc>
          <w:tcPr/>
          <w:p>
            <w:pPr>
              <w:pStyle w:val="Compact"/>
              <w:jc w:val="left"/>
            </w:pPr>
            <w:r>
              <w:t xml:space="preserve">0.25</w:t>
            </w:r>
          </w:p>
        </w:tc>
        <w:tc>
          <w:tcPr/>
          <w:p>
            <w:pPr>
              <w:pStyle w:val="Compact"/>
            </w:pPr>
          </w:p>
        </w:tc>
      </w:tr>
      <w:tr>
        <w:tc>
          <w:tcPr/>
          <w:p>
            <w:pPr>
              <w:pStyle w:val="Compact"/>
              <w:jc w:val="left"/>
            </w:pPr>
            <w:r>
              <w:t xml:space="preserve">M</w:t>
            </w:r>
          </w:p>
        </w:tc>
        <w:tc>
          <w:tcPr/>
          <w:p>
            <w:pPr>
              <w:pStyle w:val="Compact"/>
            </w:pPr>
          </w:p>
        </w:tc>
        <w:tc>
          <w:tcPr/>
          <w:p>
            <w:pPr>
              <w:pStyle w:val="Compact"/>
              <w:jc w:val="left"/>
            </w:pPr>
            <w:r>
              <w:t xml:space="preserve">Manufacturin g District. Any use2 permitted</w:t>
            </w:r>
          </w:p>
        </w:tc>
        <w:tc>
          <w:tcPr/>
          <w:p>
            <w:pPr>
              <w:pStyle w:val="Compact"/>
              <w:jc w:val="left"/>
            </w:pPr>
            <w:r>
              <w:t xml:space="preserve">100</w:t>
            </w:r>
          </w:p>
        </w:tc>
        <w:tc>
          <w:tcPr/>
          <w:p>
            <w:pPr>
              <w:pStyle w:val="Compact"/>
            </w:pPr>
          </w:p>
        </w:tc>
        <w:tc>
          <w:tcPr/>
          <w:p>
            <w:pPr>
              <w:pStyle w:val="Compact"/>
            </w:pPr>
          </w:p>
        </w:tc>
        <w:tc>
          <w:tcPr/>
          <w:p>
            <w:pPr>
              <w:pStyle w:val="Compact"/>
              <w:jc w:val="left"/>
            </w:pPr>
            <w:r>
              <w:t xml:space="preserve">40</w:t>
            </w:r>
          </w:p>
        </w:tc>
        <w:tc>
          <w:tcPr/>
          <w:p>
            <w:pPr>
              <w:pStyle w:val="Compact"/>
            </w:pPr>
          </w:p>
        </w:tc>
        <w:tc>
          <w:tcPr/>
          <w:p>
            <w:pPr>
              <w:pStyle w:val="Compact"/>
              <w:jc w:val="left"/>
            </w:pPr>
            <w:r>
              <w:t xml:space="preserve">40</w:t>
            </w:r>
          </w:p>
        </w:tc>
        <w:tc>
          <w:tcPr/>
          <w:p>
            <w:pPr>
              <w:pStyle w:val="Compact"/>
            </w:pPr>
          </w:p>
        </w:tc>
        <w:tc>
          <w:tcPr/>
          <w:p>
            <w:pPr>
              <w:pStyle w:val="Compact"/>
              <w:jc w:val="left"/>
            </w:pPr>
            <w:r>
              <w:t xml:space="preserve">40</w:t>
            </w:r>
          </w:p>
        </w:tc>
        <w:tc>
          <w:tcPr/>
          <w:p>
            <w:pPr>
              <w:pStyle w:val="Compact"/>
            </w:pPr>
          </w:p>
        </w:tc>
        <w:tc>
          <w:tcPr/>
          <w:p>
            <w:pPr>
              <w:pStyle w:val="Compact"/>
            </w:pPr>
          </w:p>
        </w:tc>
        <w:tc>
          <w:tcPr/>
          <w:p>
            <w:pPr>
              <w:pStyle w:val="Compact"/>
              <w:jc w:val="left"/>
            </w:pPr>
            <w:r>
              <w:t xml:space="preserve">35</w:t>
            </w:r>
          </w:p>
        </w:tc>
        <w:tc>
          <w:tcPr/>
          <w:p>
            <w:pPr>
              <w:pStyle w:val="Compact"/>
            </w:pPr>
          </w:p>
        </w:tc>
        <w:tc>
          <w:tcPr/>
          <w:p>
            <w:pPr>
              <w:pStyle w:val="Compact"/>
              <w:jc w:val="left"/>
            </w:pPr>
            <w:r>
              <w:t xml:space="preserve">20</w:t>
            </w:r>
          </w:p>
        </w:tc>
        <w:tc>
          <w:tcPr/>
          <w:p>
            <w:pPr>
              <w:pStyle w:val="Compact"/>
            </w:pPr>
          </w:p>
        </w:tc>
        <w:tc>
          <w:tcPr/>
          <w:p>
            <w:pPr>
              <w:pStyle w:val="Compact"/>
            </w:pPr>
          </w:p>
        </w:tc>
        <w:tc>
          <w:tcPr/>
          <w:p>
            <w:pPr>
              <w:pStyle w:val="Compact"/>
              <w:jc w:val="left"/>
            </w:pPr>
            <w:r>
              <w:t xml:space="preserve">1.00</w:t>
            </w:r>
          </w:p>
        </w:tc>
        <w:tc>
          <w:tcPr/>
          <w:p>
            <w:pPr>
              <w:pStyle w:val="Compact"/>
            </w:pPr>
          </w:p>
        </w:tc>
      </w:tr>
      <w:tr>
        <w:tc>
          <w:tcPr/>
          <w:p>
            <w:pPr>
              <w:pStyle w:val="Compact"/>
            </w:pPr>
          </w:p>
        </w:tc>
        <w:tc>
          <w:tcPr/>
          <w:p>
            <w:pPr>
              <w:pStyle w:val="Compact"/>
            </w:pPr>
          </w:p>
        </w:tc>
        <w:tc>
          <w:tcPr/>
          <w:p>
            <w:pPr>
              <w:pStyle w:val="Compact"/>
              <w:jc w:val="left"/>
            </w:pPr>
            <w:r>
              <w:t xml:space="preserve">Land Development Project. Any permitted use</w:t>
            </w:r>
          </w:p>
        </w:tc>
        <w:tc>
          <w:tcPr/>
          <w:p>
            <w:pPr>
              <w:pStyle w:val="Compact"/>
              <w:jc w:val="left"/>
            </w:pPr>
            <w:r>
              <w:t xml:space="preserve">100</w:t>
            </w:r>
          </w:p>
        </w:tc>
        <w:tc>
          <w:tcPr/>
          <w:p>
            <w:pPr>
              <w:pStyle w:val="Compact"/>
            </w:pPr>
          </w:p>
        </w:tc>
        <w:tc>
          <w:tcPr/>
          <w:p>
            <w:pPr>
              <w:pStyle w:val="Compact"/>
            </w:pPr>
          </w:p>
        </w:tc>
        <w:tc>
          <w:tcPr/>
          <w:p>
            <w:pPr>
              <w:pStyle w:val="Compact"/>
              <w:jc w:val="left"/>
            </w:pPr>
            <w:r>
              <w:t xml:space="preserve">-</w:t>
            </w:r>
          </w:p>
        </w:tc>
        <w:tc>
          <w:tcPr/>
          <w:p>
            <w:pPr>
              <w:pStyle w:val="Compact"/>
            </w:pPr>
          </w:p>
        </w:tc>
        <w:tc>
          <w:tcPr/>
          <w:p>
            <w:pPr>
              <w:pStyle w:val="Compact"/>
              <w:jc w:val="left"/>
            </w:pPr>
            <w:r>
              <w:t xml:space="preserve">-</w:t>
            </w:r>
          </w:p>
        </w:tc>
        <w:tc>
          <w:tcPr/>
          <w:p>
            <w:pPr>
              <w:pStyle w:val="Compact"/>
            </w:pPr>
          </w:p>
        </w:tc>
        <w:tc>
          <w:tcPr/>
          <w:p>
            <w:pPr>
              <w:pStyle w:val="Compact"/>
              <w:jc w:val="left"/>
            </w:pPr>
            <w:r>
              <w:t xml:space="preserve">-</w:t>
            </w:r>
          </w:p>
        </w:tc>
        <w:tc>
          <w:tcPr/>
          <w:p>
            <w:pPr>
              <w:pStyle w:val="Compact"/>
            </w:pPr>
          </w:p>
        </w:tc>
        <w:tc>
          <w:tcPr/>
          <w:p>
            <w:pPr>
              <w:pStyle w:val="Compact"/>
            </w:pPr>
          </w:p>
        </w:tc>
        <w:tc>
          <w:tcPr/>
          <w:p>
            <w:pPr>
              <w:pStyle w:val="Compact"/>
              <w:jc w:val="left"/>
            </w:pPr>
            <w:r>
              <w:t xml:space="preserve">35</w:t>
            </w:r>
          </w:p>
        </w:tc>
        <w:tc>
          <w:tcPr/>
          <w:p>
            <w:pPr>
              <w:pStyle w:val="Compact"/>
            </w:pPr>
          </w:p>
        </w:tc>
        <w:tc>
          <w:tcPr/>
          <w:p>
            <w:pPr>
              <w:pStyle w:val="Compact"/>
              <w:jc w:val="left"/>
            </w:pPr>
            <w:r>
              <w:t xml:space="preserve">20</w:t>
            </w:r>
          </w:p>
        </w:tc>
        <w:tc>
          <w:tcPr/>
          <w:p>
            <w:pPr>
              <w:pStyle w:val="Compact"/>
            </w:pPr>
          </w:p>
        </w:tc>
        <w:tc>
          <w:tcPr/>
          <w:p>
            <w:pPr>
              <w:pStyle w:val="Compact"/>
            </w:pPr>
          </w:p>
        </w:tc>
        <w:tc>
          <w:tcPr/>
          <w:p>
            <w:pPr>
              <w:pStyle w:val="Compact"/>
              <w:jc w:val="left"/>
            </w:pPr>
            <w:r>
              <w:t xml:space="preserve">0.25</w:t>
            </w:r>
          </w:p>
        </w:tc>
        <w:tc>
          <w:tcPr/>
          <w:p>
            <w:pPr>
              <w:pStyle w:val="Compact"/>
            </w:pPr>
          </w:p>
        </w:tc>
      </w:tr>
      <w:tr>
        <w:tc>
          <w:tcPr/>
          <w:p>
            <w:pPr>
              <w:pStyle w:val="Compact"/>
              <w:jc w:val="left"/>
            </w:pPr>
            <w:r>
              <w:t xml:space="preserve">LC</w:t>
            </w:r>
          </w:p>
        </w:tc>
        <w:tc>
          <w:tcPr/>
          <w:p>
            <w:pPr>
              <w:pStyle w:val="Compact"/>
            </w:pPr>
          </w:p>
        </w:tc>
        <w:tc>
          <w:tcPr/>
          <w:p>
            <w:pPr>
              <w:pStyle w:val="Compact"/>
              <w:jc w:val="left"/>
            </w:pPr>
            <w:r>
              <w:t xml:space="preserve">Limited Commercial. Any permitted use</w:t>
            </w:r>
          </w:p>
        </w:tc>
        <w:tc>
          <w:tcPr/>
          <w:p>
            <w:pPr>
              <w:pStyle w:val="Compact"/>
              <w:jc w:val="left"/>
            </w:pPr>
            <w:r>
              <w:t xml:space="preserve">25</w:t>
            </w:r>
          </w:p>
        </w:tc>
        <w:tc>
          <w:tcPr/>
          <w:p>
            <w:pPr>
              <w:pStyle w:val="Compact"/>
            </w:pPr>
          </w:p>
        </w:tc>
        <w:tc>
          <w:tcPr/>
          <w:p>
            <w:pPr>
              <w:pStyle w:val="Compact"/>
            </w:pPr>
          </w:p>
        </w:tc>
        <w:tc>
          <w:tcPr/>
          <w:p>
            <w:pPr>
              <w:pStyle w:val="Compact"/>
              <w:jc w:val="left"/>
            </w:pPr>
            <w:r>
              <w:t xml:space="preserve">30</w:t>
            </w:r>
          </w:p>
        </w:tc>
        <w:tc>
          <w:tcPr/>
          <w:p>
            <w:pPr>
              <w:pStyle w:val="Compact"/>
            </w:pPr>
          </w:p>
        </w:tc>
        <w:tc>
          <w:tcPr/>
          <w:p>
            <w:pPr>
              <w:pStyle w:val="Compact"/>
              <w:jc w:val="left"/>
            </w:pPr>
            <w:r>
              <w:t xml:space="preserve">15</w:t>
            </w:r>
          </w:p>
        </w:tc>
        <w:tc>
          <w:tcPr/>
          <w:p>
            <w:pPr>
              <w:pStyle w:val="Compact"/>
            </w:pPr>
          </w:p>
        </w:tc>
        <w:tc>
          <w:tcPr/>
          <w:p>
            <w:pPr>
              <w:pStyle w:val="Compact"/>
              <w:jc w:val="left"/>
            </w:pPr>
            <w:r>
              <w:t xml:space="preserve">15</w:t>
            </w:r>
          </w:p>
        </w:tc>
        <w:tc>
          <w:tcPr/>
          <w:p>
            <w:pPr>
              <w:pStyle w:val="Compact"/>
            </w:pPr>
          </w:p>
        </w:tc>
        <w:tc>
          <w:tcPr/>
          <w:p>
            <w:pPr>
              <w:pStyle w:val="Compact"/>
            </w:pPr>
          </w:p>
        </w:tc>
        <w:tc>
          <w:tcPr/>
          <w:p>
            <w:pPr>
              <w:pStyle w:val="Compact"/>
              <w:jc w:val="left"/>
            </w:pPr>
            <w:r>
              <w:t xml:space="preserve">35</w:t>
            </w:r>
          </w:p>
        </w:tc>
        <w:tc>
          <w:tcPr/>
          <w:p>
            <w:pPr>
              <w:pStyle w:val="Compact"/>
            </w:pPr>
          </w:p>
        </w:tc>
        <w:tc>
          <w:tcPr/>
          <w:p>
            <w:pPr>
              <w:pStyle w:val="Compact"/>
              <w:jc w:val="left"/>
            </w:pPr>
            <w:r>
              <w:t xml:space="preserve">20</w:t>
            </w:r>
          </w:p>
        </w:tc>
        <w:tc>
          <w:tcPr/>
          <w:p>
            <w:pPr>
              <w:pStyle w:val="Compact"/>
            </w:pPr>
          </w:p>
        </w:tc>
        <w:tc>
          <w:tcPr/>
          <w:p>
            <w:pPr>
              <w:pStyle w:val="Compact"/>
            </w:pPr>
          </w:p>
        </w:tc>
        <w:tc>
          <w:tcPr/>
          <w:p>
            <w:pPr>
              <w:pStyle w:val="Compact"/>
              <w:jc w:val="left"/>
            </w:pPr>
            <w:r>
              <w:t xml:space="preserve">0.25</w:t>
            </w:r>
          </w:p>
        </w:tc>
        <w:tc>
          <w:tcPr/>
          <w:p>
            <w:pPr>
              <w:pStyle w:val="Compact"/>
            </w:pPr>
          </w:p>
        </w:tc>
      </w:tr>
      <w:tr>
        <w:tc>
          <w:tcPr/>
          <w:p>
            <w:pPr>
              <w:pStyle w:val="Compact"/>
            </w:pPr>
          </w:p>
        </w:tc>
        <w:tc>
          <w:tcPr/>
          <w:p>
            <w:pPr>
              <w:pStyle w:val="Compact"/>
              <w:jc w:val="left"/>
            </w:pPr>
            <w:r>
              <w:t xml:space="preserve">________ 1 Floor 2 Any M regulations (Ord. Section 5.5.3 for created be 5.5.3.1 (a.) of the</w:t>
            </w:r>
          </w:p>
        </w:tc>
        <w:tc>
          <w:tcPr/>
          <w:p>
            <w:pPr>
              <w:pStyle w:val="Compact"/>
              <w:jc w:val="left"/>
            </w:pPr>
            <w:r>
              <w:t xml:space="preserve">area shall be permitted dimensional regulations Zones. Where shall apply. of 4-1-2019) 5.5.3 Land Land unsuitable development. conservation for the subject to the Land Fresh water edge of any</w:t>
            </w:r>
          </w:p>
        </w:tc>
        <w:tc>
          <w:tcPr/>
          <w:p>
            <w:pPr>
              <w:pStyle w:val="Compact"/>
              <w:jc w:val="left"/>
            </w:pPr>
            <w:r>
              <w:t xml:space="preserve">measured agricultural, of Residential The development purpose Unsuitable wetlands, bog,</w:t>
            </w:r>
          </w:p>
        </w:tc>
        <w:tc>
          <w:tcPr/>
          <w:p>
            <w:pPr>
              <w:pStyle w:val="Compact"/>
              <w:jc w:val="left"/>
            </w:pPr>
            <w:r>
              <w:t xml:space="preserve">the Unsuitable for of provisions</w:t>
            </w:r>
          </w:p>
        </w:tc>
        <w:tc>
          <w:tcPr/>
          <w:p>
            <w:pPr>
              <w:pStyle w:val="Compact"/>
              <w:jc w:val="left"/>
            </w:pPr>
            <w:r>
              <w:t xml:space="preserve">as: residential, nearest Zones following and of for marsh,</w:t>
            </w:r>
          </w:p>
        </w:tc>
        <w:tc>
          <w:tcPr/>
          <w:p>
            <w:pPr>
              <w:pStyle w:val="Compact"/>
              <w:jc w:val="left"/>
            </w:pPr>
            <w:r>
              <w:t xml:space="preserve">Total of for development (2) development this including swamp,</w:t>
            </w:r>
          </w:p>
        </w:tc>
        <w:tc>
          <w:tcPr/>
          <w:p>
            <w:pPr>
              <w:pStyle w:val="Compact"/>
              <w:jc w:val="left"/>
            </w:pPr>
            <w:r>
              <w:t xml:space="preserve">Floor Area public or Residential different means regulations a conventional prior subsection. Development that or</w:t>
            </w:r>
          </w:p>
        </w:tc>
        <w:tc>
          <w:tcPr/>
          <w:p>
            <w:pPr>
              <w:pStyle w:val="Compact"/>
              <w:jc w:val="left"/>
            </w:pPr>
            <w:r>
              <w:t xml:space="preserve">of Zone, regulations Development shall to area of pond,</w:t>
            </w:r>
          </w:p>
        </w:tc>
        <w:tc>
          <w:tcPr/>
          <w:p>
            <w:pPr>
              <w:pStyle w:val="Compact"/>
              <w:jc w:val="left"/>
            </w:pPr>
            <w:r>
              <w:t xml:space="preserve">Structure semi-public use rather than are land which apply the includes land as defined</w:t>
            </w:r>
          </w:p>
        </w:tc>
        <w:tc>
          <w:tcPr/>
          <w:p>
            <w:pPr>
              <w:pStyle w:val="Compact"/>
              <w:jc w:val="left"/>
            </w:pPr>
            <w:r>
              <w:t xml:space="preserve">(excluding within the equidistant, to development. effective the (perimeter</w:t>
            </w:r>
          </w:p>
        </w:tc>
        <w:tc>
          <w:tcPr/>
          <w:p>
            <w:pPr>
              <w:pStyle w:val="Compact"/>
              <w:jc w:val="left"/>
            </w:pPr>
            <w:r>
              <w:t xml:space="preserve">BH, dimensional the has severe proposed date following in the</w:t>
            </w:r>
          </w:p>
        </w:tc>
        <w:tc>
          <w:tcPr/>
          <w:p>
            <w:pPr>
              <w:pStyle w:val="Compact"/>
              <w:jc w:val="left"/>
            </w:pPr>
            <w:r>
              <w:t xml:space="preserve">basement) BN, of</w:t>
            </w:r>
          </w:p>
        </w:tc>
        <w:tc>
          <w:tcPr/>
          <w:p>
            <w:pPr>
              <w:pStyle w:val="Compact"/>
              <w:jc w:val="left"/>
            </w:pPr>
            <w:r>
              <w:t xml:space="preserve">or more or future Non-residential these areas: wetland) Rules</w:t>
            </w:r>
          </w:p>
        </w:tc>
        <w:tc>
          <w:tcPr/>
          <w:p>
            <w:pPr>
              <w:pStyle w:val="Compact"/>
              <w:jc w:val="left"/>
            </w:pPr>
            <w:r>
              <w:t xml:space="preserve">divided by M Zones regulations restrictive very severe residential within and</w:t>
            </w:r>
          </w:p>
        </w:tc>
        <w:tc>
          <w:tcPr/>
          <w:p>
            <w:pPr>
              <w:pStyle w:val="Compact"/>
              <w:jc w:val="left"/>
            </w:pPr>
            <w:r>
              <w:t xml:space="preserve">Total shall of BH, dimensional lots, amendments fifty Regulations</w:t>
            </w:r>
          </w:p>
        </w:tc>
        <w:tc>
          <w:tcPr/>
          <w:p>
            <w:pPr>
              <w:pStyle w:val="Compact"/>
              <w:jc w:val="left"/>
            </w:pPr>
            <w:r>
              <w:t xml:space="preserve">Lot conform lots and feet</w:t>
            </w:r>
          </w:p>
        </w:tc>
        <w:tc>
          <w:tcPr/>
          <w:p>
            <w:pPr>
              <w:pStyle w:val="Compact"/>
              <w:jc w:val="left"/>
            </w:pPr>
            <w:r>
              <w:t xml:space="preserve">Area. to BN, LC, limitations in lots shall (50’)</w:t>
            </w:r>
          </w:p>
        </w:tc>
        <w:tc>
          <w:tcPr/>
          <w:p>
            <w:pPr>
              <w:pStyle w:val="Compact"/>
              <w:jc w:val="left"/>
            </w:pPr>
            <w:r>
              <w:t xml:space="preserve">the or (1) a not</w:t>
            </w:r>
          </w:p>
        </w:tc>
        <w:tc>
          <w:tcPr/>
          <w:p>
            <w:pPr>
              <w:pStyle w:val="Compact"/>
            </w:pPr>
          </w:p>
        </w:tc>
      </w:tr>
      <w:tr>
        <w:tc>
          <w:tcPr/>
          <w:p>
            <w:pPr>
              <w:pStyle w:val="Compact"/>
            </w:pPr>
          </w:p>
        </w:tc>
        <w:tc>
          <w:tcPr/>
          <w:p>
            <w:pPr>
              <w:pStyle w:val="Compact"/>
            </w:pPr>
          </w:p>
        </w:tc>
        <w:tc>
          <w:tcPr/>
          <w:p>
            <w:pPr>
              <w:pStyle w:val="Compact"/>
              <w:jc w:val="left"/>
            </w:pPr>
            <w:r>
              <w:t xml:space="preserve">Governing the</w:t>
            </w:r>
          </w:p>
        </w:tc>
        <w:tc>
          <w:tcPr/>
          <w:p>
            <w:pPr>
              <w:pStyle w:val="Compact"/>
            </w:pPr>
          </w:p>
        </w:tc>
        <w:tc>
          <w:tcPr/>
          <w:p>
            <w:pPr>
              <w:pStyle w:val="Compact"/>
              <w:jc w:val="left"/>
            </w:pPr>
            <w:r>
              <w:t xml:space="preserve">Administration</w:t>
            </w:r>
          </w:p>
        </w:tc>
        <w:tc>
          <w:tcPr/>
          <w:p>
            <w:pPr>
              <w:pStyle w:val="Compact"/>
            </w:pPr>
          </w:p>
        </w:tc>
        <w:tc>
          <w:tcPr/>
          <w:p>
            <w:pPr>
              <w:pStyle w:val="Compact"/>
              <w:jc w:val="left"/>
            </w:pPr>
            <w:r>
              <w:t xml:space="preserve">and</w:t>
            </w:r>
          </w:p>
        </w:tc>
        <w:tc>
          <w:tcPr/>
          <w:p>
            <w:pPr>
              <w:pStyle w:val="Compact"/>
              <w:jc w:val="left"/>
            </w:pPr>
            <w:r>
              <w:t xml:space="preserve">Enforcement</w:t>
            </w:r>
          </w:p>
        </w:tc>
        <w:tc>
          <w:tcPr/>
          <w:p>
            <w:pPr>
              <w:pStyle w:val="Compact"/>
            </w:pPr>
          </w:p>
        </w:tc>
        <w:tc>
          <w:tcPr/>
          <w:p>
            <w:pPr>
              <w:pStyle w:val="Compact"/>
              <w:jc w:val="left"/>
            </w:pPr>
            <w:r>
              <w:t xml:space="preserve">of the</w:t>
            </w:r>
          </w:p>
        </w:tc>
        <w:tc>
          <w:tcPr/>
          <w:p>
            <w:pPr>
              <w:pStyle w:val="Compact"/>
            </w:pPr>
          </w:p>
        </w:tc>
        <w:tc>
          <w:tcPr/>
          <w:p>
            <w:pPr>
              <w:pStyle w:val="Compact"/>
              <w:jc w:val="left"/>
            </w:pPr>
            <w:r>
              <w:t xml:space="preserve">Freshwater</w:t>
            </w:r>
          </w:p>
        </w:tc>
        <w:tc>
          <w:tcPr/>
          <w:p>
            <w:pPr>
              <w:pStyle w:val="Compact"/>
            </w:pPr>
          </w:p>
        </w:tc>
        <w:tc>
          <w:tcPr/>
          <w:p>
            <w:pPr>
              <w:pStyle w:val="Compact"/>
              <w:jc w:val="left"/>
            </w:pPr>
            <w:r>
              <w:t xml:space="preserve">Wetlands</w:t>
            </w:r>
          </w:p>
        </w:tc>
        <w:tc>
          <w:tcPr/>
          <w:p>
            <w:pPr>
              <w:pStyle w:val="Compact"/>
              <w:jc w:val="left"/>
            </w:pPr>
            <w:r>
              <w:t xml:space="preserve">Act,</w:t>
            </w:r>
          </w:p>
        </w:tc>
        <w:tc>
          <w:tcPr/>
          <w:p>
            <w:pPr>
              <w:pStyle w:val="Compact"/>
            </w:pPr>
          </w:p>
        </w:tc>
        <w:tc>
          <w:tcPr/>
          <w:p>
            <w:pPr>
              <w:pStyle w:val="Compact"/>
              <w:jc w:val="left"/>
            </w:pPr>
            <w:r>
              <w:t xml:space="preserve">adopted</w:t>
            </w:r>
          </w:p>
        </w:tc>
        <w:tc>
          <w:tcPr/>
          <w:p>
            <w:pPr>
              <w:pStyle w:val="Compact"/>
            </w:pPr>
          </w:p>
        </w:tc>
        <w:tc>
          <w:tcPr/>
          <w:p>
            <w:pPr>
              <w:pStyle w:val="Compact"/>
            </w:pPr>
          </w:p>
        </w:tc>
        <w:tc>
          <w:tcPr/>
          <w:p>
            <w:pPr>
              <w:pStyle w:val="Compact"/>
            </w:pPr>
          </w:p>
        </w:tc>
      </w:tr>
    </w:tbl>
    <w:p>
      <w:pPr>
        <w:pStyle w:val="BodyText"/>
      </w:pPr>
      <w:r>
        <w:t xml:space="preserve">pursuant to Rhode Island General Laws Section 2-1-20.1. as amended.</w:t>
      </w:r>
    </w:p>
    <w:p>
      <w:pPr>
        <w:pStyle w:val="BodyText"/>
      </w:pPr>
      <w:r>
        <w:t xml:space="preserve">(b.) Water bodies (c.) Areas within a 100-year flood zone, as defined by FEMA; (d.) Land within the right of way of any existing or proposed public or private street. (e.) Land within any publicly or privately held easement on which above or below ground utilities, including but not limited to electrical transmission lines &gt;69KV, are constructed. (f.) Cemeteries.</w:t>
      </w:r>
    </w:p>
    <w:p>
      <w:pPr>
        <w:pStyle w:val="Compact"/>
        <w:numPr>
          <w:ilvl w:val="0"/>
          <w:numId w:val="1049"/>
        </w:numPr>
      </w:pPr>
    </w:p>
    <w:p>
      <w:pPr>
        <w:numPr>
          <w:ilvl w:val="1"/>
          <w:numId w:val="1050"/>
        </w:numPr>
      </w:pPr>
      <w:r>
        <w:t xml:space="preserve">5.5.3.2 Lots in a Conservation Development. When calculating the number of building lots or dwelling units in any conservation development, lots intended for single-family dwellings that are shown on a Conventional Yield Plan as provided in Section 4-1 (H) of the Land Development and Subdivision Regulations (The Basic Maximum Number of Dwelling Units), must contain the minimum contiguous developable lot area exclusive of land unsuitable for development as follows:</w:t>
      </w:r>
    </w:p>
    <w:p>
      <w:pPr>
        <w:pStyle w:val="Compact"/>
        <w:numPr>
          <w:ilvl w:val="0"/>
          <w:numId w:val="1051"/>
        </w:numPr>
      </w:pPr>
    </w:p>
    <w:p>
      <w:pPr>
        <w:numPr>
          <w:ilvl w:val="1"/>
          <w:numId w:val="1052"/>
        </w:numPr>
      </w:pPr>
      <w:r>
        <w:t xml:space="preserve">Minimum Contiguous Zoning District Developable Lot Area (sq. ft.)</w:t>
      </w:r>
    </w:p>
    <w:p>
      <w:pPr>
        <w:pStyle w:val="Compact"/>
        <w:numPr>
          <w:ilvl w:val="0"/>
          <w:numId w:val="1053"/>
        </w:numPr>
      </w:pPr>
    </w:p>
    <w:p>
      <w:pPr>
        <w:numPr>
          <w:ilvl w:val="1"/>
          <w:numId w:val="1054"/>
        </w:numPr>
      </w:pPr>
      <w:r>
        <w:t xml:space="preserve">RU-20 20,000 RS-40 40,000 RA-65 65,000 REA-120 120,000 5.5.3.3 Lots in a Conventional Development or Subdivision. Lots in any conventional subdivision, in any residential zoning district, shall contain at least the minimum contiguous developable lot area required by Section 5.5.3.2 as land suitable for development (exclusive of land unsuitable for development).</w:t>
      </w:r>
    </w:p>
    <w:bookmarkEnd w:id="42"/>
    <w:bookmarkStart w:id="43" w:name="special-use-permits"/>
    <w:p>
      <w:pPr>
        <w:pStyle w:val="Heading2"/>
      </w:pPr>
      <w:r>
        <w:t xml:space="preserve">§ 5.6. Special-use permits</w:t>
      </w:r>
    </w:p>
    <w:p>
      <w:pPr>
        <w:pStyle w:val="FirstParagraph"/>
      </w:pPr>
      <w:r>
        <w:t xml:space="preserve">Sec. 5.6. Special-use permits.</w:t>
      </w:r>
    </w:p>
    <w:p>
      <w:pPr>
        <w:numPr>
          <w:ilvl w:val="0"/>
          <w:numId w:val="1055"/>
        </w:numPr>
      </w:pPr>
      <w:r>
        <w:t xml:space="preserve">5.6.1. Application procedures for a special-use permit. Except in the case of shopping centers and multifamily dwellings, apartments, which are covered in subsections 5.6.3.6. and 5.6.3.7., respectively, an applicant for a special-use permit shall pay the necessary fee at the time he presents all required exhibits, plans, and other required data to the Inspector. The Inspector shall review the application, pointing out any possible conflicts. If the application is in compliance, the Inspector shall issue duplicate applications for a Certificate of Zoning Compliance. The Inspector shall return one copy of the completed application for a Certificate of Zoning Compliance to the applicant along with all exhibits, plans, and other required data.</w:t>
      </w:r>
    </w:p>
    <w:p>
      <w:pPr>
        <w:numPr>
          <w:ilvl w:val="0"/>
          <w:numId w:val="1056"/>
        </w:numPr>
      </w:pPr>
      <w:r>
        <w:t xml:space="preserve">Should the Inspector determine that a special-use permit is required, the Inspector shall then deny the applicant building permits or the Certificate of Zoning Compliance and refer the applicant to the Board. The Inspector shall file the duplicate application for the Certificate of Zoning Compliance as a public record.</w:t>
      </w:r>
    </w:p>
    <w:p>
      <w:pPr>
        <w:numPr>
          <w:ilvl w:val="0"/>
          <w:numId w:val="1057"/>
        </w:numPr>
      </w:pPr>
      <w:r>
        <w:t xml:space="preserve">5.6.2. Application requirements. The application for a special-use permit, variances and appeals shall be accompanied by the following:</w:t>
      </w:r>
    </w:p>
    <w:p>
      <w:pPr>
        <w:pStyle w:val="Compact"/>
        <w:numPr>
          <w:ilvl w:val="0"/>
          <w:numId w:val="1058"/>
        </w:numPr>
      </w:pPr>
    </w:p>
    <w:p>
      <w:pPr>
        <w:numPr>
          <w:ilvl w:val="1"/>
          <w:numId w:val="1059"/>
        </w:numPr>
      </w:pPr>
      <w:r>
        <w:t xml:space="preserve">(1) A letter, including the names and addresses of property owners of record (applicants) specifically indicating the portion of this ordinance under which the special-use permit, variance and/or appeal is sought and stating the grounds on which it is requested. A list of property owners within two hundred (200) feet of the property in question shall accompany the letter.</w:t>
      </w:r>
    </w:p>
    <w:p>
      <w:pPr>
        <w:pStyle w:val="Compact"/>
        <w:numPr>
          <w:ilvl w:val="0"/>
          <w:numId w:val="1060"/>
        </w:numPr>
      </w:pPr>
    </w:p>
    <w:p>
      <w:pPr>
        <w:numPr>
          <w:ilvl w:val="1"/>
          <w:numId w:val="1061"/>
        </w:numPr>
      </w:pPr>
      <w:r>
        <w:t xml:space="preserve">(2) A radius plan of the site and of the surrounding area within two hundred (200) feet of the perimeter of the site drawn at a scale of one inch to fifty (50) feet showing a north arrow; designating existing streets, easements, monuments, stone walls, wooded areas, drainage features and contours; railroad and utility rights-of-way; the location of any sub-divided lands; and the location of any parks, other public open spaces or uses, residences, and other permanent structures. Sites encompassing large areas may use a radius map to a smaller scale than one inch to fifty (50) feet provided the specific area for which the special use or variance is being requested is at a scale of one inch to fifty (50) feet.</w:t>
      </w:r>
    </w:p>
    <w:p>
      <w:pPr>
        <w:pStyle w:val="Compact"/>
        <w:numPr>
          <w:ilvl w:val="0"/>
          <w:numId w:val="1062"/>
        </w:numPr>
      </w:pPr>
    </w:p>
    <w:p>
      <w:pPr>
        <w:numPr>
          <w:ilvl w:val="1"/>
          <w:numId w:val="1063"/>
        </w:numPr>
      </w:pPr>
      <w:r>
        <w:t xml:space="preserve">(3) All plans submitted shall be stamped by a registered or licensed land surveyor or civil engineer with similar information showing the proposed development of the site.</w:t>
      </w:r>
    </w:p>
    <w:p>
      <w:pPr>
        <w:pStyle w:val="Compact"/>
        <w:numPr>
          <w:ilvl w:val="0"/>
          <w:numId w:val="1064"/>
        </w:numPr>
      </w:pPr>
    </w:p>
    <w:p>
      <w:pPr>
        <w:numPr>
          <w:ilvl w:val="1"/>
          <w:numId w:val="1065"/>
        </w:numPr>
      </w:pPr>
      <w:r>
        <w:t xml:space="preserve">(4) The Board and the Inspector may require any additional information they deem necessary.</w:t>
      </w:r>
    </w:p>
    <w:p>
      <w:pPr>
        <w:numPr>
          <w:ilvl w:val="0"/>
          <w:numId w:val="1066"/>
        </w:numPr>
      </w:pPr>
      <w:r>
        <w:t xml:space="preserve">5.6.3. Standards for designated special-use permits. To accomplish the general purposes of this ordinance certain of the uses requiring a special-use permit under the provisions of this ordinance need further consideration because they are somewhat unique, highly specialized, or often present difficult zoning administration or enforcement problems. The effects of such uses on the surrounding environment often cannot be foreseen until a specific site has been proposed. It is also characteristic that such uses often require large land areas. The following supplemental regulations and standards have been designed in order to achieve more compatibility between such uses and neighboring development. The Board may also impose additional requirements in the public interest to cover circumstances unique to the selected site.</w:t>
      </w:r>
    </w:p>
    <w:p>
      <w:pPr>
        <w:pStyle w:val="Compact"/>
        <w:numPr>
          <w:ilvl w:val="0"/>
          <w:numId w:val="1067"/>
        </w:numPr>
      </w:pPr>
    </w:p>
    <w:p>
      <w:pPr>
        <w:numPr>
          <w:ilvl w:val="1"/>
          <w:numId w:val="1068"/>
        </w:numPr>
      </w:pPr>
      <w:r>
        <w:t xml:space="preserve">5.6.3.1. Accessory uses. The location, size and intensity of accessory uses which require specialuse permits shall be restricted and determined in relation to the effects of such uses upon the environment, including effect upon traffic. In no such case shall such an accessory use predate the installation and operation of the principle use. When the principle use ceases to operate, the accessory use shall immediately cease.</w:t>
      </w:r>
    </w:p>
    <w:p>
      <w:pPr>
        <w:pStyle w:val="Compact"/>
        <w:numPr>
          <w:ilvl w:val="0"/>
          <w:numId w:val="1069"/>
        </w:numPr>
      </w:pPr>
    </w:p>
    <w:p>
      <w:pPr>
        <w:numPr>
          <w:ilvl w:val="1"/>
          <w:numId w:val="1070"/>
        </w:numPr>
      </w:pPr>
      <w:r>
        <w:t xml:space="preserve">5.6.3.2. Drive-in theater, summer theater, amphitheater.</w:t>
      </w:r>
    </w:p>
    <w:p>
      <w:pPr>
        <w:pStyle w:val="Compact"/>
        <w:numPr>
          <w:ilvl w:val="0"/>
          <w:numId w:val="1071"/>
        </w:numPr>
      </w:pPr>
    </w:p>
    <w:p>
      <w:pPr>
        <w:pStyle w:val="Compact"/>
        <w:numPr>
          <w:ilvl w:val="1"/>
          <w:numId w:val="1072"/>
        </w:numPr>
      </w:pPr>
    </w:p>
    <w:p>
      <w:pPr>
        <w:numPr>
          <w:ilvl w:val="2"/>
          <w:numId w:val="1073"/>
        </w:numPr>
      </w:pPr>
      <w:r>
        <w:t xml:space="preserve">(a) The site shall contain at least five (5) acres.</w:t>
      </w:r>
    </w:p>
    <w:p>
      <w:pPr>
        <w:pStyle w:val="Compact"/>
        <w:numPr>
          <w:ilvl w:val="0"/>
          <w:numId w:val="1074"/>
        </w:numPr>
      </w:pPr>
    </w:p>
    <w:p>
      <w:pPr>
        <w:pStyle w:val="Compact"/>
        <w:numPr>
          <w:ilvl w:val="1"/>
          <w:numId w:val="1075"/>
        </w:numPr>
      </w:pPr>
    </w:p>
    <w:p>
      <w:pPr>
        <w:numPr>
          <w:ilvl w:val="2"/>
          <w:numId w:val="1076"/>
        </w:numPr>
      </w:pPr>
      <w:r>
        <w:t xml:space="preserve">(b) The site shall have direct access to a public street.</w:t>
      </w:r>
    </w:p>
    <w:p>
      <w:pPr>
        <w:pStyle w:val="Compact"/>
        <w:numPr>
          <w:ilvl w:val="0"/>
          <w:numId w:val="1077"/>
        </w:numPr>
      </w:pPr>
    </w:p>
    <w:p>
      <w:pPr>
        <w:pStyle w:val="Compact"/>
        <w:numPr>
          <w:ilvl w:val="1"/>
          <w:numId w:val="1078"/>
        </w:numPr>
      </w:pPr>
    </w:p>
    <w:p>
      <w:pPr>
        <w:numPr>
          <w:ilvl w:val="2"/>
          <w:numId w:val="1079"/>
        </w:numPr>
      </w:pPr>
      <w:r>
        <w:t xml:space="preserve">(c) All structures shall be set back at least one hundred (100) feet from any street or boundary line. Viewing areas and seating areas shall be set back at least fifty (50) feet from any street or boundary line.</w:t>
      </w:r>
    </w:p>
    <w:p>
      <w:pPr>
        <w:pStyle w:val="Compact"/>
        <w:numPr>
          <w:ilvl w:val="0"/>
          <w:numId w:val="1080"/>
        </w:numPr>
      </w:pPr>
    </w:p>
    <w:p>
      <w:pPr>
        <w:pStyle w:val="Compact"/>
        <w:numPr>
          <w:ilvl w:val="1"/>
          <w:numId w:val="1081"/>
        </w:numPr>
      </w:pPr>
    </w:p>
    <w:p>
      <w:pPr>
        <w:numPr>
          <w:ilvl w:val="2"/>
          <w:numId w:val="1082"/>
        </w:numPr>
      </w:pPr>
      <w:r>
        <w:t xml:space="preserve">(d) All parking areas and access ways shall be adequately lighted; provided however, that such lighting shall be shielded to prevent glare or reflection onto neighboring properties or public streets.</w:t>
      </w:r>
    </w:p>
    <w:p>
      <w:pPr>
        <w:pStyle w:val="Compact"/>
        <w:numPr>
          <w:ilvl w:val="0"/>
          <w:numId w:val="1083"/>
        </w:numPr>
      </w:pPr>
    </w:p>
    <w:p>
      <w:pPr>
        <w:pStyle w:val="Compact"/>
        <w:numPr>
          <w:ilvl w:val="1"/>
          <w:numId w:val="1084"/>
        </w:numPr>
      </w:pPr>
    </w:p>
    <w:p>
      <w:pPr>
        <w:numPr>
          <w:ilvl w:val="2"/>
          <w:numId w:val="1085"/>
        </w:numPr>
      </w:pPr>
      <w:r>
        <w:t xml:space="preserve">(e) Off-street parking spaces shall be provided in accordance with the provisions of this ordinance.</w:t>
      </w:r>
    </w:p>
    <w:p>
      <w:pPr>
        <w:pStyle w:val="Compact"/>
        <w:numPr>
          <w:ilvl w:val="0"/>
          <w:numId w:val="1086"/>
        </w:numPr>
      </w:pPr>
    </w:p>
    <w:p>
      <w:pPr>
        <w:pStyle w:val="Compact"/>
        <w:numPr>
          <w:ilvl w:val="1"/>
          <w:numId w:val="1087"/>
        </w:numPr>
      </w:pPr>
    </w:p>
    <w:p>
      <w:pPr>
        <w:numPr>
          <w:ilvl w:val="2"/>
          <w:numId w:val="1088"/>
        </w:numPr>
      </w:pPr>
      <w:r>
        <w:t xml:space="preserve">(f) The following accessory uses may be permitted as incidental to and limited to patrons of the principle use:</w:t>
      </w:r>
    </w:p>
    <w:p>
      <w:pPr>
        <w:pStyle w:val="Compact"/>
        <w:numPr>
          <w:ilvl w:val="0"/>
          <w:numId w:val="1089"/>
        </w:numPr>
      </w:pPr>
    </w:p>
    <w:p>
      <w:pPr>
        <w:pStyle w:val="Compact"/>
        <w:numPr>
          <w:ilvl w:val="1"/>
          <w:numId w:val="1090"/>
        </w:numPr>
      </w:pPr>
    </w:p>
    <w:p>
      <w:pPr>
        <w:pStyle w:val="Compact"/>
        <w:numPr>
          <w:ilvl w:val="2"/>
          <w:numId w:val="1091"/>
        </w:numPr>
      </w:pPr>
    </w:p>
    <w:p>
      <w:pPr>
        <w:numPr>
          <w:ilvl w:val="3"/>
          <w:numId w:val="1092"/>
        </w:numPr>
      </w:pPr>
      <w:r>
        <w:t xml:space="preserve">(1) Amusement park, kiddy land (noncommercial).</w:t>
      </w:r>
    </w:p>
    <w:p>
      <w:pPr>
        <w:pStyle w:val="Compact"/>
        <w:numPr>
          <w:ilvl w:val="0"/>
          <w:numId w:val="1093"/>
        </w:numPr>
      </w:pPr>
    </w:p>
    <w:p>
      <w:pPr>
        <w:pStyle w:val="Compact"/>
        <w:numPr>
          <w:ilvl w:val="1"/>
          <w:numId w:val="1094"/>
        </w:numPr>
      </w:pPr>
    </w:p>
    <w:p>
      <w:pPr>
        <w:pStyle w:val="Compact"/>
        <w:numPr>
          <w:ilvl w:val="2"/>
          <w:numId w:val="1095"/>
        </w:numPr>
      </w:pPr>
    </w:p>
    <w:p>
      <w:pPr>
        <w:numPr>
          <w:ilvl w:val="3"/>
          <w:numId w:val="1096"/>
        </w:numPr>
      </w:pPr>
      <w:r>
        <w:t xml:space="preserve">(2) Refreshment stands or booth.</w:t>
      </w:r>
    </w:p>
    <w:p>
      <w:pPr>
        <w:pStyle w:val="Compact"/>
        <w:numPr>
          <w:ilvl w:val="0"/>
          <w:numId w:val="1097"/>
        </w:numPr>
      </w:pPr>
    </w:p>
    <w:p>
      <w:pPr>
        <w:pStyle w:val="Compact"/>
        <w:numPr>
          <w:ilvl w:val="1"/>
          <w:numId w:val="1098"/>
        </w:numPr>
      </w:pPr>
    </w:p>
    <w:p>
      <w:pPr>
        <w:numPr>
          <w:ilvl w:val="2"/>
          <w:numId w:val="1099"/>
        </w:numPr>
      </w:pPr>
      <w:r>
        <w:t xml:space="preserve">(g) Or any drive-in theater.</w:t>
      </w:r>
    </w:p>
    <w:p>
      <w:pPr>
        <w:pStyle w:val="Compact"/>
        <w:numPr>
          <w:ilvl w:val="0"/>
          <w:numId w:val="1100"/>
        </w:numPr>
      </w:pPr>
    </w:p>
    <w:p>
      <w:pPr>
        <w:pStyle w:val="Compact"/>
        <w:numPr>
          <w:ilvl w:val="1"/>
          <w:numId w:val="1101"/>
        </w:numPr>
      </w:pPr>
    </w:p>
    <w:p>
      <w:pPr>
        <w:pStyle w:val="Compact"/>
        <w:numPr>
          <w:ilvl w:val="2"/>
          <w:numId w:val="1102"/>
        </w:numPr>
      </w:pPr>
    </w:p>
    <w:p>
      <w:pPr>
        <w:numPr>
          <w:ilvl w:val="3"/>
          <w:numId w:val="1103"/>
        </w:numPr>
      </w:pPr>
      <w:r>
        <w:t xml:space="preserve">(1) The theater screen shall be shielded in such a manner that the projected image cannot be observed from highways with State route designations within 2,500 feet.</w:t>
      </w:r>
    </w:p>
    <w:p>
      <w:pPr>
        <w:pStyle w:val="Compact"/>
        <w:numPr>
          <w:ilvl w:val="0"/>
          <w:numId w:val="1104"/>
        </w:numPr>
      </w:pPr>
    </w:p>
    <w:p>
      <w:pPr>
        <w:pStyle w:val="Compact"/>
        <w:numPr>
          <w:ilvl w:val="1"/>
          <w:numId w:val="1105"/>
        </w:numPr>
      </w:pPr>
    </w:p>
    <w:p>
      <w:pPr>
        <w:pStyle w:val="Compact"/>
        <w:numPr>
          <w:ilvl w:val="2"/>
          <w:numId w:val="1106"/>
        </w:numPr>
      </w:pPr>
    </w:p>
    <w:p>
      <w:pPr>
        <w:numPr>
          <w:ilvl w:val="3"/>
          <w:numId w:val="1107"/>
        </w:numPr>
      </w:pPr>
      <w:r>
        <w:t xml:space="preserve">(2) Off-street space for automobiles or patrons awaiting admission to the theater shall be equal to twenty (20) percent of the capacity of the viewing area. All entrances and exits shall be designed to provide one-way traffic patterns.</w:t>
      </w:r>
    </w:p>
    <w:p>
      <w:pPr>
        <w:pStyle w:val="Compact"/>
        <w:numPr>
          <w:ilvl w:val="0"/>
          <w:numId w:val="1108"/>
        </w:numPr>
      </w:pPr>
    </w:p>
    <w:p>
      <w:pPr>
        <w:numPr>
          <w:ilvl w:val="1"/>
          <w:numId w:val="1109"/>
        </w:numPr>
      </w:pPr>
      <w:r>
        <w:t xml:space="preserve">5.6.3.3. Fairgrounds or exposition grounds.</w:t>
      </w:r>
    </w:p>
    <w:p>
      <w:pPr>
        <w:pStyle w:val="Compact"/>
        <w:numPr>
          <w:ilvl w:val="0"/>
          <w:numId w:val="1110"/>
        </w:numPr>
      </w:pPr>
    </w:p>
    <w:p>
      <w:pPr>
        <w:pStyle w:val="Compact"/>
        <w:numPr>
          <w:ilvl w:val="1"/>
          <w:numId w:val="1111"/>
        </w:numPr>
      </w:pPr>
    </w:p>
    <w:p>
      <w:pPr>
        <w:numPr>
          <w:ilvl w:val="2"/>
          <w:numId w:val="1112"/>
        </w:numPr>
      </w:pPr>
      <w:r>
        <w:t xml:space="preserve">(a) A site shall contain at least twenty (20) acres and shall have direct access to a public street.</w:t>
      </w:r>
    </w:p>
    <w:p>
      <w:pPr>
        <w:pStyle w:val="Compact"/>
        <w:numPr>
          <w:ilvl w:val="0"/>
          <w:numId w:val="1113"/>
        </w:numPr>
      </w:pPr>
    </w:p>
    <w:p>
      <w:pPr>
        <w:pStyle w:val="Compact"/>
        <w:numPr>
          <w:ilvl w:val="1"/>
          <w:numId w:val="1114"/>
        </w:numPr>
      </w:pPr>
    </w:p>
    <w:p>
      <w:pPr>
        <w:numPr>
          <w:ilvl w:val="2"/>
          <w:numId w:val="1115"/>
        </w:numPr>
      </w:pPr>
      <w:r>
        <w:t xml:space="preserve">(b) All structures shall be set back at least fifty (50) feet from a lot line.</w:t>
      </w:r>
    </w:p>
    <w:p>
      <w:pPr>
        <w:pStyle w:val="Compact"/>
        <w:numPr>
          <w:ilvl w:val="0"/>
          <w:numId w:val="1116"/>
        </w:numPr>
      </w:pPr>
    </w:p>
    <w:p>
      <w:pPr>
        <w:pStyle w:val="Compact"/>
        <w:numPr>
          <w:ilvl w:val="1"/>
          <w:numId w:val="1117"/>
        </w:numPr>
      </w:pPr>
    </w:p>
    <w:p>
      <w:pPr>
        <w:numPr>
          <w:ilvl w:val="2"/>
          <w:numId w:val="1118"/>
        </w:numPr>
      </w:pPr>
      <w:r>
        <w:t xml:space="preserve">(c) Adequate vacant area must be available on the site to provide parking space sufficient to handle all anticipated crowds.</w:t>
      </w:r>
    </w:p>
    <w:p>
      <w:pPr>
        <w:pStyle w:val="Compact"/>
        <w:numPr>
          <w:ilvl w:val="0"/>
          <w:numId w:val="1119"/>
        </w:numPr>
      </w:pPr>
    </w:p>
    <w:p>
      <w:pPr>
        <w:pStyle w:val="Compact"/>
        <w:numPr>
          <w:ilvl w:val="1"/>
          <w:numId w:val="1120"/>
        </w:numPr>
      </w:pPr>
    </w:p>
    <w:p>
      <w:pPr>
        <w:numPr>
          <w:ilvl w:val="2"/>
          <w:numId w:val="1121"/>
        </w:numPr>
      </w:pPr>
      <w:r>
        <w:t xml:space="preserve">(d) Accessory uses consistent with the use of the grounds shall be permitted to the extent that they do not constitute a general retail sales outlet.</w:t>
      </w:r>
    </w:p>
    <w:p>
      <w:pPr>
        <w:pStyle w:val="Compact"/>
        <w:numPr>
          <w:ilvl w:val="0"/>
          <w:numId w:val="1122"/>
        </w:numPr>
      </w:pPr>
    </w:p>
    <w:p>
      <w:pPr>
        <w:numPr>
          <w:ilvl w:val="1"/>
          <w:numId w:val="1123"/>
        </w:numPr>
      </w:pPr>
      <w:r>
        <w:t xml:space="preserve">5.6.3.4. Utility structures. Public and private utility structures not specifically permitted as a matter of right in the various zones, pertaining to water, sewage, gas, telephone, and electric utilities; and police, fire, radio, and television stations, including broadcast antennae may be permitted as a special use.</w:t>
      </w:r>
    </w:p>
    <w:p>
      <w:pPr>
        <w:pStyle w:val="Compact"/>
        <w:numPr>
          <w:ilvl w:val="0"/>
          <w:numId w:val="1124"/>
        </w:numPr>
      </w:pPr>
    </w:p>
    <w:p>
      <w:pPr>
        <w:pStyle w:val="Compact"/>
        <w:numPr>
          <w:ilvl w:val="1"/>
          <w:numId w:val="1125"/>
        </w:numPr>
      </w:pPr>
    </w:p>
    <w:p>
      <w:pPr>
        <w:numPr>
          <w:ilvl w:val="2"/>
          <w:numId w:val="1126"/>
        </w:numPr>
      </w:pPr>
      <w:r>
        <w:t xml:space="preserve">(a) Fencing and screening. If findings indicate that a hazard may result or that interference with the development or use and enjoyment of surrounding properties may ensue, fencing or screening with a densely planted hedge or other shielding material may be required in a manner consistent with such findings.</w:t>
      </w:r>
    </w:p>
    <w:p>
      <w:pPr>
        <w:pStyle w:val="Compact"/>
        <w:numPr>
          <w:ilvl w:val="0"/>
          <w:numId w:val="1127"/>
        </w:numPr>
      </w:pPr>
    </w:p>
    <w:p>
      <w:pPr>
        <w:pStyle w:val="Compact"/>
        <w:numPr>
          <w:ilvl w:val="1"/>
          <w:numId w:val="1128"/>
        </w:numPr>
      </w:pPr>
    </w:p>
    <w:p>
      <w:pPr>
        <w:numPr>
          <w:ilvl w:val="2"/>
          <w:numId w:val="1129"/>
        </w:numPr>
      </w:pPr>
      <w:r>
        <w:t xml:space="preserve">(b) Water works and sewerage treatment plants. Application for water works or sewerage treatment plants shall be accompanied by a report and a recommendation from the appropriate governing agencies. Such recommendation as to design and construction type of treatment, source of water, standards for the quality of effluent shall be recorded in the minutes of the Board.</w:t>
      </w:r>
    </w:p>
    <w:p>
      <w:pPr>
        <w:pStyle w:val="Compact"/>
        <w:numPr>
          <w:ilvl w:val="0"/>
          <w:numId w:val="1130"/>
        </w:numPr>
      </w:pPr>
    </w:p>
    <w:p>
      <w:pPr>
        <w:numPr>
          <w:ilvl w:val="1"/>
          <w:numId w:val="1131"/>
        </w:numPr>
      </w:pPr>
      <w:r>
        <w:t xml:space="preserve">5.6.3.5. Extraction of earth products. As a condition precedent to the issuance of a license pursuant to section 11-37 of this Code,, Zoning Board of Review approval of a special-use permit for earth removal must be obtained. Earth removal shall mean the extraction, quarrying or removal of any soil, loam, sand, gravel, clay, shale, or other earth material from deposits of any tract of land on which it is found. Excluding, however, earth removal:</w:t>
      </w:r>
    </w:p>
    <w:p>
      <w:pPr>
        <w:pStyle w:val="Compact"/>
        <w:numPr>
          <w:ilvl w:val="0"/>
          <w:numId w:val="1132"/>
        </w:numPr>
      </w:pPr>
    </w:p>
    <w:p>
      <w:pPr>
        <w:pStyle w:val="Compact"/>
        <w:numPr>
          <w:ilvl w:val="1"/>
          <w:numId w:val="1133"/>
        </w:numPr>
      </w:pPr>
    </w:p>
    <w:p>
      <w:pPr>
        <w:numPr>
          <w:ilvl w:val="2"/>
          <w:numId w:val="1134"/>
        </w:numPr>
      </w:pPr>
      <w:r>
        <w:t xml:space="preserve">(a) Less than ten (10) cubic yards of material in the aggregate in any year from any lot;</w:t>
      </w:r>
    </w:p>
    <w:p>
      <w:pPr>
        <w:pStyle w:val="Compact"/>
        <w:numPr>
          <w:ilvl w:val="0"/>
          <w:numId w:val="1135"/>
        </w:numPr>
      </w:pPr>
    </w:p>
    <w:p>
      <w:pPr>
        <w:pStyle w:val="Compact"/>
        <w:numPr>
          <w:ilvl w:val="1"/>
          <w:numId w:val="1136"/>
        </w:numPr>
      </w:pPr>
    </w:p>
    <w:p>
      <w:pPr>
        <w:numPr>
          <w:ilvl w:val="2"/>
          <w:numId w:val="1137"/>
        </w:numPr>
      </w:pPr>
      <w:r>
        <w:t xml:space="preserve">(b) In grading land for construction of a roadway;</w:t>
      </w:r>
    </w:p>
    <w:p>
      <w:pPr>
        <w:pStyle w:val="Compact"/>
        <w:numPr>
          <w:ilvl w:val="0"/>
          <w:numId w:val="1138"/>
        </w:numPr>
      </w:pPr>
    </w:p>
    <w:p>
      <w:pPr>
        <w:pStyle w:val="Compact"/>
        <w:numPr>
          <w:ilvl w:val="1"/>
          <w:numId w:val="1139"/>
        </w:numPr>
      </w:pPr>
    </w:p>
    <w:p>
      <w:pPr>
        <w:numPr>
          <w:ilvl w:val="2"/>
          <w:numId w:val="1140"/>
        </w:numPr>
      </w:pPr>
      <w:r>
        <w:t xml:space="preserve">(c) For a subdivision in accordance with a plat plan or plans approved in accordance with an ordinance of the Town, or any duly authorized board of authority thereof, or for the construction of a building for which a building permit has been issued; provided, however, that the removal of such material necessarily excavated in connection with lawful construction of a building, structure, street, driveway, sidewalk, path or other appurtenance does not exceed that actually displaced by the portion of such buildings, structures, streets, driveways, sidewalks, or paths or other appurtenances below finished grade. Except as otherwise provided herein, as a condition precedent to granting of a special-use permit pursuant to this subsection, the applicant for such special-use permit shall submit to the Zoning Board of Review for their approval thereof:</w:t>
      </w:r>
    </w:p>
    <w:p>
      <w:pPr>
        <w:pStyle w:val="Compact"/>
        <w:numPr>
          <w:ilvl w:val="0"/>
          <w:numId w:val="1141"/>
        </w:numPr>
      </w:pPr>
    </w:p>
    <w:p>
      <w:pPr>
        <w:pStyle w:val="Compact"/>
        <w:numPr>
          <w:ilvl w:val="1"/>
          <w:numId w:val="1142"/>
        </w:numPr>
      </w:pPr>
    </w:p>
    <w:p>
      <w:pPr>
        <w:numPr>
          <w:ilvl w:val="2"/>
          <w:numId w:val="1143"/>
        </w:numPr>
      </w:pPr>
      <w:r>
        <w:t xml:space="preserve">(a) Site plan. A site plan at a scale of not less than one hundred (100) feet to the inch and with contours of not more than five (5) feet, prepared by a registered engineer, land surveyor or landscape architect and setting forth:</w:t>
      </w:r>
    </w:p>
    <w:p>
      <w:pPr>
        <w:pStyle w:val="Compact"/>
        <w:numPr>
          <w:ilvl w:val="0"/>
          <w:numId w:val="1144"/>
        </w:numPr>
      </w:pPr>
    </w:p>
    <w:p>
      <w:pPr>
        <w:pStyle w:val="Compact"/>
        <w:numPr>
          <w:ilvl w:val="1"/>
          <w:numId w:val="1145"/>
        </w:numPr>
      </w:pPr>
    </w:p>
    <w:p>
      <w:pPr>
        <w:pStyle w:val="Compact"/>
        <w:numPr>
          <w:ilvl w:val="2"/>
          <w:numId w:val="1146"/>
        </w:numPr>
      </w:pPr>
    </w:p>
    <w:p>
      <w:pPr>
        <w:numPr>
          <w:ilvl w:val="3"/>
          <w:numId w:val="1147"/>
        </w:numPr>
      </w:pPr>
      <w:r>
        <w:t xml:space="preserve">(1) Lot lines, ownership, abutters, adjacent public streets, watercourses, existing contours at intervals of not more than five (5) feet and location plan at a scale of not less than four hundred (400) feet to the inch;</w:t>
      </w:r>
    </w:p>
    <w:p>
      <w:pPr>
        <w:pStyle w:val="Compact"/>
        <w:numPr>
          <w:ilvl w:val="0"/>
          <w:numId w:val="1148"/>
        </w:numPr>
      </w:pPr>
    </w:p>
    <w:p>
      <w:pPr>
        <w:pStyle w:val="Compact"/>
        <w:numPr>
          <w:ilvl w:val="1"/>
          <w:numId w:val="1149"/>
        </w:numPr>
      </w:pPr>
    </w:p>
    <w:p>
      <w:pPr>
        <w:pStyle w:val="Compact"/>
        <w:numPr>
          <w:ilvl w:val="2"/>
          <w:numId w:val="1150"/>
        </w:numPr>
      </w:pPr>
    </w:p>
    <w:p>
      <w:pPr>
        <w:numPr>
          <w:ilvl w:val="3"/>
          <w:numId w:val="1151"/>
        </w:numPr>
      </w:pPr>
      <w:r>
        <w:t xml:space="preserve">(2) Proper provision for vehicular traffic, service roads, control of entrances and exits to highways;</w:t>
      </w:r>
    </w:p>
    <w:p>
      <w:pPr>
        <w:pStyle w:val="Compact"/>
        <w:numPr>
          <w:ilvl w:val="0"/>
          <w:numId w:val="1152"/>
        </w:numPr>
      </w:pPr>
    </w:p>
    <w:p>
      <w:pPr>
        <w:pStyle w:val="Compact"/>
        <w:numPr>
          <w:ilvl w:val="1"/>
          <w:numId w:val="1153"/>
        </w:numPr>
      </w:pPr>
    </w:p>
    <w:p>
      <w:pPr>
        <w:pStyle w:val="Compact"/>
        <w:numPr>
          <w:ilvl w:val="2"/>
          <w:numId w:val="1154"/>
        </w:numPr>
      </w:pPr>
    </w:p>
    <w:p>
      <w:pPr>
        <w:numPr>
          <w:ilvl w:val="3"/>
          <w:numId w:val="1155"/>
        </w:numPr>
      </w:pPr>
      <w:r>
        <w:t xml:space="preserve">(3) The relation of temporary and future buildings and operations machinery to the removal areas; delineation of removal areas and depths with estimates of cubic yards of material to be removed; fencing; method of removal; distance of excavation to street and lot lines.</w:t>
      </w:r>
    </w:p>
    <w:p>
      <w:pPr>
        <w:pStyle w:val="Compact"/>
        <w:numPr>
          <w:ilvl w:val="0"/>
          <w:numId w:val="1156"/>
        </w:numPr>
      </w:pPr>
    </w:p>
    <w:p>
      <w:pPr>
        <w:pStyle w:val="Compact"/>
        <w:numPr>
          <w:ilvl w:val="1"/>
          <w:numId w:val="1157"/>
        </w:numPr>
      </w:pPr>
    </w:p>
    <w:p>
      <w:pPr>
        <w:numPr>
          <w:ilvl w:val="2"/>
          <w:numId w:val="1158"/>
        </w:numPr>
      </w:pPr>
      <w:r>
        <w:t xml:space="preserve">(b) Restoration plan. A restoration plan prepared by a registered engineer, land surveyor or landscape architect at the same scale required for the site plan in subsection (a) above and setting forth:</w:t>
      </w:r>
    </w:p>
    <w:p>
      <w:pPr>
        <w:pStyle w:val="Compact"/>
        <w:numPr>
          <w:ilvl w:val="0"/>
          <w:numId w:val="1159"/>
        </w:numPr>
      </w:pPr>
    </w:p>
    <w:p>
      <w:pPr>
        <w:pStyle w:val="Compact"/>
        <w:numPr>
          <w:ilvl w:val="1"/>
          <w:numId w:val="1160"/>
        </w:numPr>
      </w:pPr>
    </w:p>
    <w:p>
      <w:pPr>
        <w:pStyle w:val="Compact"/>
        <w:numPr>
          <w:ilvl w:val="2"/>
          <w:numId w:val="1161"/>
        </w:numPr>
      </w:pPr>
    </w:p>
    <w:p>
      <w:pPr>
        <w:numPr>
          <w:ilvl w:val="3"/>
          <w:numId w:val="1162"/>
        </w:numPr>
      </w:pPr>
      <w:r>
        <w:t xml:space="preserve">(1) The existing contours of the tract of land with a contour interval not exceeding five (5) feet, based upon classifications of preliminary samples of the material to be removed;</w:t>
      </w:r>
    </w:p>
    <w:p>
      <w:pPr>
        <w:pStyle w:val="Compact"/>
        <w:numPr>
          <w:ilvl w:val="0"/>
          <w:numId w:val="1163"/>
        </w:numPr>
      </w:pPr>
    </w:p>
    <w:p>
      <w:pPr>
        <w:pStyle w:val="Compact"/>
        <w:numPr>
          <w:ilvl w:val="1"/>
          <w:numId w:val="1164"/>
        </w:numPr>
      </w:pPr>
    </w:p>
    <w:p>
      <w:pPr>
        <w:pStyle w:val="Compact"/>
        <w:numPr>
          <w:ilvl w:val="2"/>
          <w:numId w:val="1165"/>
        </w:numPr>
      </w:pPr>
    </w:p>
    <w:p>
      <w:pPr>
        <w:numPr>
          <w:ilvl w:val="3"/>
          <w:numId w:val="1166"/>
        </w:numPr>
      </w:pPr>
      <w:r>
        <w:t xml:space="preserve">(2) The final contours of the tract of land with a contour level not exceeding five (5) feet upon completion of earth removal operations; and</w:t>
      </w:r>
    </w:p>
    <w:p>
      <w:pPr>
        <w:numPr>
          <w:ilvl w:val="3"/>
          <w:numId w:val="1000"/>
        </w:numPr>
      </w:pPr>
      <w:r>
        <w:t xml:space="preserve">(3) The type of ground cover to be planted or applied upon completion of earth removal operations to effectively control wind and water erosion; provided however, if suitable fertile ground cover existed at the beginning of earth removal, enough of said ground cover to be held in reserve and reapplied for a minimum thickness of three (3) inches. The said land restoration plan and its implementation applies to the conversion of the site and its planned restoration. It is, therefore, required that:</w:t>
      </w:r>
    </w:p>
    <w:p>
      <w:pPr>
        <w:pStyle w:val="Compact"/>
        <w:numPr>
          <w:ilvl w:val="0"/>
          <w:numId w:val="1167"/>
        </w:numPr>
      </w:pPr>
    </w:p>
    <w:p>
      <w:pPr>
        <w:pStyle w:val="Compact"/>
        <w:numPr>
          <w:ilvl w:val="1"/>
          <w:numId w:val="1168"/>
        </w:numPr>
      </w:pPr>
    </w:p>
    <w:p>
      <w:pPr>
        <w:pStyle w:val="Compact"/>
        <w:numPr>
          <w:ilvl w:val="2"/>
          <w:numId w:val="1169"/>
        </w:numPr>
      </w:pPr>
    </w:p>
    <w:p>
      <w:pPr>
        <w:numPr>
          <w:ilvl w:val="3"/>
          <w:numId w:val="1170"/>
        </w:numPr>
      </w:pPr>
      <w:r>
        <w:t xml:space="preserve">(1) Any land restoration plan correspond to a situation which could reasonably occur in the immediate future (zero to five years), and be revised as necessary as the existing physical character of the removal area changes;</w:t>
      </w:r>
    </w:p>
    <w:p>
      <w:pPr>
        <w:pStyle w:val="Compact"/>
        <w:numPr>
          <w:ilvl w:val="0"/>
          <w:numId w:val="1171"/>
        </w:numPr>
      </w:pPr>
    </w:p>
    <w:p>
      <w:pPr>
        <w:pStyle w:val="Compact"/>
        <w:numPr>
          <w:ilvl w:val="1"/>
          <w:numId w:val="1172"/>
        </w:numPr>
      </w:pPr>
    </w:p>
    <w:p>
      <w:pPr>
        <w:pStyle w:val="Compact"/>
        <w:numPr>
          <w:ilvl w:val="2"/>
          <w:numId w:val="1173"/>
        </w:numPr>
      </w:pPr>
    </w:p>
    <w:p>
      <w:pPr>
        <w:numPr>
          <w:ilvl w:val="3"/>
          <w:numId w:val="1174"/>
        </w:numPr>
      </w:pPr>
      <w:r>
        <w:t xml:space="preserve">(2) The land restoration plan or any part thereof which reasonably applied to an area, shall be put into effect within one year of cessation of normal earth removal operation and completed by the timetable of the restoration plan. The decision of the Inspector shall be final in determining when a restoration plan shall be put into effect, either on the entire site or any portion thereof.</w:t>
      </w:r>
    </w:p>
    <w:p>
      <w:pPr>
        <w:pStyle w:val="Compact"/>
        <w:numPr>
          <w:ilvl w:val="0"/>
          <w:numId w:val="1175"/>
        </w:numPr>
      </w:pPr>
    </w:p>
    <w:p>
      <w:pPr>
        <w:pStyle w:val="Compact"/>
        <w:numPr>
          <w:ilvl w:val="1"/>
          <w:numId w:val="1176"/>
        </w:numPr>
      </w:pPr>
    </w:p>
    <w:p>
      <w:pPr>
        <w:numPr>
          <w:ilvl w:val="2"/>
          <w:numId w:val="1177"/>
        </w:numPr>
      </w:pPr>
      <w:r>
        <w:t xml:space="preserve">(c) Operating conditions.</w:t>
      </w:r>
    </w:p>
    <w:p>
      <w:pPr>
        <w:pStyle w:val="Compact"/>
        <w:numPr>
          <w:ilvl w:val="0"/>
          <w:numId w:val="1178"/>
        </w:numPr>
      </w:pPr>
    </w:p>
    <w:p>
      <w:pPr>
        <w:pStyle w:val="Compact"/>
        <w:numPr>
          <w:ilvl w:val="1"/>
          <w:numId w:val="1179"/>
        </w:numPr>
      </w:pPr>
    </w:p>
    <w:p>
      <w:pPr>
        <w:pStyle w:val="Compact"/>
        <w:numPr>
          <w:ilvl w:val="2"/>
          <w:numId w:val="1180"/>
        </w:numPr>
      </w:pPr>
    </w:p>
    <w:p>
      <w:pPr>
        <w:numPr>
          <w:ilvl w:val="3"/>
          <w:numId w:val="1181"/>
        </w:numPr>
      </w:pPr>
      <w:r>
        <w:t xml:space="preserve">(1) Hours. Earth removal operations shall be limited to the hours between 7:00 a.m. and 6:00 p.m. of any Monday, Tuesday, Wednesday, Thursday, Friday or Saturday (except a legal holiday) and earth removal on Sunday and on any legal holiday or for the hours prior to 7:00 a.m. or after 6:00 p.m. may be authorized by the Inspector for emergency purposes only.</w:t>
      </w:r>
    </w:p>
    <w:p>
      <w:pPr>
        <w:pStyle w:val="Compact"/>
        <w:numPr>
          <w:ilvl w:val="0"/>
          <w:numId w:val="1182"/>
        </w:numPr>
      </w:pPr>
    </w:p>
    <w:p>
      <w:pPr>
        <w:pStyle w:val="Compact"/>
        <w:numPr>
          <w:ilvl w:val="1"/>
          <w:numId w:val="1183"/>
        </w:numPr>
      </w:pPr>
    </w:p>
    <w:p>
      <w:pPr>
        <w:pStyle w:val="Compact"/>
        <w:numPr>
          <w:ilvl w:val="2"/>
          <w:numId w:val="1184"/>
        </w:numPr>
      </w:pPr>
    </w:p>
    <w:p>
      <w:pPr>
        <w:numPr>
          <w:ilvl w:val="3"/>
          <w:numId w:val="1185"/>
        </w:numPr>
      </w:pPr>
      <w:r>
        <w:t xml:space="preserve">(2) Initiation or lateral expansion. The initiation or lateral expansion of earth removal is hereby prohibited:</w:t>
      </w:r>
    </w:p>
    <w:p>
      <w:pPr>
        <w:pStyle w:val="Compact"/>
        <w:numPr>
          <w:ilvl w:val="0"/>
          <w:numId w:val="1186"/>
        </w:numPr>
      </w:pPr>
    </w:p>
    <w:p>
      <w:pPr>
        <w:pStyle w:val="Compact"/>
        <w:numPr>
          <w:ilvl w:val="1"/>
          <w:numId w:val="1187"/>
        </w:numPr>
      </w:pPr>
    </w:p>
    <w:p>
      <w:pPr>
        <w:numPr>
          <w:ilvl w:val="2"/>
          <w:numId w:val="1188"/>
        </w:numPr>
      </w:pPr>
      <w:r>
        <w:t xml:space="preserve">(a) Within two hundred (200) feet of a public road;</w:t>
      </w:r>
    </w:p>
    <w:p>
      <w:pPr>
        <w:pStyle w:val="Compact"/>
        <w:numPr>
          <w:ilvl w:val="0"/>
          <w:numId w:val="1189"/>
        </w:numPr>
      </w:pPr>
    </w:p>
    <w:p>
      <w:pPr>
        <w:pStyle w:val="Compact"/>
        <w:numPr>
          <w:ilvl w:val="1"/>
          <w:numId w:val="1190"/>
        </w:numPr>
      </w:pPr>
    </w:p>
    <w:p>
      <w:pPr>
        <w:numPr>
          <w:ilvl w:val="2"/>
          <w:numId w:val="1191"/>
        </w:numPr>
      </w:pPr>
      <w:r>
        <w:t xml:space="preserve">(b) Within two hundred (200) feet of neighboring lot lines.</w:t>
      </w:r>
    </w:p>
    <w:p>
      <w:pPr>
        <w:pStyle w:val="Compact"/>
        <w:numPr>
          <w:ilvl w:val="0"/>
          <w:numId w:val="1192"/>
        </w:numPr>
      </w:pPr>
    </w:p>
    <w:p>
      <w:pPr>
        <w:pStyle w:val="Compact"/>
        <w:numPr>
          <w:ilvl w:val="1"/>
          <w:numId w:val="1193"/>
        </w:numPr>
      </w:pPr>
    </w:p>
    <w:p>
      <w:pPr>
        <w:pStyle w:val="Compact"/>
        <w:numPr>
          <w:ilvl w:val="2"/>
          <w:numId w:val="1194"/>
        </w:numPr>
      </w:pPr>
    </w:p>
    <w:p>
      <w:pPr>
        <w:numPr>
          <w:ilvl w:val="3"/>
          <w:numId w:val="1195"/>
        </w:numPr>
      </w:pPr>
      <w:r>
        <w:t xml:space="preserve">(3) Fencing. Fencing shall be required of those portions of the boundary of the tract of land upon which earth removal is being conducted adjacent to zoned residential property, such fencing to be six (6) feet in height and effective to control access to the area in which such earth removal is being conducted. When an excavation will have a depth of more than fifteen (15) feet with a slope in excess of one to two (1:2), a fence at least six (6) feet high shall be erected to limit access to this area.</w:t>
      </w:r>
    </w:p>
    <w:p>
      <w:pPr>
        <w:pStyle w:val="Compact"/>
        <w:numPr>
          <w:ilvl w:val="0"/>
          <w:numId w:val="1196"/>
        </w:numPr>
      </w:pPr>
    </w:p>
    <w:p>
      <w:pPr>
        <w:pStyle w:val="Compact"/>
        <w:numPr>
          <w:ilvl w:val="1"/>
          <w:numId w:val="1197"/>
        </w:numPr>
      </w:pPr>
    </w:p>
    <w:p>
      <w:pPr>
        <w:pStyle w:val="Compact"/>
        <w:numPr>
          <w:ilvl w:val="2"/>
          <w:numId w:val="1198"/>
        </w:numPr>
      </w:pPr>
    </w:p>
    <w:p>
      <w:pPr>
        <w:numPr>
          <w:ilvl w:val="3"/>
          <w:numId w:val="1199"/>
        </w:numPr>
      </w:pPr>
      <w:r>
        <w:t xml:space="preserve">(4) Reduction of dust; recording instruments.</w:t>
      </w:r>
    </w:p>
    <w:p>
      <w:pPr>
        <w:pStyle w:val="Compact"/>
        <w:numPr>
          <w:ilvl w:val="0"/>
          <w:numId w:val="1200"/>
        </w:numPr>
      </w:pPr>
    </w:p>
    <w:p>
      <w:pPr>
        <w:pStyle w:val="Compact"/>
        <w:numPr>
          <w:ilvl w:val="1"/>
          <w:numId w:val="1201"/>
        </w:numPr>
      </w:pPr>
    </w:p>
    <w:p>
      <w:pPr>
        <w:numPr>
          <w:ilvl w:val="2"/>
          <w:numId w:val="1202"/>
        </w:numPr>
      </w:pPr>
      <w:r>
        <w:t xml:space="preserve">(a) Calcium chloride or oil shall be applied to reduce dust and mud on all non-hard surfaced roads to be used for vehicular ingress or egress to the tract of land on which earth removal is to be conducted.</w:t>
      </w:r>
    </w:p>
    <w:p>
      <w:pPr>
        <w:pStyle w:val="Compact"/>
        <w:numPr>
          <w:ilvl w:val="0"/>
          <w:numId w:val="1203"/>
        </w:numPr>
      </w:pPr>
    </w:p>
    <w:p>
      <w:pPr>
        <w:pStyle w:val="Compact"/>
        <w:numPr>
          <w:ilvl w:val="1"/>
          <w:numId w:val="1204"/>
        </w:numPr>
      </w:pPr>
    </w:p>
    <w:p>
      <w:pPr>
        <w:numPr>
          <w:ilvl w:val="2"/>
          <w:numId w:val="1205"/>
        </w:numPr>
      </w:pPr>
      <w:r>
        <w:t xml:space="preserve">(b) Where deemed appropriate by the Board, the installation, maintenance, and operation by the applicant of continuous recording instruments is required to measure the effectiveness of all equipment used for drilling, digging and hauling, to control or lessen noise, vibration, smoke, water pollution, odors, fly ash, dust, fumes, vapors, gases, and other forms of air pollution, toxic gases, heat, glare and fire or other safety hazards, and the Board also may require that such recording instruments be tested at reasonable intervals under the direction of the Inspector to determine their accuracy. When the director of health determines specific dates, on a yearly basis, relative to seasonal changes in highest groundwater table elevation, such dates may be used by the Inspector. When groundwater determinations are made outside the wet season and percolation tests are required, such percolation tests shall follow the percolation test procedure as set forth in the D.O.H. regulations (R-23-SD 14.00-pl a.b.c.d.e.f. and SD 14.02). Where proposed "subsurface seepage system" is used in D.O.H. regulations, "excavation of earth material" shall be substituted.</w:t>
      </w:r>
    </w:p>
    <w:p>
      <w:pPr>
        <w:pStyle w:val="Compact"/>
        <w:numPr>
          <w:ilvl w:val="0"/>
          <w:numId w:val="1206"/>
        </w:numPr>
      </w:pPr>
    </w:p>
    <w:p>
      <w:pPr>
        <w:pStyle w:val="Compact"/>
        <w:numPr>
          <w:ilvl w:val="1"/>
          <w:numId w:val="1207"/>
        </w:numPr>
      </w:pPr>
    </w:p>
    <w:p>
      <w:pPr>
        <w:pStyle w:val="Compact"/>
        <w:numPr>
          <w:ilvl w:val="2"/>
          <w:numId w:val="1208"/>
        </w:numPr>
      </w:pPr>
    </w:p>
    <w:p>
      <w:pPr>
        <w:numPr>
          <w:ilvl w:val="3"/>
          <w:numId w:val="1209"/>
        </w:numPr>
      </w:pPr>
      <w:r>
        <w:t xml:space="preserve">(5) Drainage, groundwater table elevation; permanent water bodies.</w:t>
      </w:r>
    </w:p>
    <w:p>
      <w:pPr>
        <w:pStyle w:val="Compact"/>
        <w:numPr>
          <w:ilvl w:val="0"/>
          <w:numId w:val="1210"/>
        </w:numPr>
      </w:pPr>
    </w:p>
    <w:p>
      <w:pPr>
        <w:pStyle w:val="Compact"/>
        <w:numPr>
          <w:ilvl w:val="1"/>
          <w:numId w:val="1211"/>
        </w:numPr>
      </w:pPr>
    </w:p>
    <w:p>
      <w:pPr>
        <w:numPr>
          <w:ilvl w:val="2"/>
          <w:numId w:val="1212"/>
        </w:numPr>
      </w:pPr>
      <w:r>
        <w:t xml:space="preserve">(a) Drainage shall be provided to prevent the permanent collection and stagnation of surface or underground waters, and to prevent the flooding and erosion of surrounding property and the pollution of ponds and streams; and</w:t>
      </w:r>
    </w:p>
    <w:p>
      <w:pPr>
        <w:numPr>
          <w:ilvl w:val="2"/>
          <w:numId w:val="1000"/>
        </w:numPr>
      </w:pPr>
      <w:r>
        <w:t xml:space="preserve">(b) Earth removal shall not encroach closer than four (4) feet to the groundwater table. Groundwater table elevation determinations shall be made on all land from which earth products will be removed. Procedures for groundwater table elevation determinations shall be made in the same manner as required by the Department of Health in the "Rules and Regulations Establishing Minimum Standards Relating to Location, Design Construction and Maintenance of Individual Sewage Disposal Systems" (R23-1-SD15.00-01 and 02). Where "subsurface seepage system" is used in the D.O.H. regulations, "excavation of earth removal" shall be substituted. Where "director" or "agent of the director" is used in the D.O.H. regulations, "Inspector" shall be substituted;</w:t>
      </w:r>
    </w:p>
    <w:p>
      <w:pPr>
        <w:pStyle w:val="Compact"/>
        <w:numPr>
          <w:ilvl w:val="0"/>
          <w:numId w:val="1213"/>
        </w:numPr>
      </w:pPr>
    </w:p>
    <w:p>
      <w:pPr>
        <w:pStyle w:val="Compact"/>
        <w:numPr>
          <w:ilvl w:val="1"/>
          <w:numId w:val="1214"/>
        </w:numPr>
      </w:pPr>
    </w:p>
    <w:p>
      <w:pPr>
        <w:numPr>
          <w:ilvl w:val="2"/>
          <w:numId w:val="1215"/>
        </w:numPr>
      </w:pPr>
      <w:r>
        <w:t xml:space="preserve">(c) Permanent water bodies shall not be created as a result of earth removal activities. The Inspector or his appointed designee shall witness all percolation and groundwater determinations and shall certify to the accuracy of technical data recorded. Any changes in such D.O.H. regulations relative to groundwater level determination and percolation tests from time to time shall be considered part of this section.</w:t>
      </w:r>
    </w:p>
    <w:p>
      <w:pPr>
        <w:pStyle w:val="Compact"/>
        <w:numPr>
          <w:ilvl w:val="0"/>
          <w:numId w:val="1216"/>
        </w:numPr>
      </w:pPr>
    </w:p>
    <w:p>
      <w:pPr>
        <w:pStyle w:val="Compact"/>
        <w:numPr>
          <w:ilvl w:val="1"/>
          <w:numId w:val="1217"/>
        </w:numPr>
      </w:pPr>
    </w:p>
    <w:p>
      <w:pPr>
        <w:pStyle w:val="Compact"/>
        <w:numPr>
          <w:ilvl w:val="2"/>
          <w:numId w:val="1218"/>
        </w:numPr>
      </w:pPr>
    </w:p>
    <w:p>
      <w:pPr>
        <w:numPr>
          <w:ilvl w:val="3"/>
          <w:numId w:val="1219"/>
        </w:numPr>
      </w:pPr>
      <w:r>
        <w:t xml:space="preserve">(6) Off-street parking; posting of signs; access roads; truck routes.</w:t>
      </w:r>
    </w:p>
    <w:p>
      <w:pPr>
        <w:pStyle w:val="Compact"/>
        <w:numPr>
          <w:ilvl w:val="0"/>
          <w:numId w:val="1220"/>
        </w:numPr>
      </w:pPr>
    </w:p>
    <w:p>
      <w:pPr>
        <w:pStyle w:val="Compact"/>
        <w:numPr>
          <w:ilvl w:val="1"/>
          <w:numId w:val="1221"/>
        </w:numPr>
      </w:pPr>
    </w:p>
    <w:p>
      <w:pPr>
        <w:numPr>
          <w:ilvl w:val="2"/>
          <w:numId w:val="1222"/>
        </w:numPr>
      </w:pPr>
      <w:r>
        <w:t xml:space="preserve">(a) Off-street parking shall be provided and utilized by all related vehicles.</w:t>
      </w:r>
    </w:p>
    <w:p>
      <w:pPr>
        <w:pStyle w:val="Compact"/>
        <w:numPr>
          <w:ilvl w:val="0"/>
          <w:numId w:val="1223"/>
        </w:numPr>
      </w:pPr>
    </w:p>
    <w:p>
      <w:pPr>
        <w:pStyle w:val="Compact"/>
        <w:numPr>
          <w:ilvl w:val="1"/>
          <w:numId w:val="1224"/>
        </w:numPr>
      </w:pPr>
    </w:p>
    <w:p>
      <w:pPr>
        <w:numPr>
          <w:ilvl w:val="2"/>
          <w:numId w:val="1225"/>
        </w:numPr>
      </w:pPr>
      <w:r>
        <w:t xml:space="preserve">(b) Any access to excavated areas or areas in the process of excavation shall be adequately posted with keep-out danger signs.</w:t>
      </w:r>
    </w:p>
    <w:p>
      <w:pPr>
        <w:pStyle w:val="Compact"/>
        <w:numPr>
          <w:ilvl w:val="0"/>
          <w:numId w:val="1226"/>
        </w:numPr>
      </w:pPr>
    </w:p>
    <w:p>
      <w:pPr>
        <w:pStyle w:val="Compact"/>
        <w:numPr>
          <w:ilvl w:val="1"/>
          <w:numId w:val="1227"/>
        </w:numPr>
      </w:pPr>
    </w:p>
    <w:p>
      <w:pPr>
        <w:numPr>
          <w:ilvl w:val="2"/>
          <w:numId w:val="1228"/>
        </w:numPr>
      </w:pPr>
      <w:r>
        <w:t xml:space="preserve">(c) Access roads shall be constructed with a curve so as to help screen the operation from public view.</w:t>
      </w:r>
    </w:p>
    <w:p>
      <w:pPr>
        <w:pStyle w:val="Compact"/>
        <w:numPr>
          <w:ilvl w:val="0"/>
          <w:numId w:val="1229"/>
        </w:numPr>
      </w:pPr>
    </w:p>
    <w:p>
      <w:pPr>
        <w:pStyle w:val="Compact"/>
        <w:numPr>
          <w:ilvl w:val="1"/>
          <w:numId w:val="1230"/>
        </w:numPr>
      </w:pPr>
    </w:p>
    <w:p>
      <w:pPr>
        <w:numPr>
          <w:ilvl w:val="2"/>
          <w:numId w:val="1231"/>
        </w:numPr>
      </w:pPr>
      <w:r>
        <w:t xml:space="preserve">(d) All trucking routes and methods shall be subject to the approval of the chief of police, and such routes be cleaned, repaired and/or resurfaced by the earth removal operator where such is required by the Town Council.</w:t>
      </w:r>
    </w:p>
    <w:p>
      <w:pPr>
        <w:pStyle w:val="Compact"/>
        <w:numPr>
          <w:ilvl w:val="0"/>
          <w:numId w:val="1232"/>
        </w:numPr>
      </w:pPr>
    </w:p>
    <w:p>
      <w:pPr>
        <w:pStyle w:val="Compact"/>
        <w:numPr>
          <w:ilvl w:val="1"/>
          <w:numId w:val="1233"/>
        </w:numPr>
      </w:pPr>
    </w:p>
    <w:p>
      <w:pPr>
        <w:pStyle w:val="Compact"/>
        <w:numPr>
          <w:ilvl w:val="2"/>
          <w:numId w:val="1234"/>
        </w:numPr>
      </w:pPr>
    </w:p>
    <w:p>
      <w:pPr>
        <w:numPr>
          <w:ilvl w:val="3"/>
          <w:numId w:val="1235"/>
        </w:numPr>
      </w:pPr>
      <w:r>
        <w:t xml:space="preserve">(7) Explosives. The use of explosives shall be in accordance with the regulations for storage or handling of explosives as set forth by the State of Rhode Island.</w:t>
      </w:r>
    </w:p>
    <w:p>
      <w:pPr>
        <w:pStyle w:val="Compact"/>
        <w:numPr>
          <w:ilvl w:val="0"/>
          <w:numId w:val="1236"/>
        </w:numPr>
      </w:pPr>
    </w:p>
    <w:p>
      <w:pPr>
        <w:pStyle w:val="Compact"/>
        <w:numPr>
          <w:ilvl w:val="1"/>
          <w:numId w:val="1237"/>
        </w:numPr>
      </w:pPr>
    </w:p>
    <w:p>
      <w:pPr>
        <w:numPr>
          <w:ilvl w:val="2"/>
          <w:numId w:val="1238"/>
        </w:numPr>
      </w:pPr>
      <w:r>
        <w:t xml:space="preserve">(d) Certificate of compliance. A certification by a registered engineer, landscape architect or registered land surveyor that completion of earth removal operations complies with the restoration plan.</w:t>
      </w:r>
    </w:p>
    <w:p>
      <w:pPr>
        <w:pStyle w:val="Compact"/>
        <w:numPr>
          <w:ilvl w:val="0"/>
          <w:numId w:val="1239"/>
        </w:numPr>
      </w:pPr>
    </w:p>
    <w:p>
      <w:pPr>
        <w:pStyle w:val="Compact"/>
        <w:numPr>
          <w:ilvl w:val="1"/>
          <w:numId w:val="1240"/>
        </w:numPr>
      </w:pPr>
    </w:p>
    <w:p>
      <w:pPr>
        <w:numPr>
          <w:ilvl w:val="2"/>
          <w:numId w:val="1241"/>
        </w:numPr>
      </w:pPr>
      <w:r>
        <w:t xml:space="preserve">(e) Noncompliance. If the plan set forth in subsection (b) above is not complied with, the Town is authorized and empowered to undertake and complete such plan and the owner of said tract of land shall reimburse the Town and the Town shall have a lien on said tract of land for such expenses.</w:t>
      </w:r>
    </w:p>
    <w:p>
      <w:pPr>
        <w:pStyle w:val="Compact"/>
        <w:numPr>
          <w:ilvl w:val="0"/>
          <w:numId w:val="1242"/>
        </w:numPr>
      </w:pPr>
    </w:p>
    <w:p>
      <w:pPr>
        <w:pStyle w:val="Compact"/>
        <w:numPr>
          <w:ilvl w:val="1"/>
          <w:numId w:val="1243"/>
        </w:numPr>
      </w:pPr>
    </w:p>
    <w:p>
      <w:pPr>
        <w:numPr>
          <w:ilvl w:val="2"/>
          <w:numId w:val="1244"/>
        </w:numPr>
      </w:pPr>
      <w:r>
        <w:t xml:space="preserve">(f) Bond. A bond surety required per acre of said tract of land to insure compliance with the restoration plan and reasonable additional amounts as required by the Zoning Board or Town Council to insure repair to Town roads for damage by any hauling operations.</w:t>
      </w:r>
    </w:p>
    <w:p>
      <w:pPr>
        <w:pStyle w:val="Compact"/>
        <w:numPr>
          <w:ilvl w:val="0"/>
          <w:numId w:val="1245"/>
        </w:numPr>
      </w:pPr>
    </w:p>
    <w:p>
      <w:pPr>
        <w:numPr>
          <w:ilvl w:val="1"/>
          <w:numId w:val="1246"/>
        </w:numPr>
      </w:pPr>
      <w:r>
        <w:t xml:space="preserve">5.6.3.6. Shopping centers. The purpose of these regulations is to encourage the effective and timely development of land for commercial purposes in accordance with the objectives and policies of the Comprehensive Plan; to assure suitable design in order to protect the property values and the residential environment of adjacent neighborhoods; and to minimize traffic congestion on the public streets (see Site Plan Review).</w:t>
      </w:r>
    </w:p>
    <w:p>
      <w:pPr>
        <w:pStyle w:val="Compact"/>
        <w:numPr>
          <w:ilvl w:val="0"/>
          <w:numId w:val="1247"/>
        </w:numPr>
      </w:pPr>
    </w:p>
    <w:p>
      <w:pPr>
        <w:pStyle w:val="Compact"/>
        <w:numPr>
          <w:ilvl w:val="1"/>
          <w:numId w:val="1248"/>
        </w:numPr>
      </w:pPr>
    </w:p>
    <w:p>
      <w:pPr>
        <w:numPr>
          <w:ilvl w:val="2"/>
          <w:numId w:val="1249"/>
        </w:numPr>
      </w:pPr>
      <w:r>
        <w:t xml:space="preserve">(a) Procedure. Prior to submitting an application for a shopping center to the Board, development plans shall be submitted to the Planning Board for site plan review. Subsequent to receiving site plan approval, the applicant shall submit approved site plans and supporting documentation to the Board. The Board shall hold a public hearing in accordance with section 9 and shall grant or deny the special-use permit. Strict adherence to the conditions set by the Planning Board, and the Board are necessary for issuance of Certificates of Zoning Compliance and building permits. Such building permits must be requested within one (1) year of the date of Board approval. The Board may extend its approval for one (1)year periods after public hearings for good cause shown.</w:t>
      </w:r>
    </w:p>
    <w:p>
      <w:pPr>
        <w:pStyle w:val="Compact"/>
        <w:numPr>
          <w:ilvl w:val="0"/>
          <w:numId w:val="1250"/>
        </w:numPr>
      </w:pPr>
    </w:p>
    <w:p>
      <w:pPr>
        <w:pStyle w:val="Compact"/>
        <w:numPr>
          <w:ilvl w:val="1"/>
          <w:numId w:val="1251"/>
        </w:numPr>
      </w:pPr>
    </w:p>
    <w:p>
      <w:pPr>
        <w:numPr>
          <w:ilvl w:val="2"/>
          <w:numId w:val="1252"/>
        </w:numPr>
      </w:pPr>
      <w:r>
        <w:t xml:space="preserve">(b) Development standards.</w:t>
      </w:r>
    </w:p>
    <w:p>
      <w:pPr>
        <w:pStyle w:val="Compact"/>
        <w:numPr>
          <w:ilvl w:val="0"/>
          <w:numId w:val="1253"/>
        </w:numPr>
      </w:pPr>
    </w:p>
    <w:p>
      <w:pPr>
        <w:pStyle w:val="Compact"/>
        <w:numPr>
          <w:ilvl w:val="1"/>
          <w:numId w:val="1254"/>
        </w:numPr>
      </w:pPr>
    </w:p>
    <w:p>
      <w:pPr>
        <w:pStyle w:val="Compact"/>
        <w:numPr>
          <w:ilvl w:val="2"/>
          <w:numId w:val="1255"/>
        </w:numPr>
      </w:pPr>
    </w:p>
    <w:p>
      <w:pPr>
        <w:numPr>
          <w:ilvl w:val="3"/>
          <w:numId w:val="1256"/>
        </w:numPr>
      </w:pPr>
      <w:r>
        <w:t xml:space="preserve">(1) Permitted uses. Any nonresidential use permitted in the BN or BH zone is permitted as a principal use of land in a shopping center.</w:t>
      </w:r>
    </w:p>
    <w:p>
      <w:pPr>
        <w:pStyle w:val="Compact"/>
        <w:numPr>
          <w:ilvl w:val="0"/>
          <w:numId w:val="1257"/>
        </w:numPr>
      </w:pPr>
    </w:p>
    <w:p>
      <w:pPr>
        <w:pStyle w:val="Compact"/>
        <w:numPr>
          <w:ilvl w:val="1"/>
          <w:numId w:val="1258"/>
        </w:numPr>
      </w:pPr>
    </w:p>
    <w:p>
      <w:pPr>
        <w:pStyle w:val="Compact"/>
        <w:numPr>
          <w:ilvl w:val="2"/>
          <w:numId w:val="1259"/>
        </w:numPr>
      </w:pPr>
    </w:p>
    <w:p>
      <w:pPr>
        <w:numPr>
          <w:ilvl w:val="3"/>
          <w:numId w:val="1260"/>
        </w:numPr>
      </w:pPr>
      <w:r>
        <w:t xml:space="preserve">(2) Site area. A shopping center shall be located on a parcel of land having an area of at least ten (10) acres.</w:t>
      </w:r>
    </w:p>
    <w:p>
      <w:pPr>
        <w:pStyle w:val="Compact"/>
        <w:numPr>
          <w:ilvl w:val="0"/>
          <w:numId w:val="1261"/>
        </w:numPr>
      </w:pPr>
    </w:p>
    <w:p>
      <w:pPr>
        <w:pStyle w:val="Compact"/>
        <w:numPr>
          <w:ilvl w:val="1"/>
          <w:numId w:val="1262"/>
        </w:numPr>
      </w:pPr>
    </w:p>
    <w:p>
      <w:pPr>
        <w:pStyle w:val="Compact"/>
        <w:numPr>
          <w:ilvl w:val="2"/>
          <w:numId w:val="1263"/>
        </w:numPr>
      </w:pPr>
    </w:p>
    <w:p>
      <w:pPr>
        <w:numPr>
          <w:ilvl w:val="3"/>
          <w:numId w:val="1264"/>
        </w:numPr>
      </w:pPr>
      <w:r>
        <w:t xml:space="preserve">(3) Maximum lot coverage. The total ground area occupied by all principal buildings, together with all accessory buildings, shall not exceed 25 percent of the total area of the parcel of land.</w:t>
      </w:r>
    </w:p>
    <w:p>
      <w:pPr>
        <w:pStyle w:val="Compact"/>
        <w:numPr>
          <w:ilvl w:val="0"/>
          <w:numId w:val="1265"/>
        </w:numPr>
      </w:pPr>
    </w:p>
    <w:p>
      <w:pPr>
        <w:pStyle w:val="Compact"/>
        <w:numPr>
          <w:ilvl w:val="1"/>
          <w:numId w:val="1266"/>
        </w:numPr>
      </w:pPr>
    </w:p>
    <w:p>
      <w:pPr>
        <w:pStyle w:val="Compact"/>
        <w:numPr>
          <w:ilvl w:val="2"/>
          <w:numId w:val="1267"/>
        </w:numPr>
      </w:pPr>
    </w:p>
    <w:p>
      <w:pPr>
        <w:numPr>
          <w:ilvl w:val="3"/>
          <w:numId w:val="1268"/>
        </w:numPr>
      </w:pPr>
      <w:r>
        <w:t xml:space="preserve">(4) Height restriction. No principal building shall exceed thirty (30) feet in height; no accessory building or other structure shall exceed twenty (20) feet in height.</w:t>
      </w:r>
    </w:p>
    <w:p>
      <w:pPr>
        <w:pStyle w:val="Compact"/>
        <w:numPr>
          <w:ilvl w:val="0"/>
          <w:numId w:val="1269"/>
        </w:numPr>
      </w:pPr>
    </w:p>
    <w:p>
      <w:pPr>
        <w:pStyle w:val="Compact"/>
        <w:numPr>
          <w:ilvl w:val="1"/>
          <w:numId w:val="1270"/>
        </w:numPr>
      </w:pPr>
    </w:p>
    <w:p>
      <w:pPr>
        <w:pStyle w:val="Compact"/>
        <w:numPr>
          <w:ilvl w:val="2"/>
          <w:numId w:val="1271"/>
        </w:numPr>
      </w:pPr>
    </w:p>
    <w:p>
      <w:pPr>
        <w:numPr>
          <w:ilvl w:val="3"/>
          <w:numId w:val="1272"/>
        </w:numPr>
      </w:pPr>
      <w:r>
        <w:t xml:space="preserve">(5) Building setback line. Each land parcel shall have a building setback from all street lines of at least eighty (80) feet. A strip twenty (20) feet deep along the street line shall be maintained as a continuous landscape buffer strip except for access ways. The remaining area may be used for parking.</w:t>
      </w:r>
    </w:p>
    <w:p>
      <w:pPr>
        <w:pStyle w:val="Compact"/>
        <w:numPr>
          <w:ilvl w:val="0"/>
          <w:numId w:val="1273"/>
        </w:numPr>
      </w:pPr>
    </w:p>
    <w:p>
      <w:pPr>
        <w:pStyle w:val="Compact"/>
        <w:numPr>
          <w:ilvl w:val="1"/>
          <w:numId w:val="1274"/>
        </w:numPr>
      </w:pPr>
    </w:p>
    <w:p>
      <w:pPr>
        <w:pStyle w:val="Compact"/>
        <w:numPr>
          <w:ilvl w:val="2"/>
          <w:numId w:val="1275"/>
        </w:numPr>
      </w:pPr>
    </w:p>
    <w:p>
      <w:pPr>
        <w:numPr>
          <w:ilvl w:val="3"/>
          <w:numId w:val="1276"/>
        </w:numPr>
      </w:pPr>
      <w:r>
        <w:t xml:space="preserve">(6) Side and rear yards. The parcel of land shall have side and rear yards of at least fifty (50) feet in width. A strip twenty (20) feet in width or depth along side and rear lot lines shall be maintained as a landscaped buffer strip. The remainder of the area may be used for parking.</w:t>
      </w:r>
    </w:p>
    <w:p>
      <w:pPr>
        <w:pStyle w:val="Compact"/>
        <w:numPr>
          <w:ilvl w:val="0"/>
          <w:numId w:val="1277"/>
        </w:numPr>
      </w:pPr>
    </w:p>
    <w:p>
      <w:pPr>
        <w:pStyle w:val="Compact"/>
        <w:numPr>
          <w:ilvl w:val="1"/>
          <w:numId w:val="1278"/>
        </w:numPr>
      </w:pPr>
    </w:p>
    <w:p>
      <w:pPr>
        <w:pStyle w:val="Compact"/>
        <w:numPr>
          <w:ilvl w:val="2"/>
          <w:numId w:val="1279"/>
        </w:numPr>
      </w:pPr>
    </w:p>
    <w:p>
      <w:pPr>
        <w:numPr>
          <w:ilvl w:val="3"/>
          <w:numId w:val="1280"/>
        </w:numPr>
      </w:pPr>
      <w:r>
        <w:t xml:space="preserve">(7) Special buffer requirement adjacent to residential areas. Along any boundary line adjacent to a residential area, a buffer yard shall be at least one hundred (100) feet in depth, measured from the property line to a parking area.</w:t>
      </w:r>
    </w:p>
    <w:p>
      <w:pPr>
        <w:pStyle w:val="Compact"/>
        <w:numPr>
          <w:ilvl w:val="0"/>
          <w:numId w:val="1281"/>
        </w:numPr>
      </w:pPr>
    </w:p>
    <w:p>
      <w:pPr>
        <w:pStyle w:val="Compact"/>
        <w:numPr>
          <w:ilvl w:val="1"/>
          <w:numId w:val="1282"/>
        </w:numPr>
      </w:pPr>
    </w:p>
    <w:p>
      <w:pPr>
        <w:pStyle w:val="Compact"/>
        <w:numPr>
          <w:ilvl w:val="2"/>
          <w:numId w:val="1283"/>
        </w:numPr>
      </w:pPr>
    </w:p>
    <w:p>
      <w:pPr>
        <w:numPr>
          <w:ilvl w:val="3"/>
          <w:numId w:val="1284"/>
        </w:numPr>
      </w:pPr>
      <w:r>
        <w:t xml:space="preserve">(8) Access and traffic control.</w:t>
      </w:r>
    </w:p>
    <w:p>
      <w:pPr>
        <w:pStyle w:val="Compact"/>
        <w:numPr>
          <w:ilvl w:val="0"/>
          <w:numId w:val="1285"/>
        </w:numPr>
      </w:pPr>
    </w:p>
    <w:p>
      <w:pPr>
        <w:pStyle w:val="Compact"/>
        <w:numPr>
          <w:ilvl w:val="1"/>
          <w:numId w:val="1286"/>
        </w:numPr>
      </w:pPr>
    </w:p>
    <w:p>
      <w:pPr>
        <w:numPr>
          <w:ilvl w:val="2"/>
          <w:numId w:val="1287"/>
        </w:numPr>
      </w:pPr>
      <w:r>
        <w:t xml:space="preserve">(a) Access barrier. A shopping center shall be physically separated from each adjoining street by a curb or other suitable barrier against unchannelled motor vehicle ingress and egress. Such barrier shall be located at the edge of, or within, a twenty (20) foot deep strip along the property line. Except for the access ways permitted by (b) below, the barrier shall be continuous for the entire length of the property line.</w:t>
      </w:r>
    </w:p>
    <w:p>
      <w:pPr>
        <w:pStyle w:val="Compact"/>
        <w:numPr>
          <w:ilvl w:val="0"/>
          <w:numId w:val="1288"/>
        </w:numPr>
      </w:pPr>
    </w:p>
    <w:p>
      <w:pPr>
        <w:pStyle w:val="Compact"/>
        <w:numPr>
          <w:ilvl w:val="1"/>
          <w:numId w:val="1289"/>
        </w:numPr>
      </w:pPr>
    </w:p>
    <w:p>
      <w:pPr>
        <w:numPr>
          <w:ilvl w:val="2"/>
          <w:numId w:val="1290"/>
        </w:numPr>
      </w:pPr>
      <w:r>
        <w:t xml:space="preserve">(b) Access ways. A shopping center shall have not more than one access way for ingress and one access way for egress on any one street unless unusual circumstances demonstrate the need for additional access points. Each access way shall comply with the following requirements:</w:t>
      </w:r>
    </w:p>
    <w:p>
      <w:pPr>
        <w:pStyle w:val="Compact"/>
        <w:numPr>
          <w:ilvl w:val="0"/>
          <w:numId w:val="1291"/>
        </w:numPr>
      </w:pPr>
    </w:p>
    <w:p>
      <w:pPr>
        <w:pStyle w:val="Compact"/>
        <w:numPr>
          <w:ilvl w:val="1"/>
          <w:numId w:val="1292"/>
        </w:numPr>
      </w:pPr>
    </w:p>
    <w:p>
      <w:pPr>
        <w:pStyle w:val="Compact"/>
        <w:numPr>
          <w:ilvl w:val="2"/>
          <w:numId w:val="1293"/>
        </w:numPr>
      </w:pPr>
    </w:p>
    <w:p>
      <w:pPr>
        <w:numPr>
          <w:ilvl w:val="3"/>
          <w:numId w:val="1294"/>
        </w:numPr>
      </w:pPr>
      <w:r>
        <w:t xml:space="preserve">(1) The width of any access way leading to a public street shall not exceed twenty five (25) feet at its intersection with the property line. Curb returns shall have a minimum radius of thirty (30) feet.</w:t>
      </w:r>
    </w:p>
    <w:p>
      <w:pPr>
        <w:pStyle w:val="Compact"/>
        <w:numPr>
          <w:ilvl w:val="0"/>
          <w:numId w:val="1295"/>
        </w:numPr>
      </w:pPr>
    </w:p>
    <w:p>
      <w:pPr>
        <w:pStyle w:val="Compact"/>
        <w:numPr>
          <w:ilvl w:val="1"/>
          <w:numId w:val="1296"/>
        </w:numPr>
      </w:pPr>
    </w:p>
    <w:p>
      <w:pPr>
        <w:pStyle w:val="Compact"/>
        <w:numPr>
          <w:ilvl w:val="2"/>
          <w:numId w:val="1297"/>
        </w:numPr>
      </w:pPr>
    </w:p>
    <w:p>
      <w:pPr>
        <w:numPr>
          <w:ilvl w:val="3"/>
          <w:numId w:val="1298"/>
        </w:numPr>
      </w:pPr>
      <w:r>
        <w:t xml:space="preserve">(2) At its intersection with the property line, no part of any access way shall be nearer than one hundred (100) feet to the intersection of any two street rightof-way lines, nor shall any part be nearer than fifty (50) feet to any side or rear property line.</w:t>
      </w:r>
    </w:p>
    <w:p>
      <w:pPr>
        <w:pStyle w:val="Compact"/>
        <w:numPr>
          <w:ilvl w:val="0"/>
          <w:numId w:val="1299"/>
        </w:numPr>
      </w:pPr>
    </w:p>
    <w:p>
      <w:pPr>
        <w:pStyle w:val="Compact"/>
        <w:numPr>
          <w:ilvl w:val="1"/>
          <w:numId w:val="1300"/>
        </w:numPr>
      </w:pPr>
    </w:p>
    <w:p>
      <w:pPr>
        <w:pStyle w:val="Compact"/>
        <w:numPr>
          <w:ilvl w:val="2"/>
          <w:numId w:val="1301"/>
        </w:numPr>
      </w:pPr>
    </w:p>
    <w:p>
      <w:pPr>
        <w:numPr>
          <w:ilvl w:val="3"/>
          <w:numId w:val="1302"/>
        </w:numPr>
      </w:pPr>
      <w:r>
        <w:t xml:space="preserve">(3) The location and number of access ways shall be so arranged that they will reduce traffic hazards as much as possible.</w:t>
      </w:r>
    </w:p>
    <w:p>
      <w:pPr>
        <w:pStyle w:val="Compact"/>
        <w:numPr>
          <w:ilvl w:val="0"/>
          <w:numId w:val="1303"/>
        </w:numPr>
      </w:pPr>
    </w:p>
    <w:p>
      <w:pPr>
        <w:pStyle w:val="Compact"/>
        <w:numPr>
          <w:ilvl w:val="1"/>
          <w:numId w:val="1304"/>
        </w:numPr>
      </w:pPr>
    </w:p>
    <w:p>
      <w:pPr>
        <w:pStyle w:val="Compact"/>
        <w:numPr>
          <w:ilvl w:val="2"/>
          <w:numId w:val="1305"/>
        </w:numPr>
      </w:pPr>
    </w:p>
    <w:p>
      <w:pPr>
        <w:numPr>
          <w:ilvl w:val="3"/>
          <w:numId w:val="1306"/>
        </w:numPr>
      </w:pPr>
      <w:r>
        <w:t xml:space="preserve">(9) Off-street parking areas. All off-street parking spaces and servicing drives shall be located within the boundaries of the property being developed as a shopping center. Offstreet parking spaces shall be provided at the rate of at least three square feet of parking area to one square foot of gross floor area. Individual parking stalls shall be a minimum of 180 square feet. Spaces provided behind the stores or shops shall not be considered usable by the public and shall not be considered in calculating the minimum space required; provided however, that if the shopping center is so designed that all of the shops and stores face upon a central mall and all sections of the parking area are provided with adequate connecting internal drives, the location of parking areas may completely surround such shops and stores.</w:t>
      </w:r>
    </w:p>
    <w:p>
      <w:pPr>
        <w:pStyle w:val="Compact"/>
        <w:numPr>
          <w:ilvl w:val="0"/>
          <w:numId w:val="1307"/>
        </w:numPr>
      </w:pPr>
    </w:p>
    <w:p>
      <w:pPr>
        <w:pStyle w:val="Compact"/>
        <w:numPr>
          <w:ilvl w:val="1"/>
          <w:numId w:val="1308"/>
        </w:numPr>
      </w:pPr>
    </w:p>
    <w:p>
      <w:pPr>
        <w:pStyle w:val="Compact"/>
        <w:numPr>
          <w:ilvl w:val="2"/>
          <w:numId w:val="1309"/>
        </w:numPr>
      </w:pPr>
    </w:p>
    <w:p>
      <w:pPr>
        <w:numPr>
          <w:ilvl w:val="3"/>
          <w:numId w:val="1310"/>
        </w:numPr>
      </w:pPr>
      <w:r>
        <w:t xml:space="preserve">(10) Off-street loading. Each shop or store shall have a rear or side entrance that is accessible to a loading area and service drive. Service drives shall be a minimum of 26 feet wide and shall be in addition to and not part of the drives or circulation system used by the vehicles of shoppers. The arrangement of truck loading and unloading facilities for each shop or store shall be such that in the process of loading and unloading, no truck will block or extend into any other private or public drive or street used for vehicular circulation. Loading and delivery zones shall be clearly marked.</w:t>
      </w:r>
    </w:p>
    <w:p>
      <w:pPr>
        <w:pStyle w:val="Compact"/>
        <w:numPr>
          <w:ilvl w:val="0"/>
          <w:numId w:val="1311"/>
        </w:numPr>
      </w:pPr>
    </w:p>
    <w:p>
      <w:pPr>
        <w:pStyle w:val="Compact"/>
        <w:numPr>
          <w:ilvl w:val="1"/>
          <w:numId w:val="1312"/>
        </w:numPr>
      </w:pPr>
    </w:p>
    <w:p>
      <w:pPr>
        <w:pStyle w:val="Compact"/>
        <w:numPr>
          <w:ilvl w:val="2"/>
          <w:numId w:val="1313"/>
        </w:numPr>
      </w:pPr>
    </w:p>
    <w:p>
      <w:pPr>
        <w:numPr>
          <w:ilvl w:val="3"/>
          <w:numId w:val="1314"/>
        </w:numPr>
      </w:pPr>
      <w:r>
        <w:t xml:space="preserve">(11) Lighting. All parking areas and access ways shall be flood lighted at night during business hours. All outside lighting shall be arranged and shielded to prevent glare or reflection, nuisance, inconvenience, or hazardous interference of any kind on adjoining streets or residential properties.</w:t>
      </w:r>
    </w:p>
    <w:p>
      <w:pPr>
        <w:pStyle w:val="Compact"/>
        <w:numPr>
          <w:ilvl w:val="0"/>
          <w:numId w:val="1315"/>
        </w:numPr>
      </w:pPr>
    </w:p>
    <w:p>
      <w:pPr>
        <w:pStyle w:val="Compact"/>
        <w:numPr>
          <w:ilvl w:val="1"/>
          <w:numId w:val="1316"/>
        </w:numPr>
      </w:pPr>
    </w:p>
    <w:p>
      <w:pPr>
        <w:pStyle w:val="Compact"/>
        <w:numPr>
          <w:ilvl w:val="2"/>
          <w:numId w:val="1317"/>
        </w:numPr>
      </w:pPr>
    </w:p>
    <w:p>
      <w:pPr>
        <w:numPr>
          <w:ilvl w:val="3"/>
          <w:numId w:val="1318"/>
        </w:numPr>
      </w:pPr>
      <w:r>
        <w:t xml:space="preserve">(12) Waste pens. Each building shall be provided with an enclosed and covered waste pen of sufficient size to accommodate all trash and waste stored on the premises.</w:t>
      </w:r>
    </w:p>
    <w:p>
      <w:pPr>
        <w:pStyle w:val="Compact"/>
        <w:numPr>
          <w:ilvl w:val="0"/>
          <w:numId w:val="1319"/>
        </w:numPr>
      </w:pPr>
    </w:p>
    <w:p>
      <w:pPr>
        <w:pStyle w:val="Compact"/>
        <w:numPr>
          <w:ilvl w:val="1"/>
          <w:numId w:val="1320"/>
        </w:numPr>
      </w:pPr>
    </w:p>
    <w:p>
      <w:pPr>
        <w:pStyle w:val="Compact"/>
        <w:numPr>
          <w:ilvl w:val="2"/>
          <w:numId w:val="1321"/>
        </w:numPr>
      </w:pPr>
    </w:p>
    <w:p>
      <w:pPr>
        <w:numPr>
          <w:ilvl w:val="3"/>
          <w:numId w:val="1322"/>
        </w:numPr>
      </w:pPr>
      <w:r>
        <w:t xml:space="preserve">(13) Trash burners and incinerators. There shall be no trash burner or incinerator, or any burning of trash on the premises.</w:t>
      </w:r>
    </w:p>
    <w:p>
      <w:pPr>
        <w:pStyle w:val="Compact"/>
        <w:numPr>
          <w:ilvl w:val="0"/>
          <w:numId w:val="1323"/>
        </w:numPr>
      </w:pPr>
    </w:p>
    <w:p>
      <w:pPr>
        <w:pStyle w:val="Compact"/>
        <w:numPr>
          <w:ilvl w:val="1"/>
          <w:numId w:val="1324"/>
        </w:numPr>
      </w:pPr>
    </w:p>
    <w:p>
      <w:pPr>
        <w:numPr>
          <w:ilvl w:val="2"/>
          <w:numId w:val="1325"/>
        </w:numPr>
      </w:pPr>
      <w:r>
        <w:t xml:space="preserve">(c) Application requirements. In addition to the general application requirements, the applicant shall furnish the following information and exhibits concerning his proposed development:</w:t>
      </w:r>
    </w:p>
    <w:p>
      <w:pPr>
        <w:pStyle w:val="Compact"/>
        <w:numPr>
          <w:ilvl w:val="0"/>
          <w:numId w:val="1326"/>
        </w:numPr>
      </w:pPr>
    </w:p>
    <w:p>
      <w:pPr>
        <w:pStyle w:val="Compact"/>
        <w:numPr>
          <w:ilvl w:val="1"/>
          <w:numId w:val="1327"/>
        </w:numPr>
      </w:pPr>
    </w:p>
    <w:p>
      <w:pPr>
        <w:pStyle w:val="Compact"/>
        <w:numPr>
          <w:ilvl w:val="2"/>
          <w:numId w:val="1328"/>
        </w:numPr>
      </w:pPr>
    </w:p>
    <w:p>
      <w:pPr>
        <w:numPr>
          <w:ilvl w:val="3"/>
          <w:numId w:val="1329"/>
        </w:numPr>
      </w:pPr>
      <w:r>
        <w:t xml:space="preserve">(1) Ownership. All land in the proposed shopping center shall be in either single ownership or in unified control and shall contain no public streets or alleys. A shopping center site shall not lie on two sides of a public street or alley.</w:t>
      </w:r>
    </w:p>
    <w:p>
      <w:pPr>
        <w:pStyle w:val="Compact"/>
        <w:numPr>
          <w:ilvl w:val="0"/>
          <w:numId w:val="1330"/>
        </w:numPr>
      </w:pPr>
    </w:p>
    <w:p>
      <w:pPr>
        <w:pStyle w:val="Compact"/>
        <w:numPr>
          <w:ilvl w:val="1"/>
          <w:numId w:val="1331"/>
        </w:numPr>
      </w:pPr>
    </w:p>
    <w:p>
      <w:pPr>
        <w:pStyle w:val="Compact"/>
        <w:numPr>
          <w:ilvl w:val="2"/>
          <w:numId w:val="1332"/>
        </w:numPr>
      </w:pPr>
    </w:p>
    <w:p>
      <w:pPr>
        <w:numPr>
          <w:ilvl w:val="3"/>
          <w:numId w:val="1333"/>
        </w:numPr>
      </w:pPr>
      <w:r>
        <w:t xml:space="preserve">(2) [Financial statement.] An applicant's current financial statement.</w:t>
      </w:r>
    </w:p>
    <w:p>
      <w:pPr>
        <w:pStyle w:val="Compact"/>
        <w:numPr>
          <w:ilvl w:val="0"/>
          <w:numId w:val="1334"/>
        </w:numPr>
      </w:pPr>
    </w:p>
    <w:p>
      <w:pPr>
        <w:pStyle w:val="Compact"/>
        <w:numPr>
          <w:ilvl w:val="1"/>
          <w:numId w:val="1335"/>
        </w:numPr>
      </w:pPr>
    </w:p>
    <w:p>
      <w:pPr>
        <w:pStyle w:val="Compact"/>
        <w:numPr>
          <w:ilvl w:val="2"/>
          <w:numId w:val="1336"/>
        </w:numPr>
      </w:pPr>
    </w:p>
    <w:p>
      <w:pPr>
        <w:numPr>
          <w:ilvl w:val="3"/>
          <w:numId w:val="1337"/>
        </w:numPr>
      </w:pPr>
      <w:r>
        <w:t xml:space="preserve">(3) Existing conditions. A suitable sketch showing:</w:t>
      </w:r>
    </w:p>
    <w:p>
      <w:pPr>
        <w:pStyle w:val="Compact"/>
        <w:numPr>
          <w:ilvl w:val="0"/>
          <w:numId w:val="1338"/>
        </w:numPr>
      </w:pPr>
    </w:p>
    <w:p>
      <w:pPr>
        <w:pStyle w:val="Compact"/>
        <w:numPr>
          <w:ilvl w:val="1"/>
          <w:numId w:val="1339"/>
        </w:numPr>
      </w:pPr>
    </w:p>
    <w:p>
      <w:pPr>
        <w:numPr>
          <w:ilvl w:val="2"/>
          <w:numId w:val="1340"/>
        </w:numPr>
      </w:pPr>
      <w:r>
        <w:t xml:space="preserve">(a) Boundary line of the proposed shopping center, and the total acreage encompassed thereby.</w:t>
      </w:r>
    </w:p>
    <w:p>
      <w:pPr>
        <w:pStyle w:val="Compact"/>
        <w:numPr>
          <w:ilvl w:val="0"/>
          <w:numId w:val="1341"/>
        </w:numPr>
      </w:pPr>
    </w:p>
    <w:p>
      <w:pPr>
        <w:pStyle w:val="Compact"/>
        <w:numPr>
          <w:ilvl w:val="1"/>
          <w:numId w:val="1342"/>
        </w:numPr>
      </w:pPr>
    </w:p>
    <w:p>
      <w:pPr>
        <w:numPr>
          <w:ilvl w:val="2"/>
          <w:numId w:val="1343"/>
        </w:numPr>
      </w:pPr>
      <w:r>
        <w:t xml:space="preserve">(b) The size and location of existing sewers, water mains, culverts, manholes and other underground facilities within the tract.</w:t>
      </w:r>
    </w:p>
    <w:p>
      <w:pPr>
        <w:pStyle w:val="Compact"/>
        <w:numPr>
          <w:ilvl w:val="0"/>
          <w:numId w:val="1344"/>
        </w:numPr>
      </w:pPr>
    </w:p>
    <w:p>
      <w:pPr>
        <w:pStyle w:val="Compact"/>
        <w:numPr>
          <w:ilvl w:val="1"/>
          <w:numId w:val="1345"/>
        </w:numPr>
      </w:pPr>
    </w:p>
    <w:p>
      <w:pPr>
        <w:numPr>
          <w:ilvl w:val="2"/>
          <w:numId w:val="1346"/>
        </w:numPr>
      </w:pPr>
      <w:r>
        <w:t xml:space="preserve">(c) Generalized contour lines.</w:t>
      </w:r>
    </w:p>
    <w:p>
      <w:pPr>
        <w:pStyle w:val="Compact"/>
        <w:numPr>
          <w:ilvl w:val="0"/>
          <w:numId w:val="1347"/>
        </w:numPr>
      </w:pPr>
    </w:p>
    <w:p>
      <w:pPr>
        <w:pStyle w:val="Compact"/>
        <w:numPr>
          <w:ilvl w:val="1"/>
          <w:numId w:val="1348"/>
        </w:numPr>
      </w:pPr>
    </w:p>
    <w:p>
      <w:pPr>
        <w:numPr>
          <w:ilvl w:val="2"/>
          <w:numId w:val="1349"/>
        </w:numPr>
      </w:pPr>
      <w:r>
        <w:t xml:space="preserve">(d) Location, widths and names of all existing or prior platted streets, railroad and utility rights-of-way, parks and other public open spaces, permanent buildings and structures, easements, and municipal boundary lines, within five hundred (500) feet of the tract.</w:t>
      </w:r>
    </w:p>
    <w:p>
      <w:pPr>
        <w:pStyle w:val="Compact"/>
        <w:numPr>
          <w:ilvl w:val="0"/>
          <w:numId w:val="1350"/>
        </w:numPr>
      </w:pPr>
    </w:p>
    <w:p>
      <w:pPr>
        <w:pStyle w:val="Compact"/>
        <w:numPr>
          <w:ilvl w:val="1"/>
          <w:numId w:val="1351"/>
        </w:numPr>
      </w:pPr>
    </w:p>
    <w:p>
      <w:pPr>
        <w:pStyle w:val="Compact"/>
        <w:numPr>
          <w:ilvl w:val="2"/>
          <w:numId w:val="1352"/>
        </w:numPr>
      </w:pPr>
    </w:p>
    <w:p>
      <w:pPr>
        <w:numPr>
          <w:ilvl w:val="3"/>
          <w:numId w:val="1353"/>
        </w:numPr>
      </w:pPr>
      <w:r>
        <w:t xml:space="preserve">(4) Proposed conditions. Preliminary sketches showing the following:</w:t>
      </w:r>
    </w:p>
    <w:p>
      <w:pPr>
        <w:pStyle w:val="Compact"/>
        <w:numPr>
          <w:ilvl w:val="0"/>
          <w:numId w:val="1354"/>
        </w:numPr>
      </w:pPr>
    </w:p>
    <w:p>
      <w:pPr>
        <w:pStyle w:val="Compact"/>
        <w:numPr>
          <w:ilvl w:val="1"/>
          <w:numId w:val="1355"/>
        </w:numPr>
      </w:pPr>
    </w:p>
    <w:p>
      <w:pPr>
        <w:numPr>
          <w:ilvl w:val="2"/>
          <w:numId w:val="1356"/>
        </w:numPr>
      </w:pPr>
      <w:r>
        <w:t xml:space="preserve">(a) Location, general layout and dimensions of principle and accessory buildings;</w:t>
      </w:r>
    </w:p>
    <w:p>
      <w:pPr>
        <w:pStyle w:val="Compact"/>
        <w:numPr>
          <w:ilvl w:val="0"/>
          <w:numId w:val="1357"/>
        </w:numPr>
      </w:pPr>
    </w:p>
    <w:p>
      <w:pPr>
        <w:pStyle w:val="Compact"/>
        <w:numPr>
          <w:ilvl w:val="1"/>
          <w:numId w:val="1358"/>
        </w:numPr>
      </w:pPr>
    </w:p>
    <w:p>
      <w:pPr>
        <w:numPr>
          <w:ilvl w:val="2"/>
          <w:numId w:val="1359"/>
        </w:numPr>
      </w:pPr>
      <w:r>
        <w:t xml:space="preserve">(b) Architectural sketches of the proposed buildings;</w:t>
      </w:r>
    </w:p>
    <w:p>
      <w:pPr>
        <w:pStyle w:val="Compact"/>
        <w:numPr>
          <w:ilvl w:val="0"/>
          <w:numId w:val="1360"/>
        </w:numPr>
      </w:pPr>
    </w:p>
    <w:p>
      <w:pPr>
        <w:pStyle w:val="Compact"/>
        <w:numPr>
          <w:ilvl w:val="1"/>
          <w:numId w:val="1361"/>
        </w:numPr>
      </w:pPr>
    </w:p>
    <w:p>
      <w:pPr>
        <w:numPr>
          <w:ilvl w:val="2"/>
          <w:numId w:val="1362"/>
        </w:numPr>
      </w:pPr>
      <w:r>
        <w:t xml:space="preserve">(c) Location and dimensions of vehicular drives, entrances, exits, acceleration and deceleration lanes;</w:t>
      </w:r>
    </w:p>
    <w:p>
      <w:pPr>
        <w:pStyle w:val="Compact"/>
        <w:numPr>
          <w:ilvl w:val="0"/>
          <w:numId w:val="1363"/>
        </w:numPr>
      </w:pPr>
    </w:p>
    <w:p>
      <w:pPr>
        <w:pStyle w:val="Compact"/>
        <w:numPr>
          <w:ilvl w:val="1"/>
          <w:numId w:val="1364"/>
        </w:numPr>
      </w:pPr>
    </w:p>
    <w:p>
      <w:pPr>
        <w:numPr>
          <w:ilvl w:val="2"/>
          <w:numId w:val="1365"/>
        </w:numPr>
      </w:pPr>
      <w:r>
        <w:t xml:space="preserve">(d) Traffic circulation within the confines of the shopping center;</w:t>
      </w:r>
    </w:p>
    <w:p>
      <w:pPr>
        <w:pStyle w:val="Compact"/>
        <w:numPr>
          <w:ilvl w:val="0"/>
          <w:numId w:val="1366"/>
        </w:numPr>
      </w:pPr>
    </w:p>
    <w:p>
      <w:pPr>
        <w:pStyle w:val="Compact"/>
        <w:numPr>
          <w:ilvl w:val="1"/>
          <w:numId w:val="1367"/>
        </w:numPr>
      </w:pPr>
    </w:p>
    <w:p>
      <w:pPr>
        <w:numPr>
          <w:ilvl w:val="2"/>
          <w:numId w:val="1368"/>
        </w:numPr>
      </w:pPr>
      <w:r>
        <w:t xml:space="preserve">(e) Location, arrangement and dimensions of automobile parking, bays, aisles, and loading spaces;</w:t>
      </w:r>
    </w:p>
    <w:p>
      <w:pPr>
        <w:pStyle w:val="Compact"/>
        <w:numPr>
          <w:ilvl w:val="0"/>
          <w:numId w:val="1369"/>
        </w:numPr>
      </w:pPr>
    </w:p>
    <w:p>
      <w:pPr>
        <w:pStyle w:val="Compact"/>
        <w:numPr>
          <w:ilvl w:val="1"/>
          <w:numId w:val="1370"/>
        </w:numPr>
      </w:pPr>
    </w:p>
    <w:p>
      <w:pPr>
        <w:numPr>
          <w:ilvl w:val="2"/>
          <w:numId w:val="1371"/>
        </w:numPr>
      </w:pPr>
      <w:r>
        <w:t xml:space="preserve">(f) Location, arrangement and dimensions of truck loading and unloading spaces and docks;</w:t>
      </w:r>
    </w:p>
    <w:p>
      <w:pPr>
        <w:pStyle w:val="Compact"/>
        <w:numPr>
          <w:ilvl w:val="0"/>
          <w:numId w:val="1372"/>
        </w:numPr>
      </w:pPr>
    </w:p>
    <w:p>
      <w:pPr>
        <w:pStyle w:val="Compact"/>
        <w:numPr>
          <w:ilvl w:val="1"/>
          <w:numId w:val="1373"/>
        </w:numPr>
      </w:pPr>
    </w:p>
    <w:p>
      <w:pPr>
        <w:numPr>
          <w:ilvl w:val="2"/>
          <w:numId w:val="1374"/>
        </w:numPr>
      </w:pPr>
      <w:r>
        <w:t xml:space="preserve">(g) Location and dimensions of pedestrian entrances, exits, walks, and walkways;</w:t>
      </w:r>
    </w:p>
    <w:p>
      <w:pPr>
        <w:pStyle w:val="Compact"/>
        <w:numPr>
          <w:ilvl w:val="0"/>
          <w:numId w:val="1375"/>
        </w:numPr>
      </w:pPr>
    </w:p>
    <w:p>
      <w:pPr>
        <w:pStyle w:val="Compact"/>
        <w:numPr>
          <w:ilvl w:val="1"/>
          <w:numId w:val="1376"/>
        </w:numPr>
      </w:pPr>
    </w:p>
    <w:p>
      <w:pPr>
        <w:numPr>
          <w:ilvl w:val="2"/>
          <w:numId w:val="1377"/>
        </w:numPr>
      </w:pPr>
      <w:r>
        <w:t xml:space="preserve">(h) Drainage and sanitary systems.</w:t>
      </w:r>
    </w:p>
    <w:p>
      <w:pPr>
        <w:pStyle w:val="Compact"/>
        <w:numPr>
          <w:ilvl w:val="0"/>
          <w:numId w:val="1378"/>
        </w:numPr>
      </w:pPr>
    </w:p>
    <w:p>
      <w:pPr>
        <w:pStyle w:val="Compact"/>
        <w:numPr>
          <w:ilvl w:val="1"/>
          <w:numId w:val="1379"/>
        </w:numPr>
      </w:pPr>
    </w:p>
    <w:p>
      <w:pPr>
        <w:pStyle w:val="Compact"/>
        <w:numPr>
          <w:ilvl w:val="2"/>
          <w:numId w:val="1380"/>
        </w:numPr>
      </w:pPr>
    </w:p>
    <w:p>
      <w:pPr>
        <w:numPr>
          <w:ilvl w:val="3"/>
          <w:numId w:val="1381"/>
        </w:numPr>
      </w:pPr>
      <w:r>
        <w:t xml:space="preserve">(5) Preliminary site plan submission. A preliminary site plan for the development of such property shall be presented to the Planning Board for review. The preliminary site plan, which may be shown on separate sheets, shall show the following, together with the appropriate dimensions:</w:t>
      </w:r>
    </w:p>
    <w:p>
      <w:pPr>
        <w:pStyle w:val="Compact"/>
        <w:numPr>
          <w:ilvl w:val="0"/>
          <w:numId w:val="1382"/>
        </w:numPr>
      </w:pPr>
    </w:p>
    <w:p>
      <w:pPr>
        <w:pStyle w:val="Compact"/>
        <w:numPr>
          <w:ilvl w:val="1"/>
          <w:numId w:val="1383"/>
        </w:numPr>
      </w:pPr>
    </w:p>
    <w:p>
      <w:pPr>
        <w:numPr>
          <w:ilvl w:val="2"/>
          <w:numId w:val="1384"/>
        </w:numPr>
      </w:pPr>
      <w:r>
        <w:t xml:space="preserve">(a) Proposed name of shopping center;</w:t>
      </w:r>
    </w:p>
    <w:p>
      <w:pPr>
        <w:pStyle w:val="Compact"/>
        <w:numPr>
          <w:ilvl w:val="0"/>
          <w:numId w:val="1385"/>
        </w:numPr>
      </w:pPr>
    </w:p>
    <w:p>
      <w:pPr>
        <w:pStyle w:val="Compact"/>
        <w:numPr>
          <w:ilvl w:val="1"/>
          <w:numId w:val="1386"/>
        </w:numPr>
      </w:pPr>
    </w:p>
    <w:p>
      <w:pPr>
        <w:numPr>
          <w:ilvl w:val="2"/>
          <w:numId w:val="1387"/>
        </w:numPr>
      </w:pPr>
      <w:r>
        <w:t xml:space="preserve">(b) Names and addresses of applicants and designer who made the plan;</w:t>
      </w:r>
    </w:p>
    <w:p>
      <w:pPr>
        <w:pStyle w:val="Compact"/>
        <w:numPr>
          <w:ilvl w:val="0"/>
          <w:numId w:val="1388"/>
        </w:numPr>
      </w:pPr>
    </w:p>
    <w:p>
      <w:pPr>
        <w:pStyle w:val="Compact"/>
        <w:numPr>
          <w:ilvl w:val="1"/>
          <w:numId w:val="1389"/>
        </w:numPr>
      </w:pPr>
    </w:p>
    <w:p>
      <w:pPr>
        <w:numPr>
          <w:ilvl w:val="2"/>
          <w:numId w:val="1390"/>
        </w:numPr>
      </w:pPr>
      <w:r>
        <w:t xml:space="preserve">(c) Location of legal description;</w:t>
      </w:r>
    </w:p>
    <w:p>
      <w:pPr>
        <w:pStyle w:val="Compact"/>
        <w:numPr>
          <w:ilvl w:val="0"/>
          <w:numId w:val="1391"/>
        </w:numPr>
      </w:pPr>
    </w:p>
    <w:p>
      <w:pPr>
        <w:pStyle w:val="Compact"/>
        <w:numPr>
          <w:ilvl w:val="1"/>
          <w:numId w:val="1392"/>
        </w:numPr>
      </w:pPr>
    </w:p>
    <w:p>
      <w:pPr>
        <w:numPr>
          <w:ilvl w:val="2"/>
          <w:numId w:val="1393"/>
        </w:numPr>
      </w:pPr>
      <w:r>
        <w:t xml:space="preserve">(d) Boundary line of proposed shopping center indicated by solid line, and the total acreage encompassed thereby;</w:t>
      </w:r>
    </w:p>
    <w:p>
      <w:pPr>
        <w:pStyle w:val="Compact"/>
        <w:numPr>
          <w:ilvl w:val="0"/>
          <w:numId w:val="1394"/>
        </w:numPr>
      </w:pPr>
    </w:p>
    <w:p>
      <w:pPr>
        <w:pStyle w:val="Compact"/>
        <w:numPr>
          <w:ilvl w:val="1"/>
          <w:numId w:val="1395"/>
        </w:numPr>
      </w:pPr>
    </w:p>
    <w:p>
      <w:pPr>
        <w:numPr>
          <w:ilvl w:val="2"/>
          <w:numId w:val="1396"/>
        </w:numPr>
      </w:pPr>
      <w:r>
        <w:t xml:space="preserve">(e) Location, width, and names of all existing or prior platted streets, railroad and utility rights-of-way, parks, and other public open spaces, permanent buildings and structures, houses or permanent easements, and municipal boundary lines, within five hundred (500) feet of the tract;</w:t>
      </w:r>
    </w:p>
    <w:p>
      <w:pPr>
        <w:pStyle w:val="Compact"/>
        <w:numPr>
          <w:ilvl w:val="0"/>
          <w:numId w:val="1397"/>
        </w:numPr>
      </w:pPr>
    </w:p>
    <w:p>
      <w:pPr>
        <w:pStyle w:val="Compact"/>
        <w:numPr>
          <w:ilvl w:val="1"/>
          <w:numId w:val="1398"/>
        </w:numPr>
      </w:pPr>
    </w:p>
    <w:p>
      <w:pPr>
        <w:numPr>
          <w:ilvl w:val="2"/>
          <w:numId w:val="1399"/>
        </w:numPr>
      </w:pPr>
      <w:r>
        <w:t xml:space="preserve">(f) North arrow;</w:t>
      </w:r>
    </w:p>
    <w:p>
      <w:pPr>
        <w:pStyle w:val="Compact"/>
        <w:numPr>
          <w:ilvl w:val="0"/>
          <w:numId w:val="1400"/>
        </w:numPr>
      </w:pPr>
    </w:p>
    <w:p>
      <w:pPr>
        <w:pStyle w:val="Compact"/>
        <w:numPr>
          <w:ilvl w:val="1"/>
          <w:numId w:val="1401"/>
        </w:numPr>
      </w:pPr>
    </w:p>
    <w:p>
      <w:pPr>
        <w:numPr>
          <w:ilvl w:val="2"/>
          <w:numId w:val="1402"/>
        </w:numPr>
      </w:pPr>
      <w:r>
        <w:t xml:space="preserve">(g) Scale of plan, one inch to 50 feet;</w:t>
      </w:r>
    </w:p>
    <w:p>
      <w:pPr>
        <w:pStyle w:val="Compact"/>
        <w:numPr>
          <w:ilvl w:val="0"/>
          <w:numId w:val="1403"/>
        </w:numPr>
      </w:pPr>
    </w:p>
    <w:p>
      <w:pPr>
        <w:pStyle w:val="Compact"/>
        <w:numPr>
          <w:ilvl w:val="1"/>
          <w:numId w:val="1404"/>
        </w:numPr>
      </w:pPr>
    </w:p>
    <w:p>
      <w:pPr>
        <w:numPr>
          <w:ilvl w:val="2"/>
          <w:numId w:val="1405"/>
        </w:numPr>
      </w:pPr>
      <w:r>
        <w:t xml:space="preserve">(h) Plan completion date;</w:t>
      </w:r>
    </w:p>
    <w:p>
      <w:pPr>
        <w:pStyle w:val="Compact"/>
        <w:numPr>
          <w:ilvl w:val="0"/>
          <w:numId w:val="1406"/>
        </w:numPr>
      </w:pPr>
    </w:p>
    <w:p>
      <w:pPr>
        <w:pStyle w:val="Compact"/>
        <w:numPr>
          <w:ilvl w:val="1"/>
          <w:numId w:val="1407"/>
        </w:numPr>
      </w:pPr>
    </w:p>
    <w:p>
      <w:pPr>
        <w:numPr>
          <w:ilvl w:val="2"/>
          <w:numId w:val="1408"/>
        </w:numPr>
      </w:pPr>
      <w:r>
        <w:t xml:space="preserve">(i) Contours of two foot intervals;</w:t>
      </w:r>
    </w:p>
    <w:p>
      <w:pPr>
        <w:pStyle w:val="Compact"/>
        <w:numPr>
          <w:ilvl w:val="0"/>
          <w:numId w:val="1409"/>
        </w:numPr>
      </w:pPr>
    </w:p>
    <w:p>
      <w:pPr>
        <w:pStyle w:val="Compact"/>
        <w:numPr>
          <w:ilvl w:val="1"/>
          <w:numId w:val="1410"/>
        </w:numPr>
      </w:pPr>
    </w:p>
    <w:p>
      <w:pPr>
        <w:numPr>
          <w:ilvl w:val="2"/>
          <w:numId w:val="1411"/>
        </w:numPr>
      </w:pPr>
      <w:r>
        <w:t xml:space="preserve">(j) Existing and proposed sewers, water mains, culverts, and other underground facilities and utilities within the tract, indicating pipe sizes, grades, manholes, and location;</w:t>
      </w:r>
    </w:p>
    <w:p>
      <w:pPr>
        <w:pStyle w:val="Compact"/>
        <w:numPr>
          <w:ilvl w:val="0"/>
          <w:numId w:val="1412"/>
        </w:numPr>
      </w:pPr>
    </w:p>
    <w:p>
      <w:pPr>
        <w:pStyle w:val="Compact"/>
        <w:numPr>
          <w:ilvl w:val="1"/>
          <w:numId w:val="1413"/>
        </w:numPr>
      </w:pPr>
    </w:p>
    <w:p>
      <w:pPr>
        <w:numPr>
          <w:ilvl w:val="2"/>
          <w:numId w:val="1414"/>
        </w:numPr>
      </w:pPr>
      <w:r>
        <w:t xml:space="preserve">(k) The stages, if any, to be followed in the construction of the shopping center;</w:t>
      </w:r>
    </w:p>
    <w:p>
      <w:pPr>
        <w:pStyle w:val="Compact"/>
        <w:numPr>
          <w:ilvl w:val="0"/>
          <w:numId w:val="1415"/>
        </w:numPr>
      </w:pPr>
    </w:p>
    <w:p>
      <w:pPr>
        <w:pStyle w:val="Compact"/>
        <w:numPr>
          <w:ilvl w:val="1"/>
          <w:numId w:val="1416"/>
        </w:numPr>
      </w:pPr>
    </w:p>
    <w:p>
      <w:pPr>
        <w:numPr>
          <w:ilvl w:val="2"/>
          <w:numId w:val="1417"/>
        </w:numPr>
      </w:pPr>
      <w:r>
        <w:t xml:space="preserve">(l) Location and general exterior dimensions of principal and accessory buildings;</w:t>
      </w:r>
    </w:p>
    <w:p>
      <w:pPr>
        <w:pStyle w:val="Compact"/>
        <w:numPr>
          <w:ilvl w:val="0"/>
          <w:numId w:val="1418"/>
        </w:numPr>
      </w:pPr>
    </w:p>
    <w:p>
      <w:pPr>
        <w:pStyle w:val="Compact"/>
        <w:numPr>
          <w:ilvl w:val="1"/>
          <w:numId w:val="1419"/>
        </w:numPr>
      </w:pPr>
    </w:p>
    <w:p>
      <w:pPr>
        <w:numPr>
          <w:ilvl w:val="2"/>
          <w:numId w:val="1420"/>
        </w:numPr>
      </w:pPr>
      <w:r>
        <w:t xml:space="preserve">(m) Preliminary architectural drawings for all buildings;</w:t>
      </w:r>
    </w:p>
    <w:p>
      <w:pPr>
        <w:pStyle w:val="Compact"/>
        <w:numPr>
          <w:ilvl w:val="0"/>
          <w:numId w:val="1421"/>
        </w:numPr>
      </w:pPr>
    </w:p>
    <w:p>
      <w:pPr>
        <w:pStyle w:val="Compact"/>
        <w:numPr>
          <w:ilvl w:val="1"/>
          <w:numId w:val="1422"/>
        </w:numPr>
      </w:pPr>
    </w:p>
    <w:p>
      <w:pPr>
        <w:numPr>
          <w:ilvl w:val="2"/>
          <w:numId w:val="1423"/>
        </w:numPr>
      </w:pPr>
      <w:r>
        <w:t xml:space="preserve">(n) Location and dimensions of vehicular drives, entrances, exits, acceleration and deceleration lanes;</w:t>
      </w:r>
    </w:p>
    <w:p>
      <w:pPr>
        <w:pStyle w:val="Compact"/>
        <w:numPr>
          <w:ilvl w:val="0"/>
          <w:numId w:val="1424"/>
        </w:numPr>
      </w:pPr>
    </w:p>
    <w:p>
      <w:pPr>
        <w:pStyle w:val="Compact"/>
        <w:numPr>
          <w:ilvl w:val="1"/>
          <w:numId w:val="1425"/>
        </w:numPr>
      </w:pPr>
    </w:p>
    <w:p>
      <w:pPr>
        <w:numPr>
          <w:ilvl w:val="2"/>
          <w:numId w:val="1426"/>
        </w:numPr>
      </w:pPr>
      <w:r>
        <w:t xml:space="preserve">(o) A traffic flow map showing circulation patterns within the confines of the shopping center;</w:t>
      </w:r>
    </w:p>
    <w:p>
      <w:pPr>
        <w:pStyle w:val="Compact"/>
        <w:numPr>
          <w:ilvl w:val="0"/>
          <w:numId w:val="1427"/>
        </w:numPr>
      </w:pPr>
    </w:p>
    <w:p>
      <w:pPr>
        <w:pStyle w:val="Compact"/>
        <w:numPr>
          <w:ilvl w:val="1"/>
          <w:numId w:val="1428"/>
        </w:numPr>
      </w:pPr>
    </w:p>
    <w:p>
      <w:pPr>
        <w:numPr>
          <w:ilvl w:val="2"/>
          <w:numId w:val="1429"/>
        </w:numPr>
      </w:pPr>
      <w:r>
        <w:t xml:space="preserve">(p) Location, arrangement, and dimensions of automobile parking space, width of aisles, width of bays, angle of parking;</w:t>
      </w:r>
    </w:p>
    <w:p>
      <w:pPr>
        <w:pStyle w:val="Compact"/>
        <w:numPr>
          <w:ilvl w:val="0"/>
          <w:numId w:val="1430"/>
        </w:numPr>
      </w:pPr>
    </w:p>
    <w:p>
      <w:pPr>
        <w:pStyle w:val="Compact"/>
        <w:numPr>
          <w:ilvl w:val="1"/>
          <w:numId w:val="1431"/>
        </w:numPr>
      </w:pPr>
    </w:p>
    <w:p>
      <w:pPr>
        <w:numPr>
          <w:ilvl w:val="2"/>
          <w:numId w:val="1432"/>
        </w:numPr>
      </w:pPr>
      <w:r>
        <w:t xml:space="preserve">(q) Location, arrangement and dimensions of truck loading and unloading spaces and docks;</w:t>
      </w:r>
    </w:p>
    <w:p>
      <w:pPr>
        <w:pStyle w:val="Compact"/>
        <w:numPr>
          <w:ilvl w:val="0"/>
          <w:numId w:val="1433"/>
        </w:numPr>
      </w:pPr>
    </w:p>
    <w:p>
      <w:pPr>
        <w:pStyle w:val="Compact"/>
        <w:numPr>
          <w:ilvl w:val="1"/>
          <w:numId w:val="1434"/>
        </w:numPr>
      </w:pPr>
    </w:p>
    <w:p>
      <w:pPr>
        <w:numPr>
          <w:ilvl w:val="2"/>
          <w:numId w:val="1435"/>
        </w:numPr>
      </w:pPr>
      <w:r>
        <w:t xml:space="preserve">(r) Location, and dimensions of pedestrian entrances, exits, and walks;</w:t>
      </w:r>
    </w:p>
    <w:p>
      <w:pPr>
        <w:pStyle w:val="Compact"/>
        <w:numPr>
          <w:ilvl w:val="0"/>
          <w:numId w:val="1436"/>
        </w:numPr>
      </w:pPr>
    </w:p>
    <w:p>
      <w:pPr>
        <w:pStyle w:val="Compact"/>
        <w:numPr>
          <w:ilvl w:val="1"/>
          <w:numId w:val="1437"/>
        </w:numPr>
      </w:pPr>
    </w:p>
    <w:p>
      <w:pPr>
        <w:numPr>
          <w:ilvl w:val="2"/>
          <w:numId w:val="1438"/>
        </w:numPr>
      </w:pPr>
      <w:r>
        <w:t xml:space="preserve">(s) Drainage and sanitary system;</w:t>
      </w:r>
    </w:p>
    <w:p>
      <w:pPr>
        <w:pStyle w:val="Compact"/>
        <w:numPr>
          <w:ilvl w:val="0"/>
          <w:numId w:val="1439"/>
        </w:numPr>
      </w:pPr>
    </w:p>
    <w:p>
      <w:pPr>
        <w:pStyle w:val="Compact"/>
        <w:numPr>
          <w:ilvl w:val="1"/>
          <w:numId w:val="1440"/>
        </w:numPr>
      </w:pPr>
    </w:p>
    <w:p>
      <w:pPr>
        <w:numPr>
          <w:ilvl w:val="2"/>
          <w:numId w:val="1441"/>
        </w:numPr>
      </w:pPr>
      <w:r>
        <w:t xml:space="preserve">(t) Location, height and materials of walls, fences and screen paintings;</w:t>
      </w:r>
    </w:p>
    <w:p>
      <w:pPr>
        <w:pStyle w:val="Compact"/>
        <w:numPr>
          <w:ilvl w:val="0"/>
          <w:numId w:val="1442"/>
        </w:numPr>
      </w:pPr>
    </w:p>
    <w:p>
      <w:pPr>
        <w:pStyle w:val="Compact"/>
        <w:numPr>
          <w:ilvl w:val="1"/>
          <w:numId w:val="1443"/>
        </w:numPr>
      </w:pPr>
    </w:p>
    <w:p>
      <w:pPr>
        <w:numPr>
          <w:ilvl w:val="2"/>
          <w:numId w:val="1444"/>
        </w:numPr>
      </w:pPr>
      <w:r>
        <w:t xml:space="preserve">(u) Ground cover, finished grades, slopes, banks and ditches;</w:t>
      </w:r>
    </w:p>
    <w:p>
      <w:pPr>
        <w:pStyle w:val="Compact"/>
        <w:numPr>
          <w:ilvl w:val="0"/>
          <w:numId w:val="1445"/>
        </w:numPr>
      </w:pPr>
    </w:p>
    <w:p>
      <w:pPr>
        <w:pStyle w:val="Compact"/>
        <w:numPr>
          <w:ilvl w:val="1"/>
          <w:numId w:val="1446"/>
        </w:numPr>
      </w:pPr>
    </w:p>
    <w:p>
      <w:pPr>
        <w:numPr>
          <w:ilvl w:val="2"/>
          <w:numId w:val="1447"/>
        </w:numPr>
      </w:pPr>
      <w:r>
        <w:t xml:space="preserve">(v) Location, size, height and orientation of all signs other than flat signs on building facades;</w:t>
      </w:r>
    </w:p>
    <w:p>
      <w:pPr>
        <w:pStyle w:val="Compact"/>
        <w:numPr>
          <w:ilvl w:val="0"/>
          <w:numId w:val="1448"/>
        </w:numPr>
      </w:pPr>
    </w:p>
    <w:p>
      <w:pPr>
        <w:pStyle w:val="Compact"/>
        <w:numPr>
          <w:ilvl w:val="1"/>
          <w:numId w:val="1449"/>
        </w:numPr>
      </w:pPr>
    </w:p>
    <w:p>
      <w:pPr>
        <w:numPr>
          <w:ilvl w:val="2"/>
          <w:numId w:val="1450"/>
        </w:numPr>
      </w:pPr>
      <w:r>
        <w:t xml:space="preserve">(w) If it is proposed to restrict signs or to establish an association of merchants by means of lease provisions or covenants, the text of such provisions.</w:t>
      </w:r>
    </w:p>
    <w:p>
      <w:pPr>
        <w:pStyle w:val="Compact"/>
        <w:numPr>
          <w:ilvl w:val="0"/>
          <w:numId w:val="1451"/>
        </w:numPr>
      </w:pPr>
    </w:p>
    <w:p>
      <w:pPr>
        <w:pStyle w:val="Compact"/>
        <w:numPr>
          <w:ilvl w:val="1"/>
          <w:numId w:val="1452"/>
        </w:numPr>
      </w:pPr>
    </w:p>
    <w:p>
      <w:pPr>
        <w:pStyle w:val="Compact"/>
        <w:numPr>
          <w:ilvl w:val="2"/>
          <w:numId w:val="1453"/>
        </w:numPr>
      </w:pPr>
    </w:p>
    <w:p>
      <w:pPr>
        <w:numPr>
          <w:ilvl w:val="3"/>
          <w:numId w:val="1454"/>
        </w:numPr>
      </w:pPr>
      <w:r>
        <w:t xml:space="preserve">(6) Action on the preliminary site plan. Not more than 60 days after receipt of the preliminary site plan, the Planning Board shall determine whether the proposed shopping center would comply with all the requirements of this ordinance and if so, shall approve the preliminary plan and the final plan may be filed, or:</w:t>
      </w:r>
    </w:p>
    <w:p>
      <w:pPr>
        <w:pStyle w:val="Compact"/>
        <w:numPr>
          <w:ilvl w:val="0"/>
          <w:numId w:val="1455"/>
        </w:numPr>
      </w:pPr>
    </w:p>
    <w:p>
      <w:pPr>
        <w:pStyle w:val="Compact"/>
        <w:numPr>
          <w:ilvl w:val="1"/>
          <w:numId w:val="1456"/>
        </w:numPr>
      </w:pPr>
    </w:p>
    <w:p>
      <w:pPr>
        <w:numPr>
          <w:ilvl w:val="2"/>
          <w:numId w:val="1457"/>
        </w:numPr>
      </w:pPr>
      <w:r>
        <w:t xml:space="preserve">(a) Notify the applicant in writing how the plan must be amended to comply with the requirements of this ordinance. The applicant may, within thirty (30) days thereafter or within such further period as may be agreed to by the Planning Board, submit an amended preliminary plan containing the required changes. If an amended plan is not filed within the prescribed period, the original preliminary plan shall be considered disapproved. If an amended preliminary plan is filed within the prescribed period, the Planning Board shall approve or disapprove the plan with thirty (30) days after the date of the filing, or within such further period as may be agreed to by the applicant; or</w:t>
      </w:r>
    </w:p>
    <w:p>
      <w:pPr>
        <w:numPr>
          <w:ilvl w:val="2"/>
          <w:numId w:val="1000"/>
        </w:numPr>
      </w:pPr>
      <w:r>
        <w:t xml:space="preserve">(b) Notify the Zoning Board and the applicant in writing that the plan does not comply with the requirements of this ordinance, and is not susceptible to amendment. The applicant may then apply to the Board for a review of the Planning Board decision.</w:t>
      </w:r>
    </w:p>
    <w:p>
      <w:pPr>
        <w:pStyle w:val="Compact"/>
        <w:numPr>
          <w:ilvl w:val="0"/>
          <w:numId w:val="1458"/>
        </w:numPr>
      </w:pPr>
    </w:p>
    <w:p>
      <w:pPr>
        <w:pStyle w:val="Compact"/>
        <w:numPr>
          <w:ilvl w:val="1"/>
          <w:numId w:val="1459"/>
        </w:numPr>
      </w:pPr>
    </w:p>
    <w:p>
      <w:pPr>
        <w:pStyle w:val="Compact"/>
        <w:numPr>
          <w:ilvl w:val="2"/>
          <w:numId w:val="1460"/>
        </w:numPr>
      </w:pPr>
    </w:p>
    <w:p>
      <w:pPr>
        <w:numPr>
          <w:ilvl w:val="3"/>
          <w:numId w:val="1461"/>
        </w:numPr>
      </w:pPr>
      <w:r>
        <w:t xml:space="preserve">(7) Final site plan submission. Within one year after approval of the preliminary site plan, the applicant shall submit to the Planning Board a final site plan of either (1) the entire shopping center, or (2) the first stage of such center that is to be constructed. Such plan shall include appropriate dimensions, shall contain all information required by this ordinance for a preliminary plan, shall contain final architectural drawings for all buildings included in the final site plan, and shall contain any additional information required by the Planning Board.</w:t>
      </w:r>
    </w:p>
    <w:p>
      <w:pPr>
        <w:pStyle w:val="Compact"/>
        <w:numPr>
          <w:ilvl w:val="0"/>
          <w:numId w:val="1462"/>
        </w:numPr>
      </w:pPr>
    </w:p>
    <w:p>
      <w:pPr>
        <w:pStyle w:val="Compact"/>
        <w:numPr>
          <w:ilvl w:val="1"/>
          <w:numId w:val="1463"/>
        </w:numPr>
      </w:pPr>
    </w:p>
    <w:p>
      <w:pPr>
        <w:numPr>
          <w:ilvl w:val="2"/>
          <w:numId w:val="1464"/>
        </w:numPr>
      </w:pPr>
      <w:r>
        <w:t xml:space="preserve">(a) Stage construction. If the development of the shopping center is to be carried out in progressive stages, each stage shall be so planned that the requirements and intent of this ordinance shall be fully complied with at the completion of each stage. No final plan for the initial stage of development of any shopping center shall be approved unless such stage comprises of total ground floor area of at least 25,000 square feet and at least three of the designated principle uses.</w:t>
      </w:r>
    </w:p>
    <w:p>
      <w:pPr>
        <w:pStyle w:val="Compact"/>
        <w:numPr>
          <w:ilvl w:val="0"/>
          <w:numId w:val="1465"/>
        </w:numPr>
      </w:pPr>
    </w:p>
    <w:p>
      <w:pPr>
        <w:pStyle w:val="Compact"/>
        <w:numPr>
          <w:ilvl w:val="1"/>
          <w:numId w:val="1466"/>
        </w:numPr>
      </w:pPr>
    </w:p>
    <w:p>
      <w:pPr>
        <w:numPr>
          <w:ilvl w:val="2"/>
          <w:numId w:val="1467"/>
        </w:numPr>
      </w:pPr>
      <w:r>
        <w:t xml:space="preserve">(b) Action on the final site plan; compliance with preliminary site plan. No more than 30 days after receipt of a final site plan for a shopping center or for any stage thereof, the Planning Board shall determine whether such final plan is in compliance with the preliminary plan as approved. If the final plan is determined to be in compliance, and if all applicable requirements of this subsection are also complied with, the Planning Board shall recommend approval of the final plan to the Zoning Board. The Zoning Board may then direct the Inspector to issue the necessary permits. In all other instances the Planning Board shall recommend disapproval of the final plan and shall so notify the applicant in writing. The applicant may then apply to the Board for a review of the Planning Board decision. If the final plan is disapproved because of noncompliance with the preliminary plan, the final plan may thereafter be submitted to the Planning Board as an amended preliminary plan. The procedure for consideration of an amended preliminary plan shall be the same as that for an original preliminary plan.</w:t>
      </w:r>
    </w:p>
    <w:p>
      <w:pPr>
        <w:pStyle w:val="Compact"/>
        <w:numPr>
          <w:ilvl w:val="0"/>
          <w:numId w:val="1468"/>
        </w:numPr>
      </w:pPr>
    </w:p>
    <w:p>
      <w:pPr>
        <w:pStyle w:val="Compact"/>
        <w:numPr>
          <w:ilvl w:val="1"/>
          <w:numId w:val="1469"/>
        </w:numPr>
      </w:pPr>
    </w:p>
    <w:p>
      <w:pPr>
        <w:numPr>
          <w:ilvl w:val="2"/>
          <w:numId w:val="1470"/>
        </w:numPr>
      </w:pPr>
      <w:r>
        <w:t xml:space="preserve">(c) Change of final site plan. If the applicant wishes to make an amendment to an approved final plan, a written request shall be submitted to the Planning Board. If, in the opinion of the Planning Board, a requested change is sufficiently substantial, the Planning Board shall require the submission of an amended final plan. The procedure for the consideration of such written request or of such amended final preliminary plan shall be the same as that for the consideration of a final plan.</w:t>
      </w:r>
    </w:p>
    <w:p>
      <w:pPr>
        <w:pStyle w:val="Compact"/>
        <w:numPr>
          <w:ilvl w:val="0"/>
          <w:numId w:val="1471"/>
        </w:numPr>
      </w:pPr>
    </w:p>
    <w:p>
      <w:pPr>
        <w:numPr>
          <w:ilvl w:val="1"/>
          <w:numId w:val="1472"/>
        </w:numPr>
      </w:pPr>
      <w:r>
        <w:t xml:space="preserve">5.6.3.7. Multifamily dwellings, apartments. The purpose of these regulations is to allow, in residential areas, the development of multifamily dwellings and apartments which may utilize the natural amenities of the site to a greater extent; provide more varied housing types which are harmonious with neighboring residential uses; and will not overwhelm existing and planned community facilities and services. No multifamily structure(s) and apartment(s) shall be erected except in conformance with standards herein.</w:t>
      </w:r>
    </w:p>
    <w:p>
      <w:pPr>
        <w:pStyle w:val="Compact"/>
        <w:numPr>
          <w:ilvl w:val="0"/>
          <w:numId w:val="1473"/>
        </w:numPr>
      </w:pPr>
    </w:p>
    <w:p>
      <w:pPr>
        <w:pStyle w:val="Compact"/>
        <w:numPr>
          <w:ilvl w:val="1"/>
          <w:numId w:val="1474"/>
        </w:numPr>
      </w:pPr>
    </w:p>
    <w:p>
      <w:pPr>
        <w:numPr>
          <w:ilvl w:val="2"/>
          <w:numId w:val="1475"/>
        </w:numPr>
      </w:pPr>
      <w:r>
        <w:t xml:space="preserve">(a) Development standards.</w:t>
      </w:r>
    </w:p>
    <w:p>
      <w:pPr>
        <w:pStyle w:val="Compact"/>
        <w:numPr>
          <w:ilvl w:val="0"/>
          <w:numId w:val="1476"/>
        </w:numPr>
      </w:pPr>
    </w:p>
    <w:p>
      <w:pPr>
        <w:pStyle w:val="Compact"/>
        <w:numPr>
          <w:ilvl w:val="1"/>
          <w:numId w:val="1477"/>
        </w:numPr>
      </w:pPr>
    </w:p>
    <w:p>
      <w:pPr>
        <w:pStyle w:val="Compact"/>
        <w:numPr>
          <w:ilvl w:val="2"/>
          <w:numId w:val="1478"/>
        </w:numPr>
      </w:pPr>
    </w:p>
    <w:p>
      <w:pPr>
        <w:numPr>
          <w:ilvl w:val="3"/>
          <w:numId w:val="1479"/>
        </w:numPr>
      </w:pPr>
      <w:r>
        <w:t xml:space="preserve">(1) Building design and location. Where more than one principal structure is erected on a lot, it shall be set back a minimum of 25 feet from interior ways, 15 feet from parking areas; and 20 feet from other principal structures.</w:t>
      </w:r>
    </w:p>
    <w:p>
      <w:pPr>
        <w:pStyle w:val="Compact"/>
        <w:numPr>
          <w:ilvl w:val="0"/>
          <w:numId w:val="1480"/>
        </w:numPr>
      </w:pPr>
    </w:p>
    <w:p>
      <w:pPr>
        <w:pStyle w:val="Compact"/>
        <w:numPr>
          <w:ilvl w:val="1"/>
          <w:numId w:val="1481"/>
        </w:numPr>
      </w:pPr>
    </w:p>
    <w:p>
      <w:pPr>
        <w:numPr>
          <w:ilvl w:val="2"/>
          <w:numId w:val="1482"/>
        </w:numPr>
      </w:pPr>
      <w:r>
        <w:t xml:space="preserve">(a) Attached dwellings (row houses, town houses, etc.). No contiguous row of attached dwellings shall number less than three dwelling units, nor more than eight units, and minimum width of individual units shall not be less than 20 feet.</w:t>
      </w:r>
    </w:p>
    <w:p>
      <w:pPr>
        <w:pStyle w:val="Compact"/>
        <w:numPr>
          <w:ilvl w:val="0"/>
          <w:numId w:val="1483"/>
        </w:numPr>
      </w:pPr>
    </w:p>
    <w:p>
      <w:pPr>
        <w:pStyle w:val="Compact"/>
        <w:numPr>
          <w:ilvl w:val="1"/>
          <w:numId w:val="1484"/>
        </w:numPr>
      </w:pPr>
    </w:p>
    <w:p>
      <w:pPr>
        <w:numPr>
          <w:ilvl w:val="2"/>
          <w:numId w:val="1485"/>
        </w:numPr>
      </w:pPr>
      <w:r>
        <w:t xml:space="preserve">(b) Apartments. No portion of the upper half of the lowest habitable floor shall be set below ground level. No principal structure may be less than 60 feet in length; nor be of such a configuration that it would extend beyond a 150 foot square.</w:t>
      </w:r>
    </w:p>
    <w:p>
      <w:pPr>
        <w:pStyle w:val="Compact"/>
        <w:numPr>
          <w:ilvl w:val="0"/>
          <w:numId w:val="1486"/>
        </w:numPr>
      </w:pPr>
    </w:p>
    <w:p>
      <w:pPr>
        <w:pStyle w:val="Compact"/>
        <w:numPr>
          <w:ilvl w:val="1"/>
          <w:numId w:val="1487"/>
        </w:numPr>
      </w:pPr>
    </w:p>
    <w:p>
      <w:pPr>
        <w:pStyle w:val="Compact"/>
        <w:numPr>
          <w:ilvl w:val="2"/>
          <w:numId w:val="1488"/>
        </w:numPr>
      </w:pPr>
    </w:p>
    <w:p>
      <w:pPr>
        <w:numPr>
          <w:ilvl w:val="3"/>
          <w:numId w:val="1489"/>
        </w:numPr>
      </w:pPr>
      <w:r>
        <w:t xml:space="preserve">(2) Water. Municipal water shall be available at the site in sufficient quantity.</w:t>
      </w:r>
    </w:p>
    <w:p>
      <w:pPr>
        <w:pStyle w:val="Compact"/>
        <w:numPr>
          <w:ilvl w:val="0"/>
          <w:numId w:val="1490"/>
        </w:numPr>
      </w:pPr>
    </w:p>
    <w:p>
      <w:pPr>
        <w:pStyle w:val="Compact"/>
        <w:numPr>
          <w:ilvl w:val="1"/>
          <w:numId w:val="1491"/>
        </w:numPr>
      </w:pPr>
    </w:p>
    <w:p>
      <w:pPr>
        <w:pStyle w:val="Compact"/>
        <w:numPr>
          <w:ilvl w:val="2"/>
          <w:numId w:val="1492"/>
        </w:numPr>
      </w:pPr>
    </w:p>
    <w:p>
      <w:pPr>
        <w:numPr>
          <w:ilvl w:val="3"/>
          <w:numId w:val="1493"/>
        </w:numPr>
      </w:pPr>
      <w:r>
        <w:t xml:space="preserve">(3) Sewer. Municipal sewers shall be required. The Town shall reserve the option to require higher standards than those of the Rhode Island Department of Health and may exercise same in unsewered areas if competent engineering data indicates this to be advisable.</w:t>
      </w:r>
    </w:p>
    <w:p>
      <w:pPr>
        <w:pStyle w:val="Compact"/>
        <w:numPr>
          <w:ilvl w:val="0"/>
          <w:numId w:val="1494"/>
        </w:numPr>
      </w:pPr>
    </w:p>
    <w:p>
      <w:pPr>
        <w:pStyle w:val="Compact"/>
        <w:numPr>
          <w:ilvl w:val="1"/>
          <w:numId w:val="1495"/>
        </w:numPr>
      </w:pPr>
    </w:p>
    <w:p>
      <w:pPr>
        <w:pStyle w:val="Compact"/>
        <w:numPr>
          <w:ilvl w:val="2"/>
          <w:numId w:val="1496"/>
        </w:numPr>
      </w:pPr>
    </w:p>
    <w:p>
      <w:pPr>
        <w:numPr>
          <w:ilvl w:val="3"/>
          <w:numId w:val="1497"/>
        </w:numPr>
      </w:pPr>
      <w:r>
        <w:t xml:space="preserve">(4) Parking. All parking shall be at the side or rear of the structure for which it is intended and all parking spaces shall be paved. No parking shall be allowed within 25 feet of any lot line. No row of parking spaces shall exceed 100 feet without a landscape separation of at least ten feet in width. There shall be a separation of at least ten feet between rows.</w:t>
      </w:r>
    </w:p>
    <w:p>
      <w:pPr>
        <w:pStyle w:val="Compact"/>
        <w:numPr>
          <w:ilvl w:val="0"/>
          <w:numId w:val="1498"/>
        </w:numPr>
      </w:pPr>
    </w:p>
    <w:p>
      <w:pPr>
        <w:pStyle w:val="Compact"/>
        <w:numPr>
          <w:ilvl w:val="1"/>
          <w:numId w:val="1499"/>
        </w:numPr>
      </w:pPr>
    </w:p>
    <w:p>
      <w:pPr>
        <w:pStyle w:val="Compact"/>
        <w:numPr>
          <w:ilvl w:val="2"/>
          <w:numId w:val="1500"/>
        </w:numPr>
      </w:pPr>
    </w:p>
    <w:p>
      <w:pPr>
        <w:numPr>
          <w:ilvl w:val="3"/>
          <w:numId w:val="1501"/>
        </w:numPr>
      </w:pPr>
      <w:r>
        <w:t xml:space="preserve">(5) Interior streets. All interior streets shall be paved a minimum of 25 feet in width, and be free of obstructions and parking spaces. Right-of-way widths of collector streets shall have a minimum fifty-foot width; thirty-six-foot minimum for all others.</w:t>
      </w:r>
    </w:p>
    <w:p>
      <w:pPr>
        <w:pStyle w:val="Compact"/>
        <w:numPr>
          <w:ilvl w:val="0"/>
          <w:numId w:val="1502"/>
        </w:numPr>
      </w:pPr>
    </w:p>
    <w:p>
      <w:pPr>
        <w:pStyle w:val="Compact"/>
        <w:numPr>
          <w:ilvl w:val="1"/>
          <w:numId w:val="1503"/>
        </w:numPr>
      </w:pPr>
    </w:p>
    <w:p>
      <w:pPr>
        <w:pStyle w:val="Compact"/>
        <w:numPr>
          <w:ilvl w:val="2"/>
          <w:numId w:val="1504"/>
        </w:numPr>
      </w:pPr>
    </w:p>
    <w:p>
      <w:pPr>
        <w:numPr>
          <w:ilvl w:val="3"/>
          <w:numId w:val="1505"/>
        </w:numPr>
      </w:pPr>
      <w:r>
        <w:t xml:space="preserve">(6) Road and parking area construction. All areas, whether for public or private use which are paved for vehicular purposes, shall be constructed in accordance with Town subdivision regulations.</w:t>
      </w:r>
    </w:p>
    <w:p>
      <w:pPr>
        <w:pStyle w:val="Compact"/>
        <w:numPr>
          <w:ilvl w:val="0"/>
          <w:numId w:val="1506"/>
        </w:numPr>
      </w:pPr>
    </w:p>
    <w:p>
      <w:pPr>
        <w:pStyle w:val="Compact"/>
        <w:numPr>
          <w:ilvl w:val="1"/>
          <w:numId w:val="1507"/>
        </w:numPr>
      </w:pPr>
    </w:p>
    <w:p>
      <w:pPr>
        <w:pStyle w:val="Compact"/>
        <w:numPr>
          <w:ilvl w:val="2"/>
          <w:numId w:val="1508"/>
        </w:numPr>
      </w:pPr>
    </w:p>
    <w:p>
      <w:pPr>
        <w:numPr>
          <w:ilvl w:val="3"/>
          <w:numId w:val="1509"/>
        </w:numPr>
      </w:pPr>
      <w:r>
        <w:t xml:space="preserve">(7) Access and egress. On any one street there shall not be more than one opening for access or egress at 500 foot intervals.</w:t>
      </w:r>
    </w:p>
    <w:p>
      <w:pPr>
        <w:pStyle w:val="Compact"/>
        <w:numPr>
          <w:ilvl w:val="0"/>
          <w:numId w:val="1510"/>
        </w:numPr>
      </w:pPr>
    </w:p>
    <w:p>
      <w:pPr>
        <w:pStyle w:val="Compact"/>
        <w:numPr>
          <w:ilvl w:val="1"/>
          <w:numId w:val="1511"/>
        </w:numPr>
      </w:pPr>
    </w:p>
    <w:p>
      <w:pPr>
        <w:pStyle w:val="Compact"/>
        <w:numPr>
          <w:ilvl w:val="2"/>
          <w:numId w:val="1512"/>
        </w:numPr>
      </w:pPr>
    </w:p>
    <w:p>
      <w:pPr>
        <w:numPr>
          <w:ilvl w:val="3"/>
          <w:numId w:val="1513"/>
        </w:numPr>
      </w:pPr>
      <w:r>
        <w:t xml:space="preserve">(8) Open space dedication. Open space dedication to the public, if required, shall not exceed five percent of the site area.</w:t>
      </w:r>
    </w:p>
    <w:p>
      <w:pPr>
        <w:pStyle w:val="Compact"/>
        <w:numPr>
          <w:ilvl w:val="0"/>
          <w:numId w:val="1514"/>
        </w:numPr>
      </w:pPr>
    </w:p>
    <w:p>
      <w:pPr>
        <w:pStyle w:val="Compact"/>
        <w:numPr>
          <w:ilvl w:val="1"/>
          <w:numId w:val="1515"/>
        </w:numPr>
      </w:pPr>
    </w:p>
    <w:p>
      <w:pPr>
        <w:pStyle w:val="Compact"/>
        <w:numPr>
          <w:ilvl w:val="2"/>
          <w:numId w:val="1516"/>
        </w:numPr>
      </w:pPr>
    </w:p>
    <w:p>
      <w:pPr>
        <w:numPr>
          <w:ilvl w:val="3"/>
          <w:numId w:val="1517"/>
        </w:numPr>
      </w:pPr>
      <w:r>
        <w:t xml:space="preserve">(9) Natural site amenities. Developers shall preserve the maximum amount of natural site amenities required by the Town, such as wooded areas, streams, and overlooks. The Town may require as a precondition for building permits, restoration of natural areas indiscriminately cleared prior to submission of the preliminary plat.</w:t>
      </w:r>
    </w:p>
    <w:p>
      <w:pPr>
        <w:pStyle w:val="Compact"/>
        <w:numPr>
          <w:ilvl w:val="0"/>
          <w:numId w:val="1518"/>
        </w:numPr>
      </w:pPr>
    </w:p>
    <w:p>
      <w:pPr>
        <w:pStyle w:val="Compact"/>
        <w:numPr>
          <w:ilvl w:val="1"/>
          <w:numId w:val="1519"/>
        </w:numPr>
      </w:pPr>
    </w:p>
    <w:p>
      <w:pPr>
        <w:numPr>
          <w:ilvl w:val="2"/>
          <w:numId w:val="1520"/>
        </w:numPr>
      </w:pPr>
      <w:r>
        <w:t xml:space="preserve">(b) Application requirements. Application requirements shall be substantially as required for shopping centers in subsection 5.6.3.6(b).</w:t>
      </w:r>
    </w:p>
    <w:p>
      <w:pPr>
        <w:pStyle w:val="Compact"/>
        <w:numPr>
          <w:ilvl w:val="0"/>
          <w:numId w:val="1521"/>
        </w:numPr>
      </w:pPr>
    </w:p>
    <w:p>
      <w:pPr>
        <w:pStyle w:val="Compact"/>
        <w:numPr>
          <w:ilvl w:val="1"/>
          <w:numId w:val="1522"/>
        </w:numPr>
      </w:pPr>
    </w:p>
    <w:p>
      <w:pPr>
        <w:numPr>
          <w:ilvl w:val="2"/>
          <w:numId w:val="1523"/>
        </w:numPr>
      </w:pPr>
      <w:r>
        <w:t xml:space="preserve">(c) Procedure. Procedure for acquisition of building permits for multifamily dwellings and apartments shall be essentially those required for shopping centers in subsection 5.6.3.6(c).</w:t>
      </w:r>
    </w:p>
    <w:p>
      <w:pPr>
        <w:pStyle w:val="Compact"/>
        <w:numPr>
          <w:ilvl w:val="0"/>
          <w:numId w:val="1524"/>
        </w:numPr>
      </w:pPr>
    </w:p>
    <w:p>
      <w:pPr>
        <w:numPr>
          <w:ilvl w:val="1"/>
          <w:numId w:val="1525"/>
        </w:numPr>
      </w:pPr>
      <w:r>
        <w:t xml:space="preserve">5.6.3.8. Home occupation. Any activity customarily carried out for gain by a resident, conducted as an accessory use in the resident's dwelling unit, provided that:</w:t>
      </w:r>
    </w:p>
    <w:p>
      <w:pPr>
        <w:pStyle w:val="Compact"/>
        <w:numPr>
          <w:ilvl w:val="0"/>
          <w:numId w:val="1526"/>
        </w:numPr>
      </w:pPr>
    </w:p>
    <w:p>
      <w:pPr>
        <w:pStyle w:val="Compact"/>
        <w:numPr>
          <w:ilvl w:val="1"/>
          <w:numId w:val="1527"/>
        </w:numPr>
      </w:pPr>
    </w:p>
    <w:p>
      <w:pPr>
        <w:numPr>
          <w:ilvl w:val="2"/>
          <w:numId w:val="1528"/>
        </w:numPr>
      </w:pPr>
      <w:r>
        <w:t xml:space="preserve">(a) No person other than members of the family residing on the premises shall be engaged in such occupation;</w:t>
      </w:r>
    </w:p>
    <w:p>
      <w:pPr>
        <w:pStyle w:val="Compact"/>
        <w:numPr>
          <w:ilvl w:val="0"/>
          <w:numId w:val="1529"/>
        </w:numPr>
      </w:pPr>
    </w:p>
    <w:p>
      <w:pPr>
        <w:pStyle w:val="Compact"/>
        <w:numPr>
          <w:ilvl w:val="1"/>
          <w:numId w:val="1530"/>
        </w:numPr>
      </w:pPr>
    </w:p>
    <w:p>
      <w:pPr>
        <w:numPr>
          <w:ilvl w:val="2"/>
          <w:numId w:val="1531"/>
        </w:numPr>
      </w:pPr>
      <w:r>
        <w:t xml:space="preserve">(b) The use of the dwelling unit for the home occupation shall be clearly incidental and subordinate to its use for residential purposes by its occupants, and not more than 150 square feet of the dwelling unit shall be used in the conduct of the home occupation.</w:t>
      </w:r>
    </w:p>
    <w:p>
      <w:pPr>
        <w:pStyle w:val="Compact"/>
        <w:numPr>
          <w:ilvl w:val="0"/>
          <w:numId w:val="1532"/>
        </w:numPr>
      </w:pPr>
    </w:p>
    <w:p>
      <w:pPr>
        <w:pStyle w:val="Compact"/>
        <w:numPr>
          <w:ilvl w:val="1"/>
          <w:numId w:val="1533"/>
        </w:numPr>
      </w:pPr>
    </w:p>
    <w:p>
      <w:pPr>
        <w:numPr>
          <w:ilvl w:val="2"/>
          <w:numId w:val="1534"/>
        </w:numPr>
      </w:pPr>
      <w:r>
        <w:t xml:space="preserve">(c) There shall be no change in the outside appearance of the building or premises, or other visible evidence of the conduct of such home occupation other than one sign, not exceeding three square feet in area, nonilluminated, and mounted flat against the wall of the principal building;</w:t>
      </w:r>
    </w:p>
    <w:p>
      <w:pPr>
        <w:pStyle w:val="Compact"/>
        <w:numPr>
          <w:ilvl w:val="0"/>
          <w:numId w:val="1535"/>
        </w:numPr>
      </w:pPr>
    </w:p>
    <w:p>
      <w:pPr>
        <w:pStyle w:val="Compact"/>
        <w:numPr>
          <w:ilvl w:val="1"/>
          <w:numId w:val="1536"/>
        </w:numPr>
      </w:pPr>
    </w:p>
    <w:p>
      <w:pPr>
        <w:numPr>
          <w:ilvl w:val="2"/>
          <w:numId w:val="1537"/>
        </w:numPr>
      </w:pPr>
      <w:r>
        <w:t xml:space="preserve">(d) No home occupation shall be conducted in any accessory building except as a special-use permit;</w:t>
      </w:r>
    </w:p>
    <w:p>
      <w:pPr>
        <w:pStyle w:val="Compact"/>
        <w:numPr>
          <w:ilvl w:val="0"/>
          <w:numId w:val="1538"/>
        </w:numPr>
      </w:pPr>
    </w:p>
    <w:p>
      <w:pPr>
        <w:pStyle w:val="Compact"/>
        <w:numPr>
          <w:ilvl w:val="1"/>
          <w:numId w:val="1539"/>
        </w:numPr>
      </w:pPr>
    </w:p>
    <w:p>
      <w:pPr>
        <w:numPr>
          <w:ilvl w:val="2"/>
          <w:numId w:val="1540"/>
        </w:numPr>
      </w:pPr>
      <w:r>
        <w:t xml:space="preserve">(e) There shall be no sales in connection with such home occupation;</w:t>
      </w:r>
    </w:p>
    <w:p>
      <w:pPr>
        <w:pStyle w:val="Compact"/>
        <w:numPr>
          <w:ilvl w:val="0"/>
          <w:numId w:val="1541"/>
        </w:numPr>
      </w:pPr>
    </w:p>
    <w:p>
      <w:pPr>
        <w:pStyle w:val="Compact"/>
        <w:numPr>
          <w:ilvl w:val="1"/>
          <w:numId w:val="1542"/>
        </w:numPr>
      </w:pPr>
    </w:p>
    <w:p>
      <w:pPr>
        <w:numPr>
          <w:ilvl w:val="2"/>
          <w:numId w:val="1543"/>
        </w:numPr>
      </w:pPr>
      <w:r>
        <w:t xml:space="preserve">(f) No traffic shall be generated by such home occupation in greater volumes than would normally be expected in a residential neighborhood, and any need for parking generated by the conduct of such home occupation shall be met off the street and other than in a required front yard;</w:t>
      </w:r>
    </w:p>
    <w:p>
      <w:pPr>
        <w:pStyle w:val="Compact"/>
        <w:numPr>
          <w:ilvl w:val="0"/>
          <w:numId w:val="1544"/>
        </w:numPr>
      </w:pPr>
    </w:p>
    <w:p>
      <w:pPr>
        <w:pStyle w:val="Compact"/>
        <w:numPr>
          <w:ilvl w:val="1"/>
          <w:numId w:val="1545"/>
        </w:numPr>
      </w:pPr>
    </w:p>
    <w:p>
      <w:pPr>
        <w:numPr>
          <w:ilvl w:val="2"/>
          <w:numId w:val="1546"/>
        </w:numPr>
      </w:pPr>
      <w:r>
        <w:t xml:space="preserve">(g) No equipment or process shall be used in such home occupation which creates noise, vibration, glare, fumes, odors, or electrical interference detectable to the senses off the lot if the occupation is conducted in a single-family residence, or outside the dwelling unit if conducted in other than a single-family residence. In the case of electrical interference, no equipment or process shall be used which creates visual or audible interference in any radio or television receivers off the premises, or causes fluctuations in line voltage off the premises.</w:t>
      </w:r>
    </w:p>
    <w:p>
      <w:pPr>
        <w:pStyle w:val="Compact"/>
        <w:numPr>
          <w:ilvl w:val="0"/>
          <w:numId w:val="1547"/>
        </w:numPr>
      </w:pPr>
    </w:p>
    <w:p>
      <w:pPr>
        <w:pStyle w:val="Compact"/>
        <w:numPr>
          <w:ilvl w:val="1"/>
          <w:numId w:val="1548"/>
        </w:numPr>
      </w:pPr>
    </w:p>
    <w:p>
      <w:pPr>
        <w:numPr>
          <w:ilvl w:val="2"/>
          <w:numId w:val="1549"/>
        </w:numPr>
      </w:pPr>
      <w:r>
        <w:t xml:space="preserve">(h) Does not include barber, beautician or hairdresser.</w:t>
      </w:r>
    </w:p>
    <w:p>
      <w:pPr>
        <w:pStyle w:val="Compact"/>
        <w:numPr>
          <w:ilvl w:val="0"/>
          <w:numId w:val="1550"/>
        </w:numPr>
      </w:pPr>
    </w:p>
    <w:p>
      <w:pPr>
        <w:numPr>
          <w:ilvl w:val="1"/>
          <w:numId w:val="1551"/>
        </w:numPr>
      </w:pPr>
      <w:r>
        <w:t xml:space="preserve">5.6.3.9. Accessory family dwelling unit. An accessory family dwelling unit providing independent living facilities for the sole use of one or more members of the family of the owner occupant of the principal residence. Provided further, however, that the applicant for a permit to construct an accessory family dwelling must sign an agreement restricting occupancy of such dwelling unit to family members and indemnifying the Town of North Smithfield from any cost to said town incurred in enforcing the terms of said agreement. An affidavit shall be filed with the building inspector's office and shall be updated yearly by January 31. The signed agreement shall be recorded in the land evidence records of the town at the expense of the applicant. The agreement shall run with the land so as to be applicable to and binding upon subsequent owners and shall be enforceable against the applicant, his heirs, devises, successors and assigns.</w:t>
      </w:r>
    </w:p>
    <w:p>
      <w:pPr>
        <w:pStyle w:val="Compact"/>
        <w:numPr>
          <w:ilvl w:val="0"/>
          <w:numId w:val="1552"/>
        </w:numPr>
      </w:pPr>
    </w:p>
    <w:p>
      <w:pPr>
        <w:pStyle w:val="Compact"/>
        <w:numPr>
          <w:ilvl w:val="1"/>
          <w:numId w:val="1553"/>
        </w:numPr>
      </w:pPr>
    </w:p>
    <w:p>
      <w:pPr>
        <w:numPr>
          <w:ilvl w:val="2"/>
          <w:numId w:val="1554"/>
        </w:numPr>
      </w:pPr>
      <w:r>
        <w:t xml:space="preserve">(a) Development standards:</w:t>
      </w:r>
    </w:p>
    <w:p>
      <w:pPr>
        <w:numPr>
          <w:ilvl w:val="0"/>
          <w:numId w:val="1555"/>
        </w:numPr>
      </w:pPr>
      <w:r>
        <w:t xml:space="preserve">1. Dwelling must be attached to the principal residence, and must be accessible through the same means of ingress and egress as the principal residence but, need not have a separate means of ingress and egress.</w:t>
      </w:r>
    </w:p>
    <w:p>
      <w:pPr>
        <w:numPr>
          <w:ilvl w:val="0"/>
          <w:numId w:val="1556"/>
        </w:numPr>
      </w:pPr>
      <w:r>
        <w:t xml:space="preserve">2. Dwelling unit shall not exceed 700 square feet.</w:t>
      </w:r>
    </w:p>
    <w:p>
      <w:pPr>
        <w:numPr>
          <w:ilvl w:val="0"/>
          <w:numId w:val="1557"/>
        </w:numPr>
      </w:pPr>
      <w:r>
        <w:t xml:space="preserve">3. Dwelling unit shall not have more than one bedroom.</w:t>
      </w:r>
    </w:p>
    <w:p>
      <w:pPr>
        <w:numPr>
          <w:ilvl w:val="0"/>
          <w:numId w:val="1558"/>
        </w:numPr>
      </w:pPr>
      <w:r>
        <w:t xml:space="preserve">4. Only one accessory family dwelling unit may be allowed in any singlefamily detached dwelling. No accessory family dwelling unit may be allowed in a two-family or multi-family dwelling.</w:t>
      </w:r>
    </w:p>
    <w:p>
      <w:pPr>
        <w:numPr>
          <w:ilvl w:val="0"/>
          <w:numId w:val="1559"/>
        </w:numPr>
      </w:pPr>
      <w:r>
        <w:t xml:space="preserve">5. Any utilities for the principal residence and the accessory unit will be common to both (i.e. electrical, sewerage, heating etc.).</w:t>
      </w:r>
    </w:p>
    <w:p>
      <w:pPr>
        <w:numPr>
          <w:ilvl w:val="0"/>
          <w:numId w:val="1560"/>
        </w:numPr>
      </w:pPr>
      <w:r>
        <w:t xml:space="preserve">6. The owner shall provide proof that the individual sewerage disposal system is adequate to support an additional bedroom.</w:t>
      </w:r>
    </w:p>
    <w:p>
      <w:pPr>
        <w:pStyle w:val="Compact"/>
        <w:numPr>
          <w:ilvl w:val="0"/>
          <w:numId w:val="1561"/>
        </w:numPr>
      </w:pPr>
    </w:p>
    <w:p>
      <w:pPr>
        <w:numPr>
          <w:ilvl w:val="1"/>
          <w:numId w:val="1562"/>
        </w:numPr>
      </w:pPr>
      <w:r>
        <w:t xml:space="preserve">(b) Sale. Upon the transfer of the property the new owner (s) shall have 60 days to sign an affidavit with the building inspector's office and then comply annually as aforementioned.</w:t>
      </w:r>
    </w:p>
    <w:p>
      <w:pPr>
        <w:pStyle w:val="Compact"/>
        <w:numPr>
          <w:ilvl w:val="0"/>
          <w:numId w:val="1563"/>
        </w:numPr>
      </w:pPr>
    </w:p>
    <w:p>
      <w:pPr>
        <w:numPr>
          <w:ilvl w:val="1"/>
          <w:numId w:val="1564"/>
        </w:numPr>
      </w:pPr>
      <w:r>
        <w:t xml:space="preserve">(c) Amnesty period. Owners of existing non-conforming accessory family dwelling units are not subject to the conditions of section 5.6.3.9, provided that all the appropriate inspections of the unit have been made by the building inspector by March 1, 1998, and provided that the owner can provide proof that the individual sewerage disposal system is adequate to support an additional bedroom. Owners of non-conforming units discovered after March 1, 1998, will be in violation of the ordinance and subject to penalties as set forth in section 16, "Penalties for Violations."</w:t>
      </w:r>
    </w:p>
    <w:p>
      <w:pPr>
        <w:pStyle w:val="Compact"/>
        <w:numPr>
          <w:ilvl w:val="0"/>
          <w:numId w:val="1565"/>
        </w:numPr>
      </w:pPr>
    </w:p>
    <w:p>
      <w:pPr>
        <w:numPr>
          <w:ilvl w:val="1"/>
          <w:numId w:val="1566"/>
        </w:numPr>
      </w:pPr>
      <w:r>
        <w:t xml:space="preserve">5.6.3.10. Wireless communications facilities (WCF).</w:t>
      </w:r>
    </w:p>
    <w:p>
      <w:pPr>
        <w:pStyle w:val="Compact"/>
        <w:numPr>
          <w:ilvl w:val="0"/>
          <w:numId w:val="1567"/>
        </w:numPr>
      </w:pPr>
    </w:p>
    <w:p>
      <w:pPr>
        <w:pStyle w:val="Compact"/>
        <w:numPr>
          <w:ilvl w:val="1"/>
          <w:numId w:val="1568"/>
        </w:numPr>
      </w:pPr>
    </w:p>
    <w:p>
      <w:pPr>
        <w:numPr>
          <w:ilvl w:val="2"/>
          <w:numId w:val="1569"/>
        </w:numPr>
      </w:pPr>
      <w:r>
        <w:t xml:space="preserve">(1) Purpose. The purpose of this section is to regulate the placement of wireless communications facilities, limited to monopoles (towers), and related equipment and structures, telephone and cable television equipment and related equipment and the addition of communication equipment to existing structures. For the purpose of this section lattice towers and guyed towers are not permitted. The regulations serve to establish a procedure for application of Special Use Permits, establish development standards and location requirements and to encourage the co-location of equipment onto existing structures. The goals of this section are to:</w:t>
      </w:r>
    </w:p>
    <w:p>
      <w:pPr>
        <w:pStyle w:val="Compact"/>
        <w:numPr>
          <w:ilvl w:val="0"/>
          <w:numId w:val="1570"/>
        </w:numPr>
      </w:pPr>
    </w:p>
    <w:p>
      <w:pPr>
        <w:numPr>
          <w:ilvl w:val="1"/>
          <w:numId w:val="1571"/>
        </w:numPr>
      </w:pPr>
      <w:r>
        <w:t xml:space="preserve">a. Address the public safety concerns associated with the siting of wireless communications facilities;</w:t>
      </w:r>
    </w:p>
    <w:p>
      <w:pPr>
        <w:pStyle w:val="Compact"/>
        <w:numPr>
          <w:ilvl w:val="0"/>
          <w:numId w:val="1572"/>
        </w:numPr>
      </w:pPr>
    </w:p>
    <w:p>
      <w:pPr>
        <w:numPr>
          <w:ilvl w:val="1"/>
          <w:numId w:val="1573"/>
        </w:numPr>
      </w:pPr>
      <w:r>
        <w:t xml:space="preserve">b. To preserve the character, appearance, property values, natural resources and historic sites of the town.</w:t>
      </w:r>
    </w:p>
    <w:p>
      <w:pPr>
        <w:pStyle w:val="Compact"/>
        <w:numPr>
          <w:ilvl w:val="0"/>
          <w:numId w:val="1574"/>
        </w:numPr>
      </w:pPr>
    </w:p>
    <w:p>
      <w:pPr>
        <w:numPr>
          <w:ilvl w:val="1"/>
          <w:numId w:val="1575"/>
        </w:numPr>
      </w:pPr>
      <w:r>
        <w:t xml:space="preserve">c. Minimize the number of new facilities by encouraging co-location and use of "friendly" sites;</w:t>
      </w:r>
    </w:p>
    <w:p>
      <w:pPr>
        <w:pStyle w:val="Compact"/>
        <w:numPr>
          <w:ilvl w:val="0"/>
          <w:numId w:val="1576"/>
        </w:numPr>
      </w:pPr>
    </w:p>
    <w:p>
      <w:pPr>
        <w:numPr>
          <w:ilvl w:val="1"/>
          <w:numId w:val="1577"/>
        </w:numPr>
      </w:pPr>
      <w:r>
        <w:t xml:space="preserve">d. Limit the height of telecommunication facilities;</w:t>
      </w:r>
    </w:p>
    <w:p>
      <w:pPr>
        <w:pStyle w:val="Compact"/>
        <w:numPr>
          <w:ilvl w:val="0"/>
          <w:numId w:val="1578"/>
        </w:numPr>
      </w:pPr>
    </w:p>
    <w:p>
      <w:pPr>
        <w:numPr>
          <w:ilvl w:val="1"/>
          <w:numId w:val="1579"/>
        </w:numPr>
      </w:pPr>
      <w:r>
        <w:t xml:space="preserve">e. Encourage the siting of new facilities on town-owned properties which meet the criteria listed in subsection (5)(B)1.,"Permitted Uses," when co-location is not possible and in areas where "friendly" sites are not suitable; and,</w:t>
      </w:r>
    </w:p>
    <w:p>
      <w:pPr>
        <w:pStyle w:val="Compact"/>
        <w:numPr>
          <w:ilvl w:val="0"/>
          <w:numId w:val="1580"/>
        </w:numPr>
      </w:pPr>
    </w:p>
    <w:p>
      <w:pPr>
        <w:numPr>
          <w:ilvl w:val="1"/>
          <w:numId w:val="1581"/>
        </w:numPr>
      </w:pPr>
      <w:r>
        <w:t xml:space="preserve">f. Enhance the ability of carriers of telecommunication services to provide such services to the community quickly, effectively, and efficiently.</w:t>
      </w:r>
    </w:p>
    <w:p>
      <w:pPr>
        <w:pStyle w:val="Compact"/>
        <w:numPr>
          <w:ilvl w:val="0"/>
          <w:numId w:val="1582"/>
        </w:numPr>
      </w:pPr>
    </w:p>
    <w:p>
      <w:pPr>
        <w:pStyle w:val="Compact"/>
        <w:numPr>
          <w:ilvl w:val="1"/>
          <w:numId w:val="1583"/>
        </w:numPr>
      </w:pPr>
    </w:p>
    <w:p>
      <w:pPr>
        <w:numPr>
          <w:ilvl w:val="2"/>
          <w:numId w:val="1584"/>
        </w:numPr>
      </w:pPr>
      <w:r>
        <w:t xml:space="preserve">(2) Applicability:</w:t>
      </w:r>
    </w:p>
    <w:p>
      <w:pPr>
        <w:pStyle w:val="Compact"/>
        <w:numPr>
          <w:ilvl w:val="0"/>
          <w:numId w:val="1585"/>
        </w:numPr>
      </w:pPr>
    </w:p>
    <w:p>
      <w:pPr>
        <w:pStyle w:val="Compact"/>
        <w:numPr>
          <w:ilvl w:val="1"/>
          <w:numId w:val="1586"/>
        </w:numPr>
      </w:pPr>
    </w:p>
    <w:p>
      <w:pPr>
        <w:pStyle w:val="Compact"/>
        <w:numPr>
          <w:ilvl w:val="2"/>
          <w:numId w:val="1587"/>
        </w:numPr>
      </w:pPr>
    </w:p>
    <w:p>
      <w:pPr>
        <w:numPr>
          <w:ilvl w:val="3"/>
          <w:numId w:val="1588"/>
        </w:numPr>
      </w:pPr>
      <w:r>
        <w:t xml:space="preserve">(A) New towers and facilities. The requirements set forth in this section shall govern the location of all new telecommunication facilities and related equipment that exceed, and antennas that are installed at a height in excess of, the height limitations specified for each zoning district. The height limitations applicable to buildings and structures shall not apply to towers and antennas.</w:t>
      </w:r>
    </w:p>
    <w:p>
      <w:pPr>
        <w:pStyle w:val="Compact"/>
        <w:numPr>
          <w:ilvl w:val="0"/>
          <w:numId w:val="1589"/>
        </w:numPr>
      </w:pPr>
    </w:p>
    <w:p>
      <w:pPr>
        <w:pStyle w:val="Compact"/>
        <w:numPr>
          <w:ilvl w:val="1"/>
          <w:numId w:val="1590"/>
        </w:numPr>
      </w:pPr>
    </w:p>
    <w:p>
      <w:pPr>
        <w:pStyle w:val="Compact"/>
        <w:numPr>
          <w:ilvl w:val="2"/>
          <w:numId w:val="1591"/>
        </w:numPr>
      </w:pPr>
    </w:p>
    <w:p>
      <w:pPr>
        <w:numPr>
          <w:ilvl w:val="3"/>
          <w:numId w:val="1592"/>
        </w:numPr>
      </w:pPr>
      <w:r>
        <w:t xml:space="preserve">(B) Amateur radio antennas. This section shall not govern any tower, or the installation of any antenna, that is under 70 feet in height and is owned and operated by a federally licensed amateur radio station operator or is used exclusively for antennas.</w:t>
      </w:r>
    </w:p>
    <w:p>
      <w:pPr>
        <w:pStyle w:val="Compact"/>
        <w:numPr>
          <w:ilvl w:val="0"/>
          <w:numId w:val="1593"/>
        </w:numPr>
      </w:pPr>
    </w:p>
    <w:p>
      <w:pPr>
        <w:pStyle w:val="Compact"/>
        <w:numPr>
          <w:ilvl w:val="1"/>
          <w:numId w:val="1594"/>
        </w:numPr>
      </w:pPr>
    </w:p>
    <w:p>
      <w:pPr>
        <w:numPr>
          <w:ilvl w:val="2"/>
          <w:numId w:val="1595"/>
        </w:numPr>
      </w:pPr>
      <w:r>
        <w:t xml:space="preserve">(3) General guidelines and requirements:</w:t>
      </w:r>
    </w:p>
    <w:p>
      <w:pPr>
        <w:pStyle w:val="Compact"/>
        <w:numPr>
          <w:ilvl w:val="0"/>
          <w:numId w:val="1596"/>
        </w:numPr>
      </w:pPr>
    </w:p>
    <w:p>
      <w:pPr>
        <w:pStyle w:val="Compact"/>
        <w:numPr>
          <w:ilvl w:val="1"/>
          <w:numId w:val="1597"/>
        </w:numPr>
      </w:pPr>
    </w:p>
    <w:p>
      <w:pPr>
        <w:pStyle w:val="Compact"/>
        <w:numPr>
          <w:ilvl w:val="2"/>
          <w:numId w:val="1598"/>
        </w:numPr>
      </w:pPr>
    </w:p>
    <w:p>
      <w:pPr>
        <w:numPr>
          <w:ilvl w:val="3"/>
          <w:numId w:val="1599"/>
        </w:numPr>
      </w:pPr>
      <w:r>
        <w:t xml:space="preserve">(A) Submittals. The following submittals shall be provided as part of the application for site plan review and special use permit:</w:t>
      </w:r>
    </w:p>
    <w:p>
      <w:pPr>
        <w:numPr>
          <w:ilvl w:val="0"/>
          <w:numId w:val="1600"/>
        </w:numPr>
      </w:pPr>
      <w:r>
        <w:t xml:space="preserve">1. A report provided by a professional radio frequency engineer describing the general design and capacity of the proposed installation, including:</w:t>
      </w:r>
    </w:p>
    <w:p>
      <w:pPr>
        <w:pStyle w:val="Compact"/>
        <w:numPr>
          <w:ilvl w:val="0"/>
          <w:numId w:val="1601"/>
        </w:numPr>
      </w:pPr>
    </w:p>
    <w:p>
      <w:pPr>
        <w:numPr>
          <w:ilvl w:val="1"/>
          <w:numId w:val="1602"/>
        </w:numPr>
      </w:pPr>
      <w:r>
        <w:t xml:space="preserve">a. A description of the tower and the technical, economic and other reasons for the tower design.</w:t>
      </w:r>
    </w:p>
    <w:p>
      <w:pPr>
        <w:pStyle w:val="Compact"/>
        <w:numPr>
          <w:ilvl w:val="0"/>
          <w:numId w:val="1603"/>
        </w:numPr>
      </w:pPr>
    </w:p>
    <w:p>
      <w:pPr>
        <w:numPr>
          <w:ilvl w:val="1"/>
          <w:numId w:val="1604"/>
        </w:numPr>
      </w:pPr>
      <w:r>
        <w:t xml:space="preserve">b. Describe the capacity of the tower including the number and type of transmitters and receivers that it can accommodate and the basis for the calculation of capacity.</w:t>
      </w:r>
    </w:p>
    <w:p>
      <w:pPr>
        <w:pStyle w:val="Compact"/>
        <w:numPr>
          <w:ilvl w:val="0"/>
          <w:numId w:val="1605"/>
        </w:numPr>
      </w:pPr>
    </w:p>
    <w:p>
      <w:pPr>
        <w:numPr>
          <w:ilvl w:val="1"/>
          <w:numId w:val="1606"/>
        </w:numPr>
      </w:pPr>
      <w:r>
        <w:t xml:space="preserve">c. Demonstrate that the tower and site comply with this regulation.</w:t>
      </w:r>
    </w:p>
    <w:p>
      <w:pPr>
        <w:numPr>
          <w:ilvl w:val="0"/>
          <w:numId w:val="1607"/>
        </w:numPr>
      </w:pPr>
      <w:r>
        <w:t xml:space="preserve">2. A site plan prepared by a Rhode Island licensed professional engineer at a scale of 1:40 which will show the following:</w:t>
      </w:r>
    </w:p>
    <w:p>
      <w:pPr>
        <w:pStyle w:val="Compact"/>
        <w:numPr>
          <w:ilvl w:val="0"/>
          <w:numId w:val="1608"/>
        </w:numPr>
      </w:pPr>
    </w:p>
    <w:p>
      <w:pPr>
        <w:numPr>
          <w:ilvl w:val="1"/>
          <w:numId w:val="1609"/>
        </w:numPr>
      </w:pPr>
      <w:r>
        <w:t xml:space="preserve">a. Facility location, dimensions and tower height.</w:t>
      </w:r>
    </w:p>
    <w:p>
      <w:pPr>
        <w:pStyle w:val="Compact"/>
        <w:numPr>
          <w:ilvl w:val="0"/>
          <w:numId w:val="1610"/>
        </w:numPr>
      </w:pPr>
    </w:p>
    <w:p>
      <w:pPr>
        <w:numPr>
          <w:ilvl w:val="1"/>
          <w:numId w:val="1611"/>
        </w:numPr>
      </w:pPr>
      <w:r>
        <w:t xml:space="preserve">b. Accessory building(s) for switching equipment.</w:t>
      </w:r>
    </w:p>
    <w:p>
      <w:pPr>
        <w:pStyle w:val="Compact"/>
        <w:numPr>
          <w:ilvl w:val="0"/>
          <w:numId w:val="1612"/>
        </w:numPr>
      </w:pPr>
    </w:p>
    <w:p>
      <w:pPr>
        <w:numPr>
          <w:ilvl w:val="1"/>
          <w:numId w:val="1613"/>
        </w:numPr>
      </w:pPr>
      <w:r>
        <w:t xml:space="preserve">c. Topography (two-foot-contour interval).</w:t>
      </w:r>
    </w:p>
    <w:p>
      <w:pPr>
        <w:pStyle w:val="Compact"/>
        <w:numPr>
          <w:ilvl w:val="0"/>
          <w:numId w:val="1614"/>
        </w:numPr>
      </w:pPr>
    </w:p>
    <w:p>
      <w:pPr>
        <w:numPr>
          <w:ilvl w:val="1"/>
          <w:numId w:val="1615"/>
        </w:numPr>
      </w:pPr>
      <w:r>
        <w:t xml:space="preserve">d. Fencing, landscaping and screening.</w:t>
      </w:r>
    </w:p>
    <w:p>
      <w:pPr>
        <w:pStyle w:val="Compact"/>
        <w:numPr>
          <w:ilvl w:val="0"/>
          <w:numId w:val="1616"/>
        </w:numPr>
      </w:pPr>
    </w:p>
    <w:p>
      <w:pPr>
        <w:numPr>
          <w:ilvl w:val="1"/>
          <w:numId w:val="1617"/>
        </w:numPr>
      </w:pPr>
      <w:r>
        <w:t xml:space="preserve">e. Access and parking.</w:t>
      </w:r>
    </w:p>
    <w:p>
      <w:pPr>
        <w:pStyle w:val="Compact"/>
        <w:numPr>
          <w:ilvl w:val="0"/>
          <w:numId w:val="1618"/>
        </w:numPr>
      </w:pPr>
    </w:p>
    <w:p>
      <w:pPr>
        <w:numPr>
          <w:ilvl w:val="1"/>
          <w:numId w:val="1619"/>
        </w:numPr>
      </w:pPr>
      <w:r>
        <w:t xml:space="preserve">f. Lighting.</w:t>
      </w:r>
    </w:p>
    <w:p>
      <w:pPr>
        <w:pStyle w:val="Compact"/>
        <w:numPr>
          <w:ilvl w:val="0"/>
          <w:numId w:val="1620"/>
        </w:numPr>
      </w:pPr>
    </w:p>
    <w:p>
      <w:pPr>
        <w:numPr>
          <w:ilvl w:val="1"/>
          <w:numId w:val="1621"/>
        </w:numPr>
      </w:pPr>
      <w:r>
        <w:t xml:space="preserve">g. Areas to be cleared of vegetation and trees.</w:t>
      </w:r>
    </w:p>
    <w:p>
      <w:pPr>
        <w:pStyle w:val="Compact"/>
        <w:numPr>
          <w:ilvl w:val="0"/>
          <w:numId w:val="1622"/>
        </w:numPr>
      </w:pPr>
    </w:p>
    <w:p>
      <w:pPr>
        <w:numPr>
          <w:ilvl w:val="1"/>
          <w:numId w:val="1623"/>
        </w:numPr>
      </w:pPr>
      <w:r>
        <w:t xml:space="preserve">h. Site boundaries.</w:t>
      </w:r>
    </w:p>
    <w:p>
      <w:pPr>
        <w:pStyle w:val="Compact"/>
        <w:numPr>
          <w:ilvl w:val="0"/>
          <w:numId w:val="1624"/>
        </w:numPr>
      </w:pPr>
    </w:p>
    <w:p>
      <w:pPr>
        <w:numPr>
          <w:ilvl w:val="1"/>
          <w:numId w:val="1625"/>
        </w:numPr>
      </w:pPr>
      <w:r>
        <w:t xml:space="preserve">i. Description of adjacent uses.</w:t>
      </w:r>
    </w:p>
    <w:p>
      <w:pPr>
        <w:numPr>
          <w:ilvl w:val="0"/>
          <w:numId w:val="1626"/>
        </w:numPr>
      </w:pPr>
      <w:r>
        <w:t xml:space="preserve">3. Between the date of advertisement of the public meeting date, and the scheduled public meeting date, a balloon may be required to be deployed at the height of the proposed tower. All cost associated with balloon deployment will be borne by applicant.</w:t>
      </w:r>
    </w:p>
    <w:p>
      <w:pPr>
        <w:numPr>
          <w:ilvl w:val="0"/>
          <w:numId w:val="1627"/>
        </w:numPr>
      </w:pPr>
      <w:r>
        <w:t xml:space="preserve">4. Applicants proposing to erect wireless communication towers, accessory facilities and structures on land or structures shall provide evidence of contractual authorization from the owner(s) to conduct wireless communications services on the property. Applicants other than licensed carriers shall provide evidence that a licensed carrier will locate on the proposed facility once erected.</w:t>
      </w:r>
    </w:p>
    <w:p>
      <w:pPr>
        <w:pStyle w:val="Compact"/>
        <w:numPr>
          <w:ilvl w:val="0"/>
          <w:numId w:val="1628"/>
        </w:numPr>
      </w:pPr>
    </w:p>
    <w:p>
      <w:pPr>
        <w:numPr>
          <w:ilvl w:val="1"/>
          <w:numId w:val="1629"/>
        </w:numPr>
      </w:pPr>
      <w:r>
        <w:t xml:space="preserve">(B) Principal or accessory use. Antennas and towers may be considered either principal or accessory uses. In a Manufacturing (M) zone, telecommunication facilities shall be allowed as a principal use or, as an accessory use should there already be a principal use. In all zones other than the Manufacturing (M), only one principal use is allowed on a lot. For purposes of determining whether the installation of a tower or antenna complies with district development regulations, including but not limited to setback requirements, lot coverage requirements, and other requirements, the dimensions of the entire lot shall control, even though the antennas or towers may be located on leased parcels within such lots. Towers that are constructed, and antennas that are installed, in accordance with the provisions of this article shall not be deemed to constitute the expansion of a nonconforming use or structure. Towers and base facilities may not take away required parking spaces of an existing building.</w:t>
      </w:r>
    </w:p>
    <w:p>
      <w:pPr>
        <w:pStyle w:val="Compact"/>
        <w:numPr>
          <w:ilvl w:val="0"/>
          <w:numId w:val="1630"/>
        </w:numPr>
      </w:pPr>
    </w:p>
    <w:p>
      <w:pPr>
        <w:numPr>
          <w:ilvl w:val="1"/>
          <w:numId w:val="1631"/>
        </w:numPr>
      </w:pPr>
      <w:r>
        <w:t xml:space="preserve">(C) Cell grid map. Each applicant shall submit a map depicting the proposed cell grid, the coverage ring and site search ring for all existing, proposed wireless telecommunication facilities for North Smithfield, and for an area within ten miles of the border of North Smithfield. A map indicating the location of all "friendly" sites in North Smithfield (i.e. existing telecommunication towers, water towers, steeples, smoke stacks, electric transmission towers, radio and fire towers).</w:t>
      </w:r>
    </w:p>
    <w:p>
      <w:pPr>
        <w:pStyle w:val="Compact"/>
        <w:numPr>
          <w:ilvl w:val="0"/>
          <w:numId w:val="1632"/>
        </w:numPr>
      </w:pPr>
    </w:p>
    <w:p>
      <w:pPr>
        <w:numPr>
          <w:ilvl w:val="1"/>
          <w:numId w:val="1633"/>
        </w:numPr>
      </w:pPr>
      <w:r>
        <w:t xml:space="preserve">(D) Evaluation of "friendly sites". Each applicant shall submit an evaluation of "friendly" sites within the search area or within one mile of the proposed site whichever is greater. Specific information about location, height and design capacity of each site. Proof that owners of "friendly" sites within the search area have been contacted and that permission was sought to install a device on those structures, and that permission was denied, or that such locations do not satisfy requirements to provide the service needed. Failure to present evidence of a good faith effort on the part of the applicant to utilize existing facilities shall be grounds for denial of the application.</w:t>
      </w:r>
    </w:p>
    <w:p>
      <w:pPr>
        <w:pStyle w:val="Compact"/>
        <w:numPr>
          <w:ilvl w:val="0"/>
          <w:numId w:val="1634"/>
        </w:numPr>
      </w:pPr>
    </w:p>
    <w:p>
      <w:pPr>
        <w:numPr>
          <w:ilvl w:val="1"/>
          <w:numId w:val="1635"/>
        </w:numPr>
      </w:pPr>
      <w:r>
        <w:t xml:space="preserve">(E) Co-location. Each applicant shall demonstrate to the reasonable satisfaction of the planning board and zoning board that no existing tower or structure can accommodate the applicant's proposed antenna. Evidence submitted to demonstrate that no existing tower can accommodate the applicant's proposed antenna may consist of any of the following:</w:t>
      </w:r>
    </w:p>
    <w:p>
      <w:pPr>
        <w:pStyle w:val="Compact"/>
        <w:numPr>
          <w:ilvl w:val="0"/>
          <w:numId w:val="1636"/>
        </w:numPr>
      </w:pPr>
    </w:p>
    <w:p>
      <w:pPr>
        <w:pStyle w:val="Compact"/>
        <w:numPr>
          <w:ilvl w:val="1"/>
          <w:numId w:val="1637"/>
        </w:numPr>
      </w:pPr>
    </w:p>
    <w:p>
      <w:pPr>
        <w:numPr>
          <w:ilvl w:val="2"/>
          <w:numId w:val="1638"/>
        </w:numPr>
      </w:pPr>
      <w:r>
        <w:t xml:space="preserve">(1) Proof that owners of existing towers or structures* within search area of the proposed tower location or within one mile, whichever is greater have been contacted and that permission was sought to install a device on those structures, and that permission was denied. *Structures include water tanks, steeples, smokestacks, buildings, fire towers, utility towers etc.</w:t>
      </w:r>
    </w:p>
    <w:p>
      <w:pPr>
        <w:pStyle w:val="Compact"/>
        <w:numPr>
          <w:ilvl w:val="0"/>
          <w:numId w:val="1639"/>
        </w:numPr>
      </w:pPr>
    </w:p>
    <w:p>
      <w:pPr>
        <w:pStyle w:val="Compact"/>
        <w:numPr>
          <w:ilvl w:val="1"/>
          <w:numId w:val="1640"/>
        </w:numPr>
      </w:pPr>
    </w:p>
    <w:p>
      <w:pPr>
        <w:numPr>
          <w:ilvl w:val="2"/>
          <w:numId w:val="1641"/>
        </w:numPr>
      </w:pPr>
      <w:r>
        <w:t xml:space="preserve">(2) No existing tower or structures are located within the search area of the proposed tower location or within one mile, whichever is greater.</w:t>
      </w:r>
    </w:p>
    <w:p>
      <w:pPr>
        <w:pStyle w:val="Compact"/>
        <w:numPr>
          <w:ilvl w:val="0"/>
          <w:numId w:val="1642"/>
        </w:numPr>
      </w:pPr>
    </w:p>
    <w:p>
      <w:pPr>
        <w:pStyle w:val="Compact"/>
        <w:numPr>
          <w:ilvl w:val="1"/>
          <w:numId w:val="1643"/>
        </w:numPr>
      </w:pPr>
    </w:p>
    <w:p>
      <w:pPr>
        <w:numPr>
          <w:ilvl w:val="2"/>
          <w:numId w:val="1644"/>
        </w:numPr>
      </w:pPr>
      <w:r>
        <w:t xml:space="preserve">(3) Existing towers or structures are not of sufficient height to meet applicant's engineering requirements.</w:t>
      </w:r>
    </w:p>
    <w:p>
      <w:pPr>
        <w:pStyle w:val="Compact"/>
        <w:numPr>
          <w:ilvl w:val="0"/>
          <w:numId w:val="1645"/>
        </w:numPr>
      </w:pPr>
    </w:p>
    <w:p>
      <w:pPr>
        <w:pStyle w:val="Compact"/>
        <w:numPr>
          <w:ilvl w:val="1"/>
          <w:numId w:val="1646"/>
        </w:numPr>
      </w:pPr>
    </w:p>
    <w:p>
      <w:pPr>
        <w:numPr>
          <w:ilvl w:val="2"/>
          <w:numId w:val="1647"/>
        </w:numPr>
      </w:pPr>
      <w:r>
        <w:t xml:space="preserve">(4) Existing towers or structures do not have sufficient structural strength to support applicant's proposed antenna and related equipment.</w:t>
      </w:r>
    </w:p>
    <w:p>
      <w:pPr>
        <w:pStyle w:val="Compact"/>
        <w:numPr>
          <w:ilvl w:val="0"/>
          <w:numId w:val="1648"/>
        </w:numPr>
      </w:pPr>
    </w:p>
    <w:p>
      <w:pPr>
        <w:pStyle w:val="Compact"/>
        <w:numPr>
          <w:ilvl w:val="1"/>
          <w:numId w:val="1649"/>
        </w:numPr>
      </w:pPr>
    </w:p>
    <w:p>
      <w:pPr>
        <w:numPr>
          <w:ilvl w:val="2"/>
          <w:numId w:val="1650"/>
        </w:numPr>
      </w:pPr>
      <w:r>
        <w:t xml:space="preserve">(5) The fees, costs or contractual provisions required by the owner in order to share an existing tower or structure or to adapt an existing tower or structure for sharing are unreasonable. Costs exceeding new tower development are presumed to be unreasonable. Every telecommunication facility approved under this section shall be subject to the condition that the facility owner must allow co-location upon the structure by wireless communication caRAiers upon commercially reasonable terms and conditions and without unreasonable delay, if such co-location is technically feasible. It is expressly provided that any requirement imposed by a facility owner which requires the payment of rent in excess of industry standards or which allows the co-location only if the requesting party provides comparable space on one of its structures to the owner shall be deemed to be commercially unreasonable.</w:t>
      </w:r>
    </w:p>
    <w:p>
      <w:pPr>
        <w:pStyle w:val="Compact"/>
        <w:numPr>
          <w:ilvl w:val="0"/>
          <w:numId w:val="1651"/>
        </w:numPr>
      </w:pPr>
    </w:p>
    <w:p>
      <w:pPr>
        <w:numPr>
          <w:ilvl w:val="1"/>
          <w:numId w:val="1652"/>
        </w:numPr>
      </w:pPr>
      <w:r>
        <w:t xml:space="preserve">(F) Site justification statement. Every application for special use permit shall be accompanied by a description of the narrowing process that eliminated other potential sites. The applicant shall also provide a written statement from a radio frequency engineer justifying the height of the proposed facility.</w:t>
      </w:r>
    </w:p>
    <w:p>
      <w:pPr>
        <w:pStyle w:val="Compact"/>
        <w:numPr>
          <w:ilvl w:val="0"/>
          <w:numId w:val="1653"/>
        </w:numPr>
      </w:pPr>
    </w:p>
    <w:p>
      <w:pPr>
        <w:numPr>
          <w:ilvl w:val="1"/>
          <w:numId w:val="1654"/>
        </w:numPr>
      </w:pPr>
      <w:r>
        <w:t xml:space="preserve">(G) Building codes; safety standards. To ensure the structural integrity of towers, the owner of a tower shall ensure that it is maintained in compliance with standards contained in the state building codes as amended from time to time. If upon inspection, the building official concludes that a tower fails to comply with such codes and standards; and constitutes a danger to persons or property, then the building official shall proceed in accordance with Chapter 27.3 of Title 23 of the RIGL entitled state building codes.</w:t>
      </w:r>
    </w:p>
    <w:p>
      <w:pPr>
        <w:pStyle w:val="Compact"/>
        <w:numPr>
          <w:ilvl w:val="0"/>
          <w:numId w:val="1655"/>
        </w:numPr>
      </w:pPr>
    </w:p>
    <w:p>
      <w:pPr>
        <w:numPr>
          <w:ilvl w:val="1"/>
          <w:numId w:val="1656"/>
        </w:numPr>
      </w:pPr>
      <w:r>
        <w:t xml:space="preserve">(H) ANSI standards. Upon completion of construction, the applicant shall submit an annual report to the town building inspector which provides quantified electromagnetic field (EMF) measurements to current federal and American National Standards Institute (ANSI) standards or subsequent standards. If the project does not meet federal and ANSI standards, the permit may be modified or revoked.</w:t>
      </w:r>
    </w:p>
    <w:p>
      <w:pPr>
        <w:pStyle w:val="Compact"/>
        <w:numPr>
          <w:ilvl w:val="0"/>
          <w:numId w:val="1657"/>
        </w:numPr>
      </w:pPr>
    </w:p>
    <w:p>
      <w:pPr>
        <w:numPr>
          <w:ilvl w:val="1"/>
          <w:numId w:val="1658"/>
        </w:numPr>
      </w:pPr>
      <w:r>
        <w:t xml:space="preserve">(I) Federal requirements. Demonstrate that the tower complies with all applicable standards of the federal and state governments. A copy of the requests made by the applicant to the Federal Aviation Administration (FAA), Federal Communications Commission (FCC) to provide a written statement that the proposed tower complies with applicable regulations administered by the agency or that the tower is exempt from those regulations and a copy of the response from each agency shall be included. If such response is not received within 60 days, the application will be considered incomplete. The applicant shall send a subsequently received agency statement, if any, to the planning board.</w:t>
      </w:r>
    </w:p>
    <w:p>
      <w:pPr>
        <w:pStyle w:val="Compact"/>
        <w:numPr>
          <w:ilvl w:val="0"/>
          <w:numId w:val="1659"/>
        </w:numPr>
      </w:pPr>
    </w:p>
    <w:p>
      <w:pPr>
        <w:numPr>
          <w:ilvl w:val="1"/>
          <w:numId w:val="1660"/>
        </w:numPr>
      </w:pPr>
      <w:r>
        <w:t xml:space="preserve">(J) Carrier notification. All applicants shall send certified mail announcements to all other licensed carriers located in Rhode Island, declaring their sharing capabilities and siting needs. Except in cases where mechanical, structural or regulatory factors prevent them from sharing, applicants cannot be denied or deny space on a tower.</w:t>
      </w:r>
    </w:p>
    <w:p>
      <w:pPr>
        <w:pStyle w:val="Compact"/>
        <w:numPr>
          <w:ilvl w:val="0"/>
          <w:numId w:val="1661"/>
        </w:numPr>
      </w:pPr>
    </w:p>
    <w:p>
      <w:pPr>
        <w:numPr>
          <w:ilvl w:val="1"/>
          <w:numId w:val="1662"/>
        </w:numPr>
      </w:pPr>
      <w:r>
        <w:t xml:space="preserve">(K) Abutter notification. Abutters within one-quarter mile of the facility base shall receive notice by certified mail "return receipt requested" a minimum of 21 days in advance of the hearing for special use permit. The applicant shall compile and send notice to abutters and provide the building official with a detailed list of notifications sent and acknowledgments of receipt. A list of the completed mailings as outlined above, must be returned to the building official no less than seven days in advance of the hearing date. All cost associated with the abutter notification shall be borne by the applicant (4) Procedures:</w:t>
      </w:r>
    </w:p>
    <w:p>
      <w:pPr>
        <w:pStyle w:val="Compact"/>
        <w:numPr>
          <w:ilvl w:val="0"/>
          <w:numId w:val="1663"/>
        </w:numPr>
      </w:pPr>
    </w:p>
    <w:p>
      <w:pPr>
        <w:numPr>
          <w:ilvl w:val="1"/>
          <w:numId w:val="1664"/>
        </w:numPr>
      </w:pPr>
      <w:r>
        <w:t xml:space="preserve">(A) A pre-application conference with the planning department is required before site plan review. The conference will serve to familiarize the applicant with the town's regulations. The planning department shall approve the site plan prior to submittal to the planning board for site plan review.</w:t>
      </w:r>
    </w:p>
    <w:p>
      <w:pPr>
        <w:pStyle w:val="Compact"/>
        <w:numPr>
          <w:ilvl w:val="0"/>
          <w:numId w:val="1665"/>
        </w:numPr>
      </w:pPr>
    </w:p>
    <w:p>
      <w:pPr>
        <w:numPr>
          <w:ilvl w:val="1"/>
          <w:numId w:val="1666"/>
        </w:numPr>
      </w:pPr>
      <w:r>
        <w:t xml:space="preserve">(B) Six copies of the application (site plans and all required submittals) shall be submitted to the planning department for review. A meeting before the planning board for site plan review shall be scheduled within 60 days of certification that an application is complete.</w:t>
      </w:r>
    </w:p>
    <w:p>
      <w:pPr>
        <w:pStyle w:val="Compact"/>
        <w:numPr>
          <w:ilvl w:val="0"/>
          <w:numId w:val="1667"/>
        </w:numPr>
      </w:pPr>
    </w:p>
    <w:p>
      <w:pPr>
        <w:numPr>
          <w:ilvl w:val="1"/>
          <w:numId w:val="1668"/>
        </w:numPr>
      </w:pPr>
      <w:r>
        <w:t xml:space="preserve">(C) Nine copies of the application for special use permit shall be submitted to the zoning board of review. A meeting shall be scheduled with the zoning board of review in accordance with subsection 9.2, "Special Use Permits; Conditions Governing Applications; Procedure" of this section.</w:t>
      </w:r>
    </w:p>
    <w:p>
      <w:pPr>
        <w:pStyle w:val="Compact"/>
        <w:numPr>
          <w:ilvl w:val="0"/>
          <w:numId w:val="1669"/>
        </w:numPr>
      </w:pPr>
    </w:p>
    <w:p>
      <w:pPr>
        <w:numPr>
          <w:ilvl w:val="1"/>
          <w:numId w:val="1670"/>
        </w:numPr>
      </w:pPr>
      <w:r>
        <w:t xml:space="preserve">(D) Building permits are required for all telecommunications towers, antenna and equipment shelters.</w:t>
      </w:r>
    </w:p>
    <w:p>
      <w:pPr>
        <w:pStyle w:val="Compact"/>
        <w:numPr>
          <w:ilvl w:val="0"/>
          <w:numId w:val="1671"/>
        </w:numPr>
      </w:pPr>
    </w:p>
    <w:p>
      <w:pPr>
        <w:pStyle w:val="Compact"/>
        <w:numPr>
          <w:ilvl w:val="1"/>
          <w:numId w:val="1672"/>
        </w:numPr>
      </w:pPr>
    </w:p>
    <w:p>
      <w:pPr>
        <w:numPr>
          <w:ilvl w:val="2"/>
          <w:numId w:val="1673"/>
        </w:numPr>
      </w:pPr>
      <w:r>
        <w:t xml:space="preserve">(5) Permitted uses:</w:t>
      </w:r>
    </w:p>
    <w:p>
      <w:pPr>
        <w:pStyle w:val="Compact"/>
        <w:numPr>
          <w:ilvl w:val="0"/>
          <w:numId w:val="1674"/>
        </w:numPr>
      </w:pPr>
    </w:p>
    <w:p>
      <w:pPr>
        <w:numPr>
          <w:ilvl w:val="1"/>
          <w:numId w:val="1675"/>
        </w:numPr>
      </w:pPr>
      <w:r>
        <w:t xml:space="preserve">(A) General. The uses listed in this subsection are deemed to be permitted uses and shall not require a special use permit. Nevertheless, all such uses are subject to the requirements of subsection 3 for site plan review.</w:t>
      </w:r>
    </w:p>
    <w:p>
      <w:pPr>
        <w:pStyle w:val="Compact"/>
        <w:numPr>
          <w:ilvl w:val="0"/>
          <w:numId w:val="1676"/>
        </w:numPr>
      </w:pPr>
    </w:p>
    <w:p>
      <w:pPr>
        <w:numPr>
          <w:ilvl w:val="1"/>
          <w:numId w:val="1677"/>
        </w:numPr>
      </w:pPr>
      <w:r>
        <w:t xml:space="preserve">(B) Specific permitted uses:</w:t>
      </w:r>
    </w:p>
    <w:p>
      <w:pPr>
        <w:numPr>
          <w:ilvl w:val="0"/>
          <w:numId w:val="1678"/>
        </w:numPr>
      </w:pPr>
      <w:r>
        <w:t xml:space="preserve">1. Telecommunication facilities including the placement of monopoles and additional buildings or other supporting equipment used in connection with said facility, in a Manufacturing (M) zoning district; provided, however, that the height of the proposed facility is less than 125 feet, that such facility is set back from any residential property line a minimum distance equal to 500 feet or three times the height of the facility whichever is greater; set back from any public right-of-way, any commercial or manufacturing structure or use equal to a distance one and one-half times the height of the facility; and the proposed site provides the opportunity to minimize the adverse visual effects of telecommunication facilities.</w:t>
      </w:r>
    </w:p>
    <w:p>
      <w:pPr>
        <w:numPr>
          <w:ilvl w:val="0"/>
          <w:numId w:val="1679"/>
        </w:numPr>
      </w:pPr>
      <w:r>
        <w:t xml:space="preserve">2. Telecommunication facilities including the placement of monopoles less than 125 feet and additional buildings or other supporting equipment used in connection with said facility on land occupied by existing Blackstone Valley Electric and Narragansett Electric transmission towers, provided however, that such facility is set back from any residential property line a minimum distance equal to 500 feet or three times the height of the facility whichever is greater; set back from any public right-of-way, any commercial or manufacturing structure or use equal to a distance one and one-half (1 1/2) times the height of the facility; and the proposed site provides the opportunity to minimize the adverse visual effects of telecommunication facilities.</w:t>
      </w:r>
    </w:p>
    <w:p>
      <w:pPr>
        <w:numPr>
          <w:ilvl w:val="0"/>
          <w:numId w:val="1680"/>
        </w:numPr>
      </w:pPr>
      <w:r>
        <w:t xml:space="preserve">3. Installing an antenna on an existing structure other than a tower (such as a building, sign, light pole, water tower, or other freestanding nonresidential structure) that is 30 feet in height or greater, so long as said additional antenna adds no more than 20 feet to the height of said existing structure; and</w:t>
      </w:r>
    </w:p>
    <w:p>
      <w:pPr>
        <w:numPr>
          <w:ilvl w:val="0"/>
          <w:numId w:val="1000"/>
        </w:numPr>
      </w:pPr>
      <w:r>
        <w:t xml:space="preserve">4. Installing an antenna on any existing tower of any height, so long as the addition of said antenna adds no more than 20 feet in height of said existing tower.</w:t>
      </w:r>
    </w:p>
    <w:p>
      <w:pPr>
        <w:numPr>
          <w:ilvl w:val="0"/>
          <w:numId w:val="1681"/>
        </w:numPr>
      </w:pPr>
      <w:r>
        <w:t xml:space="preserve">5. Direct broadcast satellite antenna one meter or less in diameter, or home satellite dish of not more than one meter in diameter or measured diagonally.</w:t>
      </w:r>
    </w:p>
    <w:p>
      <w:pPr>
        <w:pStyle w:val="Compact"/>
        <w:numPr>
          <w:ilvl w:val="0"/>
          <w:numId w:val="1682"/>
        </w:numPr>
      </w:pPr>
    </w:p>
    <w:p>
      <w:pPr>
        <w:numPr>
          <w:ilvl w:val="1"/>
          <w:numId w:val="1683"/>
        </w:numPr>
      </w:pPr>
      <w:r>
        <w:t xml:space="preserve">(6) Special use permits:</w:t>
      </w:r>
    </w:p>
    <w:p>
      <w:pPr>
        <w:pStyle w:val="Compact"/>
        <w:numPr>
          <w:ilvl w:val="0"/>
          <w:numId w:val="1684"/>
        </w:numPr>
      </w:pPr>
    </w:p>
    <w:p>
      <w:pPr>
        <w:pStyle w:val="Compact"/>
        <w:numPr>
          <w:ilvl w:val="1"/>
          <w:numId w:val="1685"/>
        </w:numPr>
      </w:pPr>
    </w:p>
    <w:p>
      <w:pPr>
        <w:numPr>
          <w:ilvl w:val="2"/>
          <w:numId w:val="1686"/>
        </w:numPr>
      </w:pPr>
      <w:r>
        <w:t xml:space="preserve">(A) General. The following conditions shall require the application for a special use permits:</w:t>
      </w:r>
    </w:p>
    <w:p>
      <w:pPr>
        <w:numPr>
          <w:ilvl w:val="0"/>
          <w:numId w:val="1687"/>
        </w:numPr>
      </w:pPr>
      <w:r>
        <w:t xml:space="preserve">1. If the tower or antenna is not a permitted use under subsection 5 of this article or permitted to be approved administratively pursuant to subsection 5 of this article, then a special use permit shall be required for the construction of a tower or the placement of an antenna in all zoning districts.</w:t>
      </w:r>
    </w:p>
    <w:p>
      <w:pPr>
        <w:numPr>
          <w:ilvl w:val="0"/>
          <w:numId w:val="1688"/>
        </w:numPr>
      </w:pPr>
      <w:r>
        <w:t xml:space="preserve">2. In granting a special use permit, the zoning board of review may impose conditions, to the extent the board concludes such conditions are necessary, to minimize any adverse effect of the proposed tower on adjoining properties.</w:t>
      </w:r>
    </w:p>
    <w:p>
      <w:pPr>
        <w:numPr>
          <w:ilvl w:val="0"/>
          <w:numId w:val="1689"/>
        </w:numPr>
      </w:pPr>
      <w:r>
        <w:t xml:space="preserve">3. Any information of an engineering nature that the applicant submits, whether civil, mechanical, or electrical shall be certified by Rhode Island licensed professional engineer.</w:t>
      </w:r>
    </w:p>
    <w:p>
      <w:pPr>
        <w:numPr>
          <w:ilvl w:val="0"/>
          <w:numId w:val="1690"/>
        </w:numPr>
      </w:pPr>
      <w:r>
        <w:t xml:space="preserve">4. Any extension, addition of cells or construction of new or replacement towers or transmitters shall be subject to site plan review and amendment to the special permit, following the same procedure as for an original grant of a special use permit.</w:t>
      </w:r>
    </w:p>
    <w:p>
      <w:pPr>
        <w:pStyle w:val="Compact"/>
        <w:numPr>
          <w:ilvl w:val="0"/>
          <w:numId w:val="1691"/>
        </w:numPr>
      </w:pPr>
    </w:p>
    <w:p>
      <w:pPr>
        <w:numPr>
          <w:ilvl w:val="1"/>
          <w:numId w:val="1692"/>
        </w:numPr>
      </w:pPr>
      <w:r>
        <w:t xml:space="preserve">(B) Factors considered in granting special use permits. The zoning board shall consider the following factors in determining whether to issue a special use permit, although the board may waive or reduce the burden on the applicant of one or more of these criteria if they find that the goals of this section are better served thereby.</w:t>
      </w:r>
    </w:p>
    <w:p>
      <w:pPr>
        <w:numPr>
          <w:ilvl w:val="0"/>
          <w:numId w:val="1693"/>
        </w:numPr>
      </w:pPr>
      <w:r>
        <w:t xml:space="preserve">1. Height of the proposed tower;</w:t>
      </w:r>
    </w:p>
    <w:p>
      <w:pPr>
        <w:numPr>
          <w:ilvl w:val="0"/>
          <w:numId w:val="1694"/>
        </w:numPr>
      </w:pPr>
      <w:r>
        <w:t xml:space="preserve">2. Proximity of the tower to lot boundaries;</w:t>
      </w:r>
    </w:p>
    <w:p>
      <w:pPr>
        <w:numPr>
          <w:ilvl w:val="0"/>
          <w:numId w:val="1695"/>
        </w:numPr>
      </w:pPr>
      <w:r>
        <w:t xml:space="preserve">3. Nature of uses on adjacent and nearby properties;</w:t>
      </w:r>
    </w:p>
    <w:p>
      <w:pPr>
        <w:numPr>
          <w:ilvl w:val="0"/>
          <w:numId w:val="1696"/>
        </w:numPr>
      </w:pPr>
      <w:r>
        <w:t xml:space="preserve">4. The opportunity for natural screening of telecommunications facilities through a combination of reduced facility height due to site elevation, lot depth, natural vegetation or, topography.</w:t>
      </w:r>
    </w:p>
    <w:p>
      <w:pPr>
        <w:numPr>
          <w:ilvl w:val="0"/>
          <w:numId w:val="1697"/>
        </w:numPr>
      </w:pPr>
      <w:r>
        <w:t xml:space="preserve">5. Design of the tower, with particular references to design characteristics that have the effect of reducing or eliminating visual obtrusiveness;</w:t>
      </w:r>
    </w:p>
    <w:p>
      <w:pPr>
        <w:numPr>
          <w:ilvl w:val="0"/>
          <w:numId w:val="1698"/>
        </w:numPr>
      </w:pPr>
      <w:r>
        <w:t xml:space="preserve">6. Proposed ingress and egress; and</w:t>
      </w:r>
    </w:p>
    <w:p>
      <w:pPr>
        <w:numPr>
          <w:ilvl w:val="0"/>
          <w:numId w:val="1000"/>
        </w:numPr>
      </w:pPr>
      <w:r>
        <w:t xml:space="preserve">7. Availability of suitable existing towers for co-location and other structures as discussed in subsection (3)(C) and (D) of this article. The applicant shall submit a co-location statement as well as an evaluation of "friendly sites" as called for in subsection (3)(C).</w:t>
      </w:r>
    </w:p>
    <w:p>
      <w:pPr>
        <w:pStyle w:val="Compact"/>
        <w:numPr>
          <w:ilvl w:val="0"/>
          <w:numId w:val="1699"/>
        </w:numPr>
      </w:pPr>
    </w:p>
    <w:p>
      <w:pPr>
        <w:numPr>
          <w:ilvl w:val="1"/>
          <w:numId w:val="1700"/>
        </w:numPr>
      </w:pPr>
      <w:r>
        <w:t xml:space="preserve">(7) Design standards. The following design standards shall apply to all towers and antennas.</w:t>
      </w:r>
    </w:p>
    <w:p>
      <w:pPr>
        <w:pStyle w:val="Compact"/>
        <w:numPr>
          <w:ilvl w:val="0"/>
          <w:numId w:val="1701"/>
        </w:numPr>
      </w:pPr>
    </w:p>
    <w:p>
      <w:pPr>
        <w:pStyle w:val="Compact"/>
        <w:numPr>
          <w:ilvl w:val="1"/>
          <w:numId w:val="1702"/>
        </w:numPr>
      </w:pPr>
    </w:p>
    <w:p>
      <w:pPr>
        <w:numPr>
          <w:ilvl w:val="2"/>
          <w:numId w:val="1703"/>
        </w:numPr>
      </w:pPr>
      <w:r>
        <w:t xml:space="preserve">(A) Setbacks and separation:</w:t>
      </w:r>
    </w:p>
    <w:p>
      <w:pPr>
        <w:numPr>
          <w:ilvl w:val="0"/>
          <w:numId w:val="1704"/>
        </w:numPr>
      </w:pPr>
      <w:r>
        <w:t xml:space="preserve">1. Towers must be set back from any residential structure or lot line a minimum distance of 500 feet or three times the height of the tower whichever is greater.</w:t>
      </w:r>
    </w:p>
    <w:p>
      <w:pPr>
        <w:numPr>
          <w:ilvl w:val="0"/>
          <w:numId w:val="1705"/>
        </w:numPr>
      </w:pPr>
      <w:r>
        <w:t xml:space="preserve">2. Towers must be set back a distance equal to one and one-half (1 1/2) the height of the tower from the lot line of any adjoining commercial or manufacturing structure or use.</w:t>
      </w:r>
    </w:p>
    <w:p>
      <w:pPr>
        <w:numPr>
          <w:ilvl w:val="0"/>
          <w:numId w:val="1706"/>
        </w:numPr>
      </w:pPr>
      <w:r>
        <w:t xml:space="preserve">3. Towers shall not be located within 1,000 feet of a school facility.</w:t>
      </w:r>
    </w:p>
    <w:p>
      <w:pPr>
        <w:numPr>
          <w:ilvl w:val="0"/>
          <w:numId w:val="1707"/>
        </w:numPr>
      </w:pPr>
      <w:r>
        <w:t xml:space="preserve">4. Accessory facilities must satisfy the minimum zoning district setback requirements for accessory structures.</w:t>
      </w:r>
    </w:p>
    <w:p>
      <w:pPr>
        <w:pStyle w:val="Compact"/>
        <w:numPr>
          <w:ilvl w:val="0"/>
          <w:numId w:val="1708"/>
        </w:numPr>
      </w:pPr>
    </w:p>
    <w:p>
      <w:pPr>
        <w:numPr>
          <w:ilvl w:val="1"/>
          <w:numId w:val="1709"/>
        </w:numPr>
      </w:pPr>
      <w:r>
        <w:t xml:space="preserve">(B) Landscaping and screening. The applicant must demonstrate that the tower or antennas are located within a given site so as to minimize the visual impact. Existing on-site vegetation shall be preserved to the maximum extent practicable and may be used as a substitute for the landscaped screening requirement. Appropriate screening shall be installed at all tower sites to screen views from adjacent properties and streets. Planting shall be of such a height and density to ensure screening. Screening shall consist of plant and/or tree material accepted by the town planner. Screening shall occupy ten percent of the minimum established setback requirement, but shall not be less than five feet in width unless located in or abutting a residential district or historic district which will require that it not be less than ten feet in width. Screening may be waived on those sides or sections which are adjacent to undevelopable lands. The owner of the property shall be responsible for all maintenance and shall replace any dead plantings within 30 days.</w:t>
      </w:r>
    </w:p>
    <w:p>
      <w:pPr>
        <w:pStyle w:val="Compact"/>
        <w:numPr>
          <w:ilvl w:val="0"/>
          <w:numId w:val="1710"/>
        </w:numPr>
      </w:pPr>
    </w:p>
    <w:p>
      <w:pPr>
        <w:numPr>
          <w:ilvl w:val="1"/>
          <w:numId w:val="1711"/>
        </w:numPr>
      </w:pPr>
      <w:r>
        <w:t xml:space="preserve">(C) [Traffic ways.] Traffic associated with the tower and accessory facilities shall not adversely affect abutting ways and access shall be provided to a site by a roadway which respects the natural terrain, does not appear as a scar on the landscape, and is approved by the zoning board of appeals and the fire chief to assure emergency access at all times. Consideration shall be given to design which minimizes erosion, construction on unstable soils and steep slopes.</w:t>
      </w:r>
    </w:p>
    <w:p>
      <w:pPr>
        <w:pStyle w:val="Compact"/>
        <w:numPr>
          <w:ilvl w:val="0"/>
          <w:numId w:val="1712"/>
        </w:numPr>
      </w:pPr>
    </w:p>
    <w:p>
      <w:pPr>
        <w:numPr>
          <w:ilvl w:val="1"/>
          <w:numId w:val="1713"/>
        </w:numPr>
      </w:pPr>
      <w:r>
        <w:t xml:space="preserve">(D) [Fencing.] Communication towers shall be enclosed by a fence with oneinch wire mesh no less than eight feet in height or more than ten feet in height from finished grade. Access shall be through a locked gate.</w:t>
      </w:r>
    </w:p>
    <w:p>
      <w:pPr>
        <w:pStyle w:val="Compact"/>
        <w:numPr>
          <w:ilvl w:val="0"/>
          <w:numId w:val="1714"/>
        </w:numPr>
      </w:pPr>
    </w:p>
    <w:p>
      <w:pPr>
        <w:numPr>
          <w:ilvl w:val="1"/>
          <w:numId w:val="1715"/>
        </w:numPr>
      </w:pPr>
      <w:r>
        <w:t xml:space="preserve">(E) [Lighting.] Communication towers shall not be artificially lighted except as required for public safety purposes, by the Federal Aviation Administration (FAA), or by the Town of North Smithfield.</w:t>
      </w:r>
    </w:p>
    <w:p>
      <w:pPr>
        <w:pStyle w:val="Compact"/>
        <w:numPr>
          <w:ilvl w:val="0"/>
          <w:numId w:val="1716"/>
        </w:numPr>
      </w:pPr>
    </w:p>
    <w:p>
      <w:pPr>
        <w:numPr>
          <w:ilvl w:val="1"/>
          <w:numId w:val="1717"/>
        </w:numPr>
      </w:pPr>
      <w:r>
        <w:t xml:space="preserve">(F) [Signs.] No signs shall be allowed on any communication tower except as required for public safety purposes, by the Federal Communication Commission (FCC) or by the town. All signs shall conform with the sign requirements of the Zoning Ordinance.</w:t>
      </w:r>
    </w:p>
    <w:p>
      <w:pPr>
        <w:pStyle w:val="Compact"/>
        <w:numPr>
          <w:ilvl w:val="0"/>
          <w:numId w:val="1718"/>
        </w:numPr>
      </w:pPr>
    </w:p>
    <w:p>
      <w:pPr>
        <w:numPr>
          <w:ilvl w:val="1"/>
          <w:numId w:val="1719"/>
        </w:numPr>
      </w:pPr>
      <w:r>
        <w:t xml:space="preserve">(G) [Equipment shelters.] Equipment shelters shall be limited to one per provider, but shall not exceed ten shelters per tower. If more than one use, the equipment shelters shall be connected by a common wall. Each shelter shall not exceed 275 square feet in size and ten feet in height, and shall be of the same design and color as each other.</w:t>
      </w:r>
    </w:p>
    <w:p>
      <w:pPr>
        <w:pStyle w:val="Compact"/>
        <w:numPr>
          <w:ilvl w:val="0"/>
          <w:numId w:val="1720"/>
        </w:numPr>
      </w:pPr>
    </w:p>
    <w:p>
      <w:pPr>
        <w:numPr>
          <w:ilvl w:val="1"/>
          <w:numId w:val="1721"/>
        </w:numPr>
      </w:pPr>
      <w:r>
        <w:t xml:space="preserve">(H) [Color.] The color of the paint or finish is to be determined by the planning board.</w:t>
      </w:r>
    </w:p>
    <w:p>
      <w:pPr>
        <w:pStyle w:val="Compact"/>
        <w:numPr>
          <w:ilvl w:val="0"/>
          <w:numId w:val="1722"/>
        </w:numPr>
      </w:pPr>
    </w:p>
    <w:p>
      <w:pPr>
        <w:numPr>
          <w:ilvl w:val="1"/>
          <w:numId w:val="1723"/>
        </w:numPr>
      </w:pPr>
      <w:r>
        <w:t xml:space="preserve">(I) [Designed to maximize uses. The tower shall be designed to accommodate the maximum number of uses technologically practical.</w:t>
      </w:r>
    </w:p>
    <w:p>
      <w:pPr>
        <w:pStyle w:val="Compact"/>
        <w:numPr>
          <w:ilvl w:val="0"/>
          <w:numId w:val="1724"/>
        </w:numPr>
      </w:pPr>
    </w:p>
    <w:p>
      <w:pPr>
        <w:pStyle w:val="Compact"/>
        <w:numPr>
          <w:ilvl w:val="1"/>
          <w:numId w:val="1725"/>
        </w:numPr>
      </w:pPr>
    </w:p>
    <w:p>
      <w:pPr>
        <w:numPr>
          <w:ilvl w:val="2"/>
          <w:numId w:val="1726"/>
        </w:numPr>
      </w:pPr>
      <w:r>
        <w:t xml:space="preserve">(8) Removal of abandoned telecommunication facilities. All unused telecommunication facilities and structures which have not been used for one year shall be considered abandoned and shall be dismantled and removed at the owner's expense. The owner of such facility shall remove same within 90 days of receipt of notice from the building official. The applicant shall post a bond which shall be re-evaluated every two years, to cover the cost of removal and restoration of the site if appropriate. If such antenna or tower is not removed within 90 days, the town may take the necessary action to remove the facility at the owner's expense.</w:t>
      </w:r>
    </w:p>
    <w:p>
      <w:pPr>
        <w:pStyle w:val="Compact"/>
        <w:numPr>
          <w:ilvl w:val="0"/>
          <w:numId w:val="1727"/>
        </w:numPr>
      </w:pPr>
    </w:p>
    <w:p>
      <w:pPr>
        <w:pStyle w:val="Compact"/>
        <w:numPr>
          <w:ilvl w:val="1"/>
          <w:numId w:val="1728"/>
        </w:numPr>
      </w:pPr>
    </w:p>
    <w:p>
      <w:pPr>
        <w:numPr>
          <w:ilvl w:val="2"/>
          <w:numId w:val="1729"/>
        </w:numPr>
      </w:pPr>
      <w:r>
        <w:t xml:space="preserve">(9) Exemptions. The following types of wireless communications towers are exempt from this section 5.6.3.10:</w:t>
      </w:r>
    </w:p>
    <w:p>
      <w:pPr>
        <w:numPr>
          <w:ilvl w:val="0"/>
          <w:numId w:val="1730"/>
        </w:numPr>
      </w:pPr>
      <w:r>
        <w:t xml:space="preserve">1. Amateur radio towers used in accordance with terms of any amateur radio service license issued by the Federal Communications Commission, provided that:</w:t>
      </w:r>
    </w:p>
    <w:p>
      <w:pPr>
        <w:pStyle w:val="Compact"/>
        <w:numPr>
          <w:ilvl w:val="0"/>
          <w:numId w:val="1731"/>
        </w:numPr>
      </w:pPr>
    </w:p>
    <w:p>
      <w:pPr>
        <w:numPr>
          <w:ilvl w:val="1"/>
          <w:numId w:val="1732"/>
        </w:numPr>
      </w:pPr>
      <w:r>
        <w:t xml:space="preserve">a. The tower is not used or licensed for any commercial purpose; and 2. Towers and antennas erected on land or structures owned by the Town of North Smithfield for public safety and other telecommunication purposes.</w:t>
      </w:r>
    </w:p>
    <w:p>
      <w:pPr>
        <w:pStyle w:val="Compact"/>
        <w:numPr>
          <w:ilvl w:val="0"/>
          <w:numId w:val="1733"/>
        </w:numPr>
      </w:pPr>
    </w:p>
    <w:p>
      <w:pPr>
        <w:pStyle w:val="Compact"/>
        <w:numPr>
          <w:ilvl w:val="1"/>
          <w:numId w:val="1734"/>
        </w:numPr>
      </w:pPr>
    </w:p>
    <w:p>
      <w:pPr>
        <w:numPr>
          <w:ilvl w:val="2"/>
          <w:numId w:val="1735"/>
        </w:numPr>
      </w:pPr>
      <w:r>
        <w:t xml:space="preserve">(10) Definitions: Aboveground level (AGL): A measurement of height from the natural grade of a site to the highest point of structure. Antenna: The surface from which wireless radio signals are sent and received by a personal wireless service facility. Camouflaged: A personal wireless service facility that is disguised, hidden, part of an existing or proposed structure or placed within an existing or proposed structure is considered "camouflaged." Carrier: A company that provides wireless services. Co-location: The use of a single mount on the ground by more than one carrier (vertical colocation) and/or several mounts on an existing building or structure by more than one carriers. Cross-polarized (or dual-polarized) antenna: A low mount that has three panels flush mounted or attached very close to the shaft. Elevation: The measurements of height above sea level. Environmental assessment (EA): An EA is the document required by the Federal Communications Commission (FCC) and the National Environmental Policy Act (NEPA) when a personal wireless service facility is placed in certain designated areas. Equipment shelter: An enclosed structure, cabinet, shed or box at the base of the mount within which are housed batteries and electrical equipment. Fall zone: The area on the ground within a prescribed radius from the base of a personal wireless service facility. The fall zone is the area within which there is a potential hazard from falling debris (such as ice) or collapsing material. Friendly sites: Existing sites with potential for use as antennae platform. Functionally equivalent services: Cellular, personal communication service (PCS), enhanced specialized mobile radio, specialized mobile radio and paging. Guyed tower: A tower that is tied to the ground or other surface by diagonal cables. Height: The distance measured from ground level to the highest point on the tower or other structure, even if said highest point is an antenna. Lattice tower: A type of mount that is self-supporting with multiple legs and cross-bracing of structural steel. Licensed carrier: A company authorized by the FCC to construct and operate a commercial mobile radio service system.</w:t>
      </w:r>
    </w:p>
    <w:p>
      <w:pPr>
        <w:pStyle w:val="Compact"/>
        <w:numPr>
          <w:ilvl w:val="0"/>
          <w:numId w:val="1736"/>
        </w:numPr>
      </w:pPr>
    </w:p>
    <w:p>
      <w:pPr>
        <w:pStyle w:val="Compact"/>
        <w:numPr>
          <w:ilvl w:val="1"/>
          <w:numId w:val="1737"/>
        </w:numPr>
      </w:pPr>
    </w:p>
    <w:p>
      <w:pPr>
        <w:numPr>
          <w:ilvl w:val="2"/>
          <w:numId w:val="1738"/>
        </w:numPr>
      </w:pPr>
      <w:r>
        <w:t xml:space="preserve">Monopole: The type of mount that is self-supporting with a single shaft of wood, steel or concrete and a platform (or racks) for panel antennas arrayed at the top. Mount: The structure or surface upon which antennas are mounted, including the following four types of mounts:</w:t>
      </w:r>
    </w:p>
    <w:p>
      <w:pPr>
        <w:numPr>
          <w:ilvl w:val="0"/>
          <w:numId w:val="1739"/>
        </w:numPr>
      </w:pPr>
      <w:r>
        <w:t xml:space="preserve">1. Roof-mounted. Mounted on the roof of the building.</w:t>
      </w:r>
    </w:p>
    <w:p>
      <w:pPr>
        <w:numPr>
          <w:ilvl w:val="0"/>
          <w:numId w:val="1740"/>
        </w:numPr>
      </w:pPr>
      <w:r>
        <w:t xml:space="preserve">2. Side-mounted. Mounted on the side of the building.</w:t>
      </w:r>
    </w:p>
    <w:p>
      <w:pPr>
        <w:numPr>
          <w:ilvl w:val="0"/>
          <w:numId w:val="1741"/>
        </w:numPr>
      </w:pPr>
      <w:r>
        <w:t xml:space="preserve">3. Ground-mounted. Mounted on the ground.</w:t>
      </w:r>
    </w:p>
    <w:p>
      <w:pPr>
        <w:numPr>
          <w:ilvl w:val="0"/>
          <w:numId w:val="1742"/>
        </w:numPr>
      </w:pPr>
      <w:r>
        <w:t xml:space="preserve">4. Structure-mounted. Mounted on a structure other than a building. Omnidirectional (whip) antenna: A thin rod that beams and receives a signal in all directions. Panel antenna: A flat surface antenna usually developed in multiples. Personal wireless service: The three types of services regulated by this Model Bylaw. Radio frequency (RF) engineer: An engineer specialized in electrical or microwave engineering, especially the study of radio frequencies. Radio frequency radiation (RFR): The emissions from personal wireless service facilities. Commentary: It is RFR, not all EMF, that is regulated by the FCC Guidelines for Evaluating the Environmental Effects of Radio frequency radiation (FCC Guidelines). Security barrier: A locked, impenetrable wall, fence or berm that completely seals an area from unauthorized entry or trespassing. Separation: The distance between one carrier's array of antennas and other carrier's array. (Ords. (two) of 3-16-98)</w:t>
      </w:r>
    </w:p>
    <w:p>
      <w:pPr>
        <w:pStyle w:val="Compact"/>
        <w:numPr>
          <w:ilvl w:val="0"/>
          <w:numId w:val="1743"/>
        </w:numPr>
      </w:pPr>
    </w:p>
    <w:p>
      <w:pPr>
        <w:numPr>
          <w:ilvl w:val="1"/>
          <w:numId w:val="1744"/>
        </w:numPr>
      </w:pPr>
      <w:r>
        <w:t xml:space="preserve">5.6.3.11. Medical Marijuana. It is the intent of this section to regulate and provide zoning standards for the cultivation and distribution of medical marijuana as allowed by the Edward O. Hawkins and Thomas C. Slater Medical Marijuana Act. (See RIGL 21-28.6-1 et seq.)</w:t>
      </w:r>
    </w:p>
    <w:p>
      <w:pPr>
        <w:pStyle w:val="Compact"/>
        <w:numPr>
          <w:ilvl w:val="0"/>
          <w:numId w:val="1745"/>
        </w:numPr>
      </w:pPr>
    </w:p>
    <w:p>
      <w:pPr>
        <w:pStyle w:val="Compact"/>
        <w:numPr>
          <w:ilvl w:val="1"/>
          <w:numId w:val="1746"/>
        </w:numPr>
      </w:pPr>
    </w:p>
    <w:p>
      <w:pPr>
        <w:numPr>
          <w:ilvl w:val="2"/>
          <w:numId w:val="1747"/>
        </w:numPr>
      </w:pPr>
      <w:r>
        <w:t xml:space="preserve">(a) Patient cultivation. Patient cultivation shall be permitted in all residential, and in instances of legal nonconformance, commercial, manufacturing and industrial zoning districts in the Town of North Smithfield. Patient cultivation shall not be allowed unless each of the following criteria has been met:</w:t>
      </w:r>
    </w:p>
    <w:tbl>
      <w:tblPr>
        <w:tblStyle w:val="Table"/>
        <w:tblW w:type="auto" w:w="0"/>
        <w:jc w:val="left"/>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pPr>
          </w:p>
        </w:tc>
        <w:tc>
          <w:tcPr/>
          <w:p>
            <w:pPr>
              <w:pStyle w:val="Compact"/>
            </w:pPr>
          </w:p>
        </w:tc>
        <w:tc>
          <w:tcPr/>
          <w:p>
            <w:pPr>
              <w:pStyle w:val="Compact"/>
              <w:jc w:val="left"/>
            </w:pPr>
            <w:r>
              <w:t xml:space="preserve">(1)</w:t>
            </w:r>
          </w:p>
        </w:tc>
        <w:tc>
          <w:tcPr/>
          <w:p>
            <w:pPr>
              <w:pStyle w:val="Compact"/>
              <w:jc w:val="left"/>
            </w:pPr>
            <w:r>
              <w:t xml:space="preserve">Patient</w:t>
            </w:r>
          </w:p>
        </w:tc>
        <w:tc>
          <w:tcPr/>
          <w:p>
            <w:pPr>
              <w:pStyle w:val="Compact"/>
            </w:pPr>
          </w:p>
        </w:tc>
        <w:tc>
          <w:tcPr/>
          <w:p>
            <w:pPr>
              <w:pStyle w:val="Compact"/>
              <w:jc w:val="left"/>
            </w:pPr>
            <w:r>
              <w:t xml:space="preserve">cultivation shall only be</w:t>
            </w:r>
          </w:p>
        </w:tc>
        <w:tc>
          <w:tcPr/>
          <w:p>
            <w:pPr>
              <w:pStyle w:val="Compact"/>
              <w:jc w:val="left"/>
            </w:pPr>
            <w:r>
              <w:t xml:space="preserve">allowed at the patient cardholder's primary</w:t>
            </w:r>
          </w:p>
        </w:tc>
        <w:tc>
          <w:tcPr/>
          <w:p>
            <w:pPr>
              <w:pStyle w:val="Compact"/>
            </w:pPr>
          </w:p>
        </w:tc>
        <w:tc>
          <w:tcPr/>
          <w:p>
            <w:pPr>
              <w:pStyle w:val="Compact"/>
            </w:pPr>
          </w:p>
        </w:tc>
      </w:tr>
      <w:tr>
        <w:tc>
          <w:tcPr/>
          <w:p>
            <w:pPr>
              <w:pStyle w:val="Compact"/>
            </w:pPr>
          </w:p>
        </w:tc>
        <w:tc>
          <w:tcPr/>
          <w:p>
            <w:pPr>
              <w:pStyle w:val="Compact"/>
              <w:jc w:val="left"/>
            </w:pPr>
            <w:r>
              <w:t xml:space="preserve">residence</w:t>
            </w:r>
          </w:p>
        </w:tc>
        <w:tc>
          <w:tcPr/>
          <w:p>
            <w:pPr>
              <w:pStyle w:val="Compact"/>
              <w:jc w:val="left"/>
            </w:pPr>
            <w:r>
              <w:t xml:space="preserve">when</w:t>
            </w:r>
          </w:p>
        </w:tc>
        <w:tc>
          <w:tcPr/>
          <w:p>
            <w:pPr>
              <w:pStyle w:val="Compact"/>
              <w:jc w:val="left"/>
            </w:pPr>
            <w:r>
              <w:t xml:space="preserve">being</w:t>
            </w:r>
          </w:p>
        </w:tc>
        <w:tc>
          <w:tcPr/>
          <w:p>
            <w:pPr>
              <w:pStyle w:val="Compact"/>
            </w:pPr>
          </w:p>
        </w:tc>
        <w:tc>
          <w:tcPr/>
          <w:p>
            <w:pPr>
              <w:pStyle w:val="Compact"/>
              <w:jc w:val="left"/>
            </w:pPr>
            <w:r>
              <w:t xml:space="preserve">conducted in a residential</w:t>
            </w:r>
          </w:p>
        </w:tc>
        <w:tc>
          <w:tcPr/>
          <w:p>
            <w:pPr>
              <w:pStyle w:val="Compact"/>
              <w:jc w:val="left"/>
            </w:pPr>
            <w:r>
              <w:t xml:space="preserve">zoning district. If the patient cardholder</w:t>
            </w:r>
          </w:p>
        </w:tc>
        <w:tc>
          <w:tcPr/>
          <w:p>
            <w:pPr>
              <w:pStyle w:val="Compact"/>
            </w:pPr>
          </w:p>
        </w:tc>
        <w:tc>
          <w:tcPr/>
          <w:p>
            <w:pPr>
              <w:pStyle w:val="Compact"/>
              <w:jc w:val="left"/>
            </w:pPr>
            <w:r>
              <w:t xml:space="preserve">does not</w:t>
            </w:r>
          </w:p>
        </w:tc>
      </w:tr>
      <w:tr>
        <w:tc>
          <w:tcPr/>
          <w:p>
            <w:pPr>
              <w:pStyle w:val="Compact"/>
              <w:jc w:val="left"/>
            </w:pPr>
            <w:r>
              <w:t xml:space="preserve">own</w:t>
            </w:r>
          </w:p>
        </w:tc>
        <w:tc>
          <w:tcPr/>
          <w:p>
            <w:pPr>
              <w:pStyle w:val="Compact"/>
              <w:jc w:val="left"/>
            </w:pPr>
            <w:r>
              <w:t xml:space="preserve">the</w:t>
            </w:r>
          </w:p>
        </w:tc>
        <w:tc>
          <w:tcPr/>
          <w:p>
            <w:pPr>
              <w:pStyle w:val="Compact"/>
              <w:jc w:val="left"/>
            </w:pPr>
            <w:r>
              <w:t xml:space="preserve">subject</w:t>
            </w:r>
          </w:p>
        </w:tc>
        <w:tc>
          <w:tcPr/>
          <w:p>
            <w:pPr>
              <w:pStyle w:val="Compact"/>
              <w:jc w:val="left"/>
            </w:pPr>
            <w:r>
              <w:t xml:space="preserve">property,</w:t>
            </w:r>
          </w:p>
        </w:tc>
        <w:tc>
          <w:tcPr/>
          <w:p>
            <w:pPr>
              <w:pStyle w:val="Compact"/>
            </w:pPr>
          </w:p>
        </w:tc>
        <w:tc>
          <w:tcPr/>
          <w:p>
            <w:pPr>
              <w:pStyle w:val="Compact"/>
              <w:jc w:val="left"/>
            </w:pPr>
            <w:r>
              <w:t xml:space="preserve">the owner(s) of the subject</w:t>
            </w:r>
          </w:p>
        </w:tc>
        <w:tc>
          <w:tcPr/>
          <w:p>
            <w:pPr>
              <w:pStyle w:val="Compact"/>
              <w:jc w:val="left"/>
            </w:pPr>
            <w:r>
              <w:t xml:space="preserve">property shall provide written</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acknowledgment</w:t>
            </w:r>
          </w:p>
        </w:tc>
        <w:tc>
          <w:tcPr/>
          <w:p>
            <w:pPr>
              <w:pStyle w:val="Compact"/>
              <w:jc w:val="left"/>
            </w:pPr>
            <w:r>
              <w:t xml:space="preserve">and</w:t>
            </w:r>
          </w:p>
        </w:tc>
        <w:tc>
          <w:tcPr/>
          <w:p>
            <w:pPr>
              <w:pStyle w:val="Compact"/>
            </w:pPr>
          </w:p>
        </w:tc>
        <w:tc>
          <w:tcPr/>
          <w:p>
            <w:pPr>
              <w:pStyle w:val="Compact"/>
              <w:jc w:val="left"/>
            </w:pPr>
            <w:r>
              <w:t xml:space="preserve">approval of the proposed use,</w:t>
            </w:r>
          </w:p>
        </w:tc>
        <w:tc>
          <w:tcPr/>
          <w:p>
            <w:pPr>
              <w:pStyle w:val="Compact"/>
              <w:jc w:val="left"/>
            </w:pPr>
            <w:r>
              <w:t xml:space="preserve">which shall be appropriately notarized</w:t>
            </w:r>
          </w:p>
        </w:tc>
        <w:tc>
          <w:tcPr/>
          <w:p>
            <w:pPr>
              <w:pStyle w:val="Compact"/>
            </w:pPr>
          </w:p>
        </w:tc>
        <w:tc>
          <w:tcPr/>
          <w:p>
            <w:pPr>
              <w:pStyle w:val="Compact"/>
              <w:jc w:val="left"/>
            </w:pPr>
            <w:r>
              <w:t xml:space="preserve">prior</w:t>
            </w:r>
          </w:p>
        </w:tc>
      </w:tr>
      <w:tr>
        <w:tc>
          <w:tcPr/>
          <w:p>
            <w:pPr>
              <w:pStyle w:val="Compact"/>
              <w:jc w:val="left"/>
            </w:pPr>
            <w:r>
              <w:t xml:space="preserve">to</w:t>
            </w:r>
          </w:p>
        </w:tc>
        <w:tc>
          <w:tcPr/>
          <w:p>
            <w:pPr>
              <w:pStyle w:val="Compact"/>
              <w:jc w:val="left"/>
            </w:pPr>
            <w:r>
              <w:t xml:space="preserve">review</w:t>
            </w:r>
          </w:p>
        </w:tc>
        <w:tc>
          <w:tcPr/>
          <w:p>
            <w:pPr>
              <w:pStyle w:val="Compact"/>
              <w:jc w:val="left"/>
            </w:pPr>
            <w:r>
              <w:t xml:space="preserve">and</w:t>
            </w:r>
          </w:p>
        </w:tc>
        <w:tc>
          <w:tcPr/>
          <w:p>
            <w:pPr>
              <w:pStyle w:val="Compact"/>
              <w:jc w:val="left"/>
            </w:pPr>
            <w:r>
              <w:t xml:space="preserve">approval</w:t>
            </w:r>
          </w:p>
        </w:tc>
        <w:tc>
          <w:tcPr/>
          <w:p>
            <w:pPr>
              <w:pStyle w:val="Compact"/>
            </w:pPr>
          </w:p>
        </w:tc>
        <w:tc>
          <w:tcPr/>
          <w:p>
            <w:pPr>
              <w:pStyle w:val="Compact"/>
              <w:jc w:val="left"/>
            </w:pPr>
            <w:r>
              <w:t xml:space="preserve">by the Town.</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(2)</w:t>
            </w:r>
          </w:p>
        </w:tc>
        <w:tc>
          <w:tcPr/>
          <w:p>
            <w:pPr>
              <w:pStyle w:val="Compact"/>
              <w:jc w:val="left"/>
            </w:pPr>
            <w:r>
              <w:t xml:space="preserve">The</w:t>
            </w:r>
          </w:p>
        </w:tc>
        <w:tc>
          <w:tcPr/>
          <w:p>
            <w:pPr>
              <w:pStyle w:val="Compact"/>
              <w:jc w:val="left"/>
            </w:pPr>
            <w:r>
              <w:t xml:space="preserve">patient</w:t>
            </w:r>
          </w:p>
        </w:tc>
        <w:tc>
          <w:tcPr/>
          <w:p>
            <w:pPr>
              <w:pStyle w:val="Compact"/>
              <w:jc w:val="left"/>
            </w:pPr>
            <w:r>
              <w:t xml:space="preserve">cardholder shall apply</w:t>
            </w:r>
          </w:p>
        </w:tc>
        <w:tc>
          <w:tcPr/>
          <w:p>
            <w:pPr>
              <w:pStyle w:val="Compact"/>
              <w:jc w:val="left"/>
            </w:pPr>
            <w:r>
              <w:t xml:space="preserve">for the appropriate approvals and</w:t>
            </w:r>
          </w:p>
        </w:tc>
        <w:tc>
          <w:tcPr/>
          <w:p>
            <w:pPr>
              <w:pStyle w:val="Compact"/>
              <w:jc w:val="left"/>
            </w:pPr>
            <w:r>
              <w:t xml:space="preserve">inspections</w:t>
            </w:r>
          </w:p>
        </w:tc>
        <w:tc>
          <w:tcPr/>
          <w:p>
            <w:pPr>
              <w:pStyle w:val="Compact"/>
            </w:pPr>
          </w:p>
        </w:tc>
      </w:tr>
      <w:tr>
        <w:tc>
          <w:tcPr/>
          <w:p>
            <w:pPr>
              <w:pStyle w:val="Compact"/>
              <w:jc w:val="left"/>
            </w:pPr>
            <w:r>
              <w:t xml:space="preserve">by</w:t>
            </w:r>
          </w:p>
        </w:tc>
        <w:tc>
          <w:tcPr/>
          <w:p>
            <w:pPr>
              <w:pStyle w:val="Compact"/>
              <w:jc w:val="left"/>
            </w:pPr>
            <w:r>
              <w:t xml:space="preserve">the</w:t>
            </w:r>
          </w:p>
        </w:tc>
        <w:tc>
          <w:tcPr/>
          <w:p>
            <w:pPr>
              <w:pStyle w:val="Compact"/>
              <w:jc w:val="left"/>
            </w:pPr>
            <w:r>
              <w:t xml:space="preserve">local Fire</w:t>
            </w:r>
          </w:p>
        </w:tc>
        <w:tc>
          <w:tcPr/>
          <w:p>
            <w:pPr>
              <w:pStyle w:val="Compact"/>
              <w:jc w:val="left"/>
            </w:pPr>
            <w:r>
              <w:t xml:space="preserve">Chief.</w:t>
            </w:r>
          </w:p>
        </w:tc>
        <w:tc>
          <w:tcPr/>
          <w:p>
            <w:pPr>
              <w:pStyle w:val="Compact"/>
            </w:pPr>
          </w:p>
        </w:tc>
        <w:tc>
          <w:tcPr/>
          <w:p>
            <w:pPr>
              <w:pStyle w:val="Compact"/>
              <w:jc w:val="left"/>
            </w:pPr>
            <w:r>
              <w:t xml:space="preserve">The Fire Chief shall approve</w:t>
            </w:r>
          </w:p>
        </w:tc>
        <w:tc>
          <w:tcPr/>
          <w:p>
            <w:pPr>
              <w:pStyle w:val="Compact"/>
              <w:jc w:val="left"/>
            </w:pPr>
            <w:r>
              <w:t xml:space="preserve">the application for permits pursuant</w:t>
            </w:r>
          </w:p>
        </w:tc>
        <w:tc>
          <w:tcPr/>
          <w:p>
            <w:pPr>
              <w:pStyle w:val="Compact"/>
            </w:pPr>
          </w:p>
        </w:tc>
        <w:tc>
          <w:tcPr/>
          <w:p>
            <w:pPr>
              <w:pStyle w:val="Compact"/>
              <w:jc w:val="left"/>
            </w:pPr>
            <w:r>
              <w:t xml:space="preserve">to</w:t>
            </w:r>
          </w:p>
        </w:tc>
      </w:tr>
      <w:tr>
        <w:tc>
          <w:tcPr/>
          <w:p>
            <w:pPr>
              <w:pStyle w:val="Compact"/>
              <w:jc w:val="left"/>
            </w:pPr>
            <w:r>
              <w:t xml:space="preserve">RIGL</w:t>
            </w:r>
          </w:p>
        </w:tc>
        <w:tc>
          <w:tcPr/>
          <w:p>
            <w:pPr>
              <w:pStyle w:val="Compact"/>
            </w:pPr>
          </w:p>
        </w:tc>
        <w:tc>
          <w:tcPr/>
          <w:p>
            <w:pPr>
              <w:pStyle w:val="Compact"/>
              <w:jc w:val="left"/>
            </w:pPr>
            <w:r>
              <w:t xml:space="preserve">23-28.1</w:t>
            </w:r>
          </w:p>
        </w:tc>
        <w:tc>
          <w:tcPr/>
          <w:p>
            <w:pPr>
              <w:pStyle w:val="Compact"/>
              <w:jc w:val="left"/>
            </w:pPr>
            <w:r>
              <w:t xml:space="preserve">et seq.</w:t>
            </w:r>
          </w:p>
        </w:tc>
        <w:tc>
          <w:tcPr/>
          <w:p>
            <w:pPr>
              <w:pStyle w:val="Compact"/>
              <w:jc w:val="left"/>
            </w:pPr>
            <w:r>
              <w:t xml:space="preserve">All</w:t>
            </w:r>
          </w:p>
        </w:tc>
        <w:tc>
          <w:tcPr/>
          <w:p>
            <w:pPr>
              <w:pStyle w:val="Compact"/>
              <w:jc w:val="left"/>
            </w:pPr>
            <w:r>
              <w:t xml:space="preserve">permits applied for in</w:t>
            </w:r>
          </w:p>
        </w:tc>
        <w:tc>
          <w:tcPr/>
          <w:p>
            <w:pPr>
              <w:pStyle w:val="Compact"/>
              <w:jc w:val="left"/>
            </w:pPr>
            <w:r>
              <w:t xml:space="preserve">furtherance of the Act shall be sealed and</w:t>
            </w:r>
          </w:p>
        </w:tc>
        <w:tc>
          <w:tcPr/>
          <w:p>
            <w:pPr>
              <w:pStyle w:val="Compact"/>
            </w:pPr>
          </w:p>
        </w:tc>
        <w:tc>
          <w:tcPr/>
          <w:p>
            <w:pPr>
              <w:pStyle w:val="Compact"/>
              <w:jc w:val="left"/>
            </w:pPr>
            <w:r>
              <w:t xml:space="preserve">kept</w:t>
            </w:r>
          </w:p>
        </w:tc>
      </w:tr>
      <w:tr>
        <w:tc>
          <w:tcPr/>
          <w:p>
            <w:pPr>
              <w:pStyle w:val="Compact"/>
            </w:pPr>
          </w:p>
        </w:tc>
        <w:tc>
          <w:tcPr/>
          <w:p>
            <w:pPr>
              <w:pStyle w:val="Compact"/>
              <w:jc w:val="left"/>
            </w:pPr>
            <w:r>
              <w:t xml:space="preserve">confidential</w:t>
            </w:r>
          </w:p>
        </w:tc>
        <w:tc>
          <w:tcPr/>
          <w:p>
            <w:pPr>
              <w:pStyle w:val="Compact"/>
              <w:jc w:val="left"/>
            </w:pPr>
            <w:r>
              <w:t xml:space="preserve">by</w:t>
            </w:r>
          </w:p>
        </w:tc>
        <w:tc>
          <w:tcPr/>
          <w:p>
            <w:pPr>
              <w:pStyle w:val="Compact"/>
              <w:jc w:val="left"/>
            </w:pPr>
            <w:r>
              <w:t xml:space="preserve">the local</w:t>
            </w:r>
          </w:p>
        </w:tc>
        <w:tc>
          <w:tcPr/>
          <w:p>
            <w:pPr>
              <w:pStyle w:val="Compact"/>
            </w:pPr>
          </w:p>
        </w:tc>
        <w:tc>
          <w:tcPr/>
          <w:p>
            <w:pPr>
              <w:pStyle w:val="Compact"/>
              <w:jc w:val="left"/>
            </w:pPr>
            <w:r>
              <w:t xml:space="preserve">Fire Chief and not subject</w:t>
            </w:r>
          </w:p>
        </w:tc>
        <w:tc>
          <w:tcPr/>
          <w:p>
            <w:pPr>
              <w:pStyle w:val="Compact"/>
              <w:jc w:val="left"/>
            </w:pPr>
            <w:r>
              <w:t xml:space="preserve">to review by any party other than the</w:t>
            </w:r>
          </w:p>
        </w:tc>
        <w:tc>
          <w:tcPr/>
          <w:p>
            <w:pPr>
              <w:pStyle w:val="Compact"/>
            </w:pPr>
          </w:p>
        </w:tc>
        <w:tc>
          <w:tcPr/>
          <w:p>
            <w:pPr>
              <w:pStyle w:val="Compact"/>
            </w:pPr>
          </w:p>
        </w:tc>
      </w:tr>
      <w:tr>
        <w:tc>
          <w:tcPr/>
          <w:p>
            <w:pPr>
              <w:pStyle w:val="Compact"/>
            </w:pPr>
          </w:p>
        </w:tc>
        <w:tc>
          <w:tcPr/>
          <w:p>
            <w:pPr>
              <w:pStyle w:val="Compact"/>
              <w:jc w:val="left"/>
            </w:pPr>
            <w:r>
              <w:t xml:space="preserve">cardholder.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(3)</w:t>
            </w:r>
          </w:p>
        </w:tc>
        <w:tc>
          <w:tcPr/>
          <w:p>
            <w:pPr>
              <w:pStyle w:val="Compact"/>
              <w:jc w:val="left"/>
            </w:pPr>
            <w:r>
              <w:t xml:space="preserve">The</w:t>
            </w:r>
          </w:p>
        </w:tc>
        <w:tc>
          <w:tcPr/>
          <w:p>
            <w:pPr>
              <w:pStyle w:val="Compact"/>
              <w:jc w:val="left"/>
            </w:pPr>
            <w:r>
              <w:t xml:space="preserve">patient</w:t>
            </w:r>
          </w:p>
        </w:tc>
        <w:tc>
          <w:tcPr/>
          <w:p>
            <w:pPr>
              <w:pStyle w:val="Compact"/>
              <w:jc w:val="left"/>
            </w:pPr>
            <w:r>
              <w:t xml:space="preserve">cardholder shall apply</w:t>
            </w:r>
          </w:p>
        </w:tc>
        <w:tc>
          <w:tcPr/>
          <w:p>
            <w:pPr>
              <w:pStyle w:val="Compact"/>
              <w:jc w:val="left"/>
            </w:pPr>
            <w:r>
              <w:t xml:space="preserve">for a zoning certificate, and the patient</w:t>
            </w:r>
          </w:p>
        </w:tc>
        <w:tc>
          <w:tcPr/>
          <w:p>
            <w:pPr>
              <w:pStyle w:val="Compact"/>
            </w:pPr>
          </w:p>
        </w:tc>
        <w:tc>
          <w:tcPr/>
          <w:p>
            <w:pPr>
              <w:pStyle w:val="Compact"/>
            </w:pPr>
          </w:p>
        </w:tc>
      </w:tr>
      <w:tr>
        <w:tc>
          <w:tcPr/>
          <w:p>
            <w:pPr>
              <w:pStyle w:val="Compact"/>
            </w:pPr>
          </w:p>
        </w:tc>
        <w:tc>
          <w:tcPr/>
          <w:p>
            <w:pPr>
              <w:pStyle w:val="Compact"/>
              <w:jc w:val="left"/>
            </w:pPr>
            <w:r>
              <w:t xml:space="preserve">cardholder</w:t>
            </w:r>
          </w:p>
        </w:tc>
        <w:tc>
          <w:tcPr/>
          <w:p>
            <w:pPr>
              <w:pStyle w:val="Compact"/>
              <w:jc w:val="left"/>
            </w:pPr>
            <w:r>
              <w:t xml:space="preserve">or a</w:t>
            </w:r>
          </w:p>
        </w:tc>
        <w:tc>
          <w:tcPr/>
          <w:p>
            <w:pPr>
              <w:pStyle w:val="Compact"/>
              <w:jc w:val="left"/>
            </w:pPr>
            <w:r>
              <w:t xml:space="preserve">licensed</w:t>
            </w:r>
          </w:p>
        </w:tc>
        <w:tc>
          <w:tcPr/>
          <w:p>
            <w:pPr>
              <w:pStyle w:val="Compact"/>
            </w:pPr>
          </w:p>
        </w:tc>
        <w:tc>
          <w:tcPr/>
          <w:p>
            <w:pPr>
              <w:pStyle w:val="Compact"/>
              <w:jc w:val="left"/>
            </w:pPr>
            <w:r>
              <w:t xml:space="preserve">contractor shall apply for</w:t>
            </w:r>
          </w:p>
        </w:tc>
        <w:tc>
          <w:tcPr/>
          <w:p>
            <w:pPr>
              <w:pStyle w:val="Compact"/>
              <w:jc w:val="left"/>
            </w:pPr>
            <w:r>
              <w:t xml:space="preserve">all appropriate zoning, building,</w:t>
            </w:r>
          </w:p>
        </w:tc>
        <w:tc>
          <w:tcPr/>
          <w:p>
            <w:pPr>
              <w:pStyle w:val="Compact"/>
              <w:jc w:val="left"/>
            </w:pPr>
            <w:r>
              <w:t xml:space="preserve">electrical,</w:t>
            </w:r>
          </w:p>
        </w:tc>
        <w:tc>
          <w:tcPr/>
          <w:p>
            <w:pPr>
              <w:pStyle w:val="Compact"/>
            </w:pPr>
          </w:p>
        </w:tc>
      </w:tr>
      <w:tr>
        <w:tc>
          <w:tcPr/>
          <w:p>
            <w:pPr>
              <w:pStyle w:val="Compact"/>
            </w:pPr>
          </w:p>
        </w:tc>
        <w:tc>
          <w:tcPr/>
          <w:p>
            <w:pPr>
              <w:pStyle w:val="Compact"/>
              <w:jc w:val="left"/>
            </w:pPr>
            <w:r>
              <w:t xml:space="preserve">mechanical</w:t>
            </w:r>
          </w:p>
        </w:tc>
        <w:tc>
          <w:tcPr/>
          <w:p>
            <w:pPr>
              <w:pStyle w:val="Compact"/>
              <w:jc w:val="left"/>
            </w:pPr>
            <w:r>
              <w:t xml:space="preserve">and</w:t>
            </w:r>
          </w:p>
        </w:tc>
        <w:tc>
          <w:tcPr/>
          <w:p>
            <w:pPr>
              <w:pStyle w:val="Compact"/>
              <w:jc w:val="left"/>
            </w:pPr>
            <w:r>
              <w:t xml:space="preserve">plumbing</w:t>
            </w:r>
          </w:p>
        </w:tc>
        <w:tc>
          <w:tcPr/>
          <w:p>
            <w:pPr>
              <w:pStyle w:val="Compact"/>
            </w:pPr>
          </w:p>
        </w:tc>
        <w:tc>
          <w:tcPr/>
          <w:p>
            <w:pPr>
              <w:pStyle w:val="Compact"/>
              <w:jc w:val="left"/>
            </w:pPr>
            <w:r>
              <w:t xml:space="preserve">permits as required by</w:t>
            </w:r>
          </w:p>
        </w:tc>
        <w:tc>
          <w:tcPr/>
          <w:p>
            <w:pPr>
              <w:pStyle w:val="Compact"/>
              <w:jc w:val="left"/>
            </w:pPr>
            <w:r>
              <w:t xml:space="preserve">Code.[1] the Rhode Island State Building</w:t>
            </w:r>
          </w:p>
        </w:tc>
        <w:tc>
          <w:tcPr/>
          <w:p>
            <w:pPr>
              <w:pStyle w:val="Compact"/>
            </w:pPr>
          </w:p>
        </w:tc>
        <w:tc>
          <w:tcPr/>
          <w:p>
            <w:pPr>
              <w:pStyle w:val="Compact"/>
              <w:jc w:val="left"/>
            </w:pPr>
            <w:r>
              <w:t xml:space="preserve">The</w:t>
            </w:r>
          </w:p>
        </w:tc>
      </w:tr>
      <w:tr>
        <w:tc>
          <w:tcPr/>
          <w:p>
            <w:pPr>
              <w:pStyle w:val="Compact"/>
            </w:pPr>
          </w:p>
        </w:tc>
        <w:tc>
          <w:tcPr/>
          <w:p>
            <w:pPr>
              <w:pStyle w:val="Compact"/>
              <w:jc w:val="left"/>
            </w:pPr>
            <w:r>
              <w:t xml:space="preserve">Building</w:t>
            </w:r>
          </w:p>
        </w:tc>
        <w:tc>
          <w:tcPr/>
          <w:p>
            <w:pPr>
              <w:pStyle w:val="Compact"/>
              <w:jc w:val="left"/>
            </w:pPr>
            <w:r>
              <w:t xml:space="preserve">Official</w:t>
            </w:r>
          </w:p>
        </w:tc>
        <w:tc>
          <w:tcPr/>
          <w:p>
            <w:pPr>
              <w:pStyle w:val="Compact"/>
              <w:jc w:val="left"/>
            </w:pPr>
            <w:r>
              <w:t xml:space="preserve">shall</w:t>
            </w:r>
          </w:p>
        </w:tc>
        <w:tc>
          <w:tcPr/>
          <w:p>
            <w:pPr>
              <w:pStyle w:val="Compact"/>
            </w:pPr>
          </w:p>
        </w:tc>
        <w:tc>
          <w:tcPr/>
          <w:p>
            <w:pPr>
              <w:pStyle w:val="Compact"/>
              <w:jc w:val="left"/>
            </w:pPr>
            <w:r>
              <w:t xml:space="preserve">approve the application for</w:t>
            </w:r>
          </w:p>
        </w:tc>
        <w:tc>
          <w:tcPr/>
          <w:p>
            <w:pPr>
              <w:pStyle w:val="Compact"/>
              <w:jc w:val="left"/>
            </w:pPr>
            <w:r>
              <w:t xml:space="preserve">permits pursuant to RIGL 23-27-100.1</w:t>
            </w:r>
          </w:p>
        </w:tc>
        <w:tc>
          <w:tcPr/>
          <w:p>
            <w:pPr>
              <w:pStyle w:val="Compact"/>
            </w:pPr>
          </w:p>
        </w:tc>
        <w:tc>
          <w:tcPr/>
          <w:p>
            <w:pPr>
              <w:pStyle w:val="Compact"/>
              <w:jc w:val="left"/>
            </w:pPr>
            <w:r>
              <w:t xml:space="preserve">et seq.</w:t>
            </w:r>
          </w:p>
        </w:tc>
      </w:tr>
      <w:tr>
        <w:tc>
          <w:tcPr/>
          <w:p>
            <w:pPr>
              <w:pStyle w:val="Compact"/>
              <w:jc w:val="left"/>
            </w:pPr>
            <w:r>
              <w:t xml:space="preserve">All</w:t>
            </w:r>
          </w:p>
        </w:tc>
        <w:tc>
          <w:tcPr/>
          <w:p>
            <w:pPr>
              <w:pStyle w:val="Compact"/>
            </w:pPr>
          </w:p>
        </w:tc>
        <w:tc>
          <w:tcPr/>
          <w:p>
            <w:pPr>
              <w:pStyle w:val="Compact"/>
              <w:jc w:val="left"/>
            </w:pPr>
            <w:r>
              <w:t xml:space="preserve">permits</w:t>
            </w:r>
          </w:p>
        </w:tc>
        <w:tc>
          <w:tcPr/>
          <w:p>
            <w:pPr>
              <w:pStyle w:val="Compact"/>
              <w:jc w:val="left"/>
            </w:pPr>
            <w:r>
              <w:t xml:space="preserve">applied for</w:t>
            </w:r>
          </w:p>
        </w:tc>
        <w:tc>
          <w:tcPr/>
          <w:p>
            <w:pPr>
              <w:pStyle w:val="Compact"/>
              <w:jc w:val="left"/>
            </w:pPr>
            <w:r>
              <w:t xml:space="preserve">in</w:t>
            </w:r>
          </w:p>
        </w:tc>
        <w:tc>
          <w:tcPr/>
          <w:p>
            <w:pPr>
              <w:pStyle w:val="Compact"/>
              <w:jc w:val="left"/>
            </w:pPr>
            <w:r>
              <w:t xml:space="preserve">furtherance of the Act</w:t>
            </w:r>
          </w:p>
        </w:tc>
        <w:tc>
          <w:tcPr/>
          <w:p>
            <w:pPr>
              <w:pStyle w:val="Compact"/>
              <w:jc w:val="left"/>
            </w:pPr>
            <w:r>
              <w:t xml:space="preserve">shall be sealed and kept confidential by</w:t>
            </w:r>
          </w:p>
        </w:tc>
        <w:tc>
          <w:tcPr/>
          <w:p>
            <w:pPr>
              <w:pStyle w:val="Compact"/>
            </w:pPr>
          </w:p>
        </w:tc>
        <w:tc>
          <w:tcPr/>
          <w:p>
            <w:pPr>
              <w:pStyle w:val="Compact"/>
              <w:jc w:val="left"/>
            </w:pPr>
            <w:r>
              <w:t xml:space="preserve">the</w:t>
            </w:r>
          </w:p>
        </w:tc>
      </w:tr>
      <w:tr>
        <w:tc>
          <w:tcPr/>
          <w:p>
            <w:pPr>
              <w:pStyle w:val="Compact"/>
            </w:pPr>
          </w:p>
        </w:tc>
        <w:tc>
          <w:tcPr/>
          <w:p>
            <w:pPr>
              <w:pStyle w:val="Compact"/>
              <w:jc w:val="left"/>
            </w:pPr>
            <w:r>
              <w:t xml:space="preserve">Building</w:t>
            </w:r>
          </w:p>
        </w:tc>
        <w:tc>
          <w:tcPr/>
          <w:p>
            <w:pPr>
              <w:pStyle w:val="Compact"/>
              <w:jc w:val="left"/>
            </w:pPr>
            <w:r>
              <w:t xml:space="preserve">Official</w:t>
            </w:r>
          </w:p>
        </w:tc>
        <w:tc>
          <w:tcPr/>
          <w:p>
            <w:pPr>
              <w:pStyle w:val="Compact"/>
              <w:jc w:val="left"/>
            </w:pPr>
            <w:r>
              <w:t xml:space="preserve">and</w:t>
            </w:r>
          </w:p>
        </w:tc>
        <w:tc>
          <w:tcPr/>
          <w:p>
            <w:pPr>
              <w:pStyle w:val="Compact"/>
              <w:jc w:val="left"/>
            </w:pPr>
            <w:r>
              <w:t xml:space="preserve">are</w:t>
            </w:r>
          </w:p>
        </w:tc>
        <w:tc>
          <w:tcPr/>
          <w:p>
            <w:pPr>
              <w:pStyle w:val="Compact"/>
              <w:jc w:val="left"/>
            </w:pPr>
            <w:r>
              <w:t xml:space="preserve">not subject to review by</w:t>
            </w:r>
          </w:p>
        </w:tc>
        <w:tc>
          <w:tcPr/>
          <w:p>
            <w:pPr>
              <w:pStyle w:val="Compact"/>
              <w:jc w:val="left"/>
            </w:pPr>
            <w:r>
              <w:t xml:space="preserve">any party other than the cardholder.</w:t>
            </w:r>
          </w:p>
        </w:tc>
        <w:tc>
          <w:tcPr/>
          <w:p>
            <w:pPr>
              <w:pStyle w:val="Compact"/>
            </w:pPr>
          </w:p>
        </w:tc>
        <w:tc>
          <w:tcPr/>
          <w:p>
            <w:pPr>
              <w:pStyle w:val="Compact"/>
            </w:pPr>
          </w:p>
        </w:tc>
      </w:tr>
      <w:tr>
        <w:tc>
          <w:tcPr/>
          <w:p>
            <w:pPr>
              <w:pStyle w:val="Compact"/>
              <w:jc w:val="left"/>
            </w:pPr>
            <w:r>
              <w:t xml:space="preserve">[1]</w:t>
            </w:r>
          </w:p>
        </w:tc>
        <w:tc>
          <w:tcPr/>
          <w:p>
            <w:pPr>
              <w:pStyle w:val="Compact"/>
              <w:jc w:val="left"/>
            </w:pPr>
            <w:r>
              <w:t xml:space="preserve">Editor's</w:t>
            </w:r>
          </w:p>
        </w:tc>
        <w:tc>
          <w:tcPr/>
          <w:p>
            <w:pPr>
              <w:pStyle w:val="Compact"/>
              <w:jc w:val="left"/>
            </w:pPr>
            <w:r>
              <w:t xml:space="preserve">Note:</w:t>
            </w:r>
          </w:p>
        </w:tc>
        <w:tc>
          <w:tcPr/>
          <w:p>
            <w:pPr>
              <w:pStyle w:val="Compact"/>
              <w:jc w:val="left"/>
            </w:pPr>
            <w:r>
              <w:t xml:space="preserve">See Ch.</w:t>
            </w:r>
          </w:p>
        </w:tc>
        <w:tc>
          <w:tcPr/>
          <w:p>
            <w:pPr>
              <w:pStyle w:val="Compact"/>
              <w:jc w:val="left"/>
            </w:pPr>
            <w:r>
              <w:t xml:space="preserve">90,</w:t>
            </w:r>
          </w:p>
        </w:tc>
        <w:tc>
          <w:tcPr/>
          <w:p>
            <w:pPr>
              <w:pStyle w:val="Compact"/>
              <w:jc w:val="left"/>
            </w:pPr>
            <w:r>
              <w:t xml:space="preserve">Building Construction, Art.</w:t>
            </w:r>
          </w:p>
        </w:tc>
        <w:tc>
          <w:tcPr/>
          <w:p>
            <w:pPr>
              <w:pStyle w:val="Compact"/>
              <w:jc w:val="left"/>
            </w:pPr>
            <w:r>
              <w:t xml:space="preserve">I, State Building Code.</w:t>
            </w:r>
          </w:p>
        </w:tc>
        <w:tc>
          <w:tcPr/>
          <w:p>
            <w:pPr>
              <w:pStyle w:val="Compact"/>
            </w:pPr>
          </w:p>
        </w:tc>
        <w:tc>
          <w:tcPr/>
          <w:p>
            <w:pPr>
              <w:pStyle w:val="Compact"/>
            </w:pPr>
          </w:p>
        </w:tc>
      </w:tr>
      <w:tr>
        <w:tc>
          <w:tcPr/>
          <w:p>
            <w:pPr>
              <w:pStyle w:val="Compact"/>
            </w:pPr>
          </w:p>
        </w:tc>
        <w:tc>
          <w:tcPr/>
          <w:p>
            <w:pPr>
              <w:pStyle w:val="Compact"/>
              <w:jc w:val="left"/>
            </w:pPr>
            <w:r>
              <w:t xml:space="preserve">(b)</w:t>
            </w:r>
          </w:p>
        </w:tc>
        <w:tc>
          <w:tcPr/>
          <w:p>
            <w:pPr>
              <w:pStyle w:val="Compact"/>
              <w:jc w:val="left"/>
            </w:pPr>
            <w:r>
              <w:t xml:space="preserve">In addition</w:t>
            </w:r>
          </w:p>
        </w:tc>
        <w:tc>
          <w:tcPr/>
          <w:p>
            <w:pPr>
              <w:pStyle w:val="Compact"/>
              <w:jc w:val="left"/>
            </w:pPr>
            <w:r>
              <w:t xml:space="preserve">to</w:t>
            </w:r>
          </w:p>
        </w:tc>
        <w:tc>
          <w:tcPr/>
          <w:p>
            <w:pPr>
              <w:pStyle w:val="Compact"/>
              <w:jc w:val="left"/>
            </w:pPr>
            <w:r>
              <w:t xml:space="preserve">the</w:t>
            </w:r>
          </w:p>
        </w:tc>
        <w:tc>
          <w:tcPr/>
          <w:p>
            <w:pPr>
              <w:pStyle w:val="Compact"/>
              <w:jc w:val="left"/>
            </w:pPr>
            <w:r>
              <w:t xml:space="preserve">requirements above,</w:t>
            </w:r>
          </w:p>
        </w:tc>
        <w:tc>
          <w:tcPr/>
          <w:p>
            <w:pPr>
              <w:pStyle w:val="Compact"/>
              <w:jc w:val="left"/>
            </w:pPr>
            <w:r>
              <w:t xml:space="preserve">the patient cardholder shall demonstrate</w:t>
            </w:r>
          </w:p>
        </w:tc>
        <w:tc>
          <w:tcPr/>
          <w:p>
            <w:pPr>
              <w:pStyle w:val="Compact"/>
            </w:pPr>
          </w:p>
        </w:tc>
        <w:tc>
          <w:tcPr/>
          <w:p>
            <w:pPr>
              <w:pStyle w:val="Compact"/>
              <w:jc w:val="left"/>
            </w:pPr>
            <w:r>
              <w:t xml:space="preserve">to</w:t>
            </w:r>
          </w:p>
        </w:tc>
      </w:tr>
      <w:tr>
        <w:tc>
          <w:tcPr/>
          <w:p>
            <w:pPr>
              <w:pStyle w:val="Compact"/>
              <w:jc w:val="left"/>
            </w:pPr>
            <w:r>
              <w:t xml:space="preserve">the</w:t>
            </w:r>
          </w:p>
        </w:tc>
        <w:tc>
          <w:tcPr/>
          <w:p>
            <w:pPr>
              <w:pStyle w:val="Compact"/>
            </w:pPr>
          </w:p>
        </w:tc>
        <w:tc>
          <w:tcPr/>
          <w:p>
            <w:pPr>
              <w:pStyle w:val="Compact"/>
              <w:jc w:val="left"/>
            </w:pPr>
            <w:r>
              <w:t xml:space="preserve">Building</w:t>
            </w:r>
          </w:p>
        </w:tc>
        <w:tc>
          <w:tcPr/>
          <w:p>
            <w:pPr>
              <w:pStyle w:val="Compact"/>
              <w:jc w:val="left"/>
            </w:pPr>
            <w:r>
              <w:t xml:space="preserve">Official</w:t>
            </w:r>
          </w:p>
        </w:tc>
        <w:tc>
          <w:tcPr/>
          <w:p>
            <w:pPr>
              <w:pStyle w:val="Compact"/>
              <w:jc w:val="left"/>
            </w:pPr>
            <w:r>
              <w:t xml:space="preserve">that</w:t>
            </w:r>
          </w:p>
        </w:tc>
        <w:tc>
          <w:tcPr/>
          <w:p>
            <w:pPr>
              <w:pStyle w:val="Compact"/>
              <w:jc w:val="left"/>
            </w:pPr>
            <w:r>
              <w:t xml:space="preserve">the following requirements</w:t>
            </w:r>
          </w:p>
        </w:tc>
        <w:tc>
          <w:tcPr/>
          <w:p>
            <w:pPr>
              <w:pStyle w:val="Compact"/>
              <w:jc w:val="left"/>
            </w:pPr>
            <w:r>
              <w:t xml:space="preserve">have been met:</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(1)</w:t>
            </w:r>
          </w:p>
        </w:tc>
        <w:tc>
          <w:tcPr/>
          <w:p>
            <w:pPr>
              <w:pStyle w:val="Compact"/>
              <w:jc w:val="left"/>
            </w:pPr>
            <w:r>
              <w:t xml:space="preserve">That the</w:t>
            </w:r>
          </w:p>
        </w:tc>
        <w:tc>
          <w:tcPr/>
          <w:p>
            <w:pPr>
              <w:pStyle w:val="Compact"/>
            </w:pPr>
          </w:p>
        </w:tc>
        <w:tc>
          <w:tcPr/>
          <w:p>
            <w:pPr>
              <w:pStyle w:val="Compact"/>
              <w:jc w:val="left"/>
            </w:pPr>
            <w:r>
              <w:t xml:space="preserve">area used for growing is</w:t>
            </w:r>
          </w:p>
        </w:tc>
        <w:tc>
          <w:tcPr/>
          <w:p>
            <w:pPr>
              <w:pStyle w:val="Compact"/>
              <w:jc w:val="left"/>
            </w:pPr>
            <w:r>
              <w:t xml:space="preserve">secured by locked doors;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(2)</w:t>
            </w:r>
          </w:p>
        </w:tc>
        <w:tc>
          <w:tcPr/>
          <w:p>
            <w:pPr>
              <w:pStyle w:val="Compact"/>
              <w:jc w:val="left"/>
            </w:pPr>
            <w:r>
              <w:t xml:space="preserve">That the</w:t>
            </w:r>
          </w:p>
        </w:tc>
        <w:tc>
          <w:tcPr/>
          <w:p>
            <w:pPr>
              <w:pStyle w:val="Compact"/>
            </w:pPr>
          </w:p>
        </w:tc>
        <w:tc>
          <w:tcPr/>
          <w:p>
            <w:pPr>
              <w:pStyle w:val="Compact"/>
              <w:jc w:val="left"/>
            </w:pPr>
            <w:r>
              <w:t xml:space="preserve">area used for growing has</w:t>
            </w:r>
          </w:p>
        </w:tc>
        <w:tc>
          <w:tcPr/>
          <w:p>
            <w:pPr>
              <w:pStyle w:val="Compact"/>
              <w:jc w:val="left"/>
            </w:pPr>
            <w:r>
              <w:t xml:space="preserve">two means of egress;</w:t>
            </w: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(3)</w:t>
            </w:r>
          </w:p>
        </w:tc>
        <w:tc>
          <w:tcPr/>
          <w:p>
            <w:pPr>
              <w:pStyle w:val="Compact"/>
              <w:jc w:val="left"/>
            </w:pPr>
            <w:r>
              <w:t xml:space="preserve">That the</w:t>
            </w:r>
          </w:p>
        </w:tc>
        <w:tc>
          <w:tcPr/>
          <w:p>
            <w:pPr>
              <w:pStyle w:val="Compact"/>
            </w:pPr>
          </w:p>
        </w:tc>
        <w:tc>
          <w:tcPr/>
          <w:p>
            <w:pPr>
              <w:pStyle w:val="Compact"/>
              <w:jc w:val="left"/>
            </w:pPr>
            <w:r>
              <w:t xml:space="preserve">area used for growing</w:t>
            </w:r>
          </w:p>
        </w:tc>
        <w:tc>
          <w:tcPr/>
          <w:p>
            <w:pPr>
              <w:pStyle w:val="Compact"/>
              <w:jc w:val="left"/>
            </w:pPr>
            <w:r>
              <w:t xml:space="preserve">shall not be within 10 feet of a heating</w:t>
            </w:r>
          </w:p>
        </w:tc>
        <w:tc>
          <w:tcPr/>
          <w:p>
            <w:pPr>
              <w:pStyle w:val="Compact"/>
            </w:pPr>
          </w:p>
        </w:tc>
        <w:tc>
          <w:tcPr/>
          <w:p>
            <w:pPr>
              <w:pStyle w:val="Compact"/>
              <w:jc w:val="left"/>
            </w:pPr>
            <w:r>
              <w:t xml:space="preserve">or other</w:t>
            </w:r>
          </w:p>
        </w:tc>
      </w:tr>
      <w:tr>
        <w:tc>
          <w:tcPr/>
          <w:p>
            <w:pPr>
              <w:pStyle w:val="Compact"/>
            </w:pPr>
          </w:p>
        </w:tc>
        <w:tc>
          <w:tcPr/>
          <w:p>
            <w:pPr>
              <w:pStyle w:val="Compact"/>
              <w:jc w:val="left"/>
            </w:pPr>
            <w:r>
              <w:t xml:space="preserve">ignition</w:t>
            </w:r>
          </w:p>
        </w:tc>
        <w:tc>
          <w:tcPr/>
          <w:p>
            <w:pPr>
              <w:pStyle w:val="Compact"/>
              <w:jc w:val="left"/>
            </w:pPr>
            <w:r>
              <w:t xml:space="preserve">source</w:t>
            </w:r>
          </w:p>
        </w:tc>
        <w:tc>
          <w:tcPr/>
          <w:p>
            <w:pPr>
              <w:pStyle w:val="Compact"/>
              <w:jc w:val="left"/>
            </w:pPr>
            <w:r>
              <w:t xml:space="preserve">such as</w:t>
            </w:r>
          </w:p>
        </w:tc>
        <w:tc>
          <w:tcPr/>
          <w:p>
            <w:pPr>
              <w:pStyle w:val="Compact"/>
              <w:jc w:val="left"/>
            </w:pPr>
            <w:r>
              <w:t xml:space="preserve">an</w:t>
            </w:r>
          </w:p>
        </w:tc>
        <w:tc>
          <w:tcPr/>
          <w:p>
            <w:pPr>
              <w:pStyle w:val="Compact"/>
              <w:jc w:val="left"/>
            </w:pPr>
            <w:r>
              <w:t xml:space="preserve">electric, propane, natural</w:t>
            </w:r>
          </w:p>
        </w:tc>
        <w:tc>
          <w:tcPr/>
          <w:p>
            <w:pPr>
              <w:pStyle w:val="Compact"/>
              <w:jc w:val="left"/>
            </w:pPr>
            <w:r>
              <w:t xml:space="preserve">gas or oil-fired furnace or heater or as</w:t>
            </w:r>
          </w:p>
        </w:tc>
        <w:tc>
          <w:tcPr/>
          <w:p>
            <w:pPr>
              <w:pStyle w:val="Compact"/>
            </w:pPr>
          </w:p>
        </w:tc>
        <w:tc>
          <w:tcPr/>
          <w:p>
            <w:pPr>
              <w:pStyle w:val="Compact"/>
              <w:jc w:val="left"/>
            </w:pPr>
            <w:r>
              <w:t xml:space="preserve">required</w:t>
            </w:r>
          </w:p>
        </w:tc>
      </w:tr>
      <w:tr>
        <w:tc>
          <w:tcPr/>
          <w:p>
            <w:pPr>
              <w:pStyle w:val="Compact"/>
              <w:jc w:val="left"/>
            </w:pPr>
            <w:r>
              <w:t xml:space="preserve">per</w:t>
            </w:r>
          </w:p>
        </w:tc>
        <w:tc>
          <w:tcPr/>
          <w:p>
            <w:pPr>
              <w:pStyle w:val="Compact"/>
            </w:pPr>
          </w:p>
        </w:tc>
        <w:tc>
          <w:tcPr/>
          <w:p>
            <w:pPr>
              <w:pStyle w:val="Compact"/>
              <w:jc w:val="left"/>
            </w:pPr>
            <w:r>
              <w:t xml:space="preserve">manufacturer</w:t>
            </w:r>
          </w:p>
        </w:tc>
        <w:tc>
          <w:tcPr/>
          <w:p>
            <w:pPr>
              <w:pStyle w:val="Compact"/>
            </w:pPr>
          </w:p>
        </w:tc>
        <w:tc>
          <w:tcPr/>
          <w:p>
            <w:pPr>
              <w:pStyle w:val="Compact"/>
              <w:jc w:val="left"/>
            </w:pPr>
            <w:r>
              <w:t xml:space="preserve">specifications</w:t>
            </w:r>
          </w:p>
        </w:tc>
        <w:tc>
          <w:tcPr/>
          <w:p>
            <w:pPr>
              <w:pStyle w:val="Compact"/>
              <w:jc w:val="left"/>
            </w:pPr>
            <w:r>
              <w:t xml:space="preserve">of such source;</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(4)</w:t>
            </w:r>
          </w:p>
        </w:tc>
        <w:tc>
          <w:tcPr/>
          <w:p>
            <w:pPr>
              <w:pStyle w:val="Compact"/>
              <w:jc w:val="left"/>
            </w:pPr>
            <w:r>
              <w:t xml:space="preserve">That the</w:t>
            </w:r>
          </w:p>
        </w:tc>
        <w:tc>
          <w:tcPr/>
          <w:p>
            <w:pPr>
              <w:pStyle w:val="Compact"/>
            </w:pPr>
          </w:p>
        </w:tc>
        <w:tc>
          <w:tcPr/>
          <w:p>
            <w:pPr>
              <w:pStyle w:val="Compact"/>
              <w:jc w:val="left"/>
            </w:pPr>
            <w:r>
              <w:t xml:space="preserve">area used for growing shall</w:t>
            </w:r>
          </w:p>
        </w:tc>
        <w:tc>
          <w:tcPr/>
          <w:p>
            <w:pPr>
              <w:pStyle w:val="Compact"/>
              <w:jc w:val="left"/>
            </w:pPr>
            <w:r>
              <w:t xml:space="preserve">have proper ventilation to mitigate</w:t>
            </w:r>
          </w:p>
        </w:tc>
        <w:tc>
          <w:tcPr/>
          <w:p>
            <w:pPr>
              <w:pStyle w:val="Compact"/>
              <w:jc w:val="left"/>
            </w:pPr>
            <w:r>
              <w:t xml:space="preserve">the</w:t>
            </w:r>
          </w:p>
        </w:tc>
        <w:tc>
          <w:tcPr/>
          <w:p>
            <w:pPr>
              <w:pStyle w:val="Compact"/>
              <w:jc w:val="left"/>
            </w:pPr>
            <w:r>
              <w:t xml:space="preserve">risk of</w:t>
            </w:r>
          </w:p>
        </w:tc>
      </w:tr>
      <w:tr>
        <w:tc>
          <w:tcPr/>
          <w:p>
            <w:pPr>
              <w:pStyle w:val="Compact"/>
              <w:jc w:val="left"/>
            </w:pPr>
            <w:r>
              <w:t xml:space="preserve">mold;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(5)</w:t>
            </w:r>
          </w:p>
        </w:tc>
        <w:tc>
          <w:tcPr/>
          <w:p>
            <w:pPr>
              <w:pStyle w:val="Compact"/>
              <w:jc w:val="left"/>
            </w:pPr>
            <w:r>
              <w:t xml:space="preserve">That the</w:t>
            </w:r>
          </w:p>
        </w:tc>
        <w:tc>
          <w:tcPr/>
          <w:p>
            <w:pPr>
              <w:pStyle w:val="Compact"/>
            </w:pPr>
          </w:p>
        </w:tc>
        <w:tc>
          <w:tcPr/>
          <w:p>
            <w:pPr>
              <w:pStyle w:val="Compact"/>
              <w:jc w:val="left"/>
            </w:pPr>
            <w:r>
              <w:t xml:space="preserve">area used for growing shall</w:t>
            </w:r>
          </w:p>
        </w:tc>
        <w:tc>
          <w:tcPr/>
          <w:p>
            <w:pPr>
              <w:pStyle w:val="Compact"/>
              <w:jc w:val="left"/>
            </w:pPr>
            <w:r>
              <w:t xml:space="preserve">have carbon filters installed to reduce</w:t>
            </w:r>
          </w:p>
        </w:tc>
        <w:tc>
          <w:tcPr/>
          <w:p>
            <w:pPr>
              <w:pStyle w:val="Compact"/>
            </w:pPr>
          </w:p>
        </w:tc>
        <w:tc>
          <w:tcPr/>
          <w:p>
            <w:pPr>
              <w:pStyle w:val="Compact"/>
              <w:jc w:val="left"/>
            </w:pPr>
            <w:r>
              <w:t xml:space="preserve">odors;</w:t>
            </w:r>
          </w:p>
        </w:tc>
      </w:tr>
      <w:tr>
        <w:tc>
          <w:tcPr/>
          <w:p>
            <w:pPr>
              <w:pStyle w:val="Compact"/>
            </w:pPr>
          </w:p>
        </w:tc>
        <w:tc>
          <w:tcPr/>
          <w:p>
            <w:pPr>
              <w:pStyle w:val="Compact"/>
            </w:pPr>
          </w:p>
        </w:tc>
        <w:tc>
          <w:tcPr/>
          <w:p>
            <w:pPr>
              <w:pStyle w:val="Compact"/>
              <w:jc w:val="left"/>
            </w:pPr>
            <w:r>
              <w:t xml:space="preserve">(6)</w:t>
            </w:r>
          </w:p>
        </w:tc>
        <w:tc>
          <w:tcPr/>
          <w:p>
            <w:pPr>
              <w:pStyle w:val="Compact"/>
              <w:jc w:val="left"/>
            </w:pPr>
            <w:r>
              <w:t xml:space="preserve">That</w:t>
            </w:r>
          </w:p>
        </w:tc>
        <w:tc>
          <w:tcPr/>
          <w:p>
            <w:pPr>
              <w:pStyle w:val="Compact"/>
              <w:jc w:val="left"/>
            </w:pPr>
            <w:r>
              <w:t xml:space="preserve">smoke</w:t>
            </w:r>
          </w:p>
        </w:tc>
        <w:tc>
          <w:tcPr/>
          <w:p>
            <w:pPr>
              <w:pStyle w:val="Compact"/>
              <w:jc w:val="left"/>
            </w:pPr>
            <w:r>
              <w:t xml:space="preserve">alarms/detectors are</w:t>
            </w:r>
          </w:p>
        </w:tc>
        <w:tc>
          <w:tcPr/>
          <w:p>
            <w:pPr>
              <w:pStyle w:val="Compact"/>
              <w:jc w:val="left"/>
            </w:pPr>
            <w:r>
              <w:t xml:space="preserve">installed in accordance with the State</w:t>
            </w:r>
          </w:p>
        </w:tc>
        <w:tc>
          <w:tcPr/>
          <w:p>
            <w:pPr>
              <w:pStyle w:val="Compact"/>
              <w:jc w:val="left"/>
            </w:pPr>
            <w:r>
              <w:t xml:space="preserve">Fire</w:t>
            </w:r>
          </w:p>
        </w:tc>
        <w:tc>
          <w:tcPr/>
          <w:p>
            <w:pPr>
              <w:pStyle w:val="Compact"/>
              <w:jc w:val="left"/>
            </w:pPr>
            <w:r>
              <w:t xml:space="preserve">Code</w:t>
            </w:r>
          </w:p>
        </w:tc>
      </w:tr>
      <w:tr>
        <w:tc>
          <w:tcPr/>
          <w:p>
            <w:pPr>
              <w:pStyle w:val="Compact"/>
              <w:jc w:val="left"/>
            </w:pPr>
            <w:r>
              <w:t xml:space="preserve">and/or</w:t>
            </w:r>
          </w:p>
        </w:tc>
        <w:tc>
          <w:tcPr/>
          <w:p>
            <w:pPr>
              <w:pStyle w:val="Compact"/>
            </w:pPr>
          </w:p>
        </w:tc>
        <w:tc>
          <w:tcPr/>
          <w:p>
            <w:pPr>
              <w:pStyle w:val="Compact"/>
              <w:jc w:val="left"/>
            </w:pPr>
            <w:r>
              <w:t xml:space="preserve">to the</w:t>
            </w:r>
          </w:p>
        </w:tc>
        <w:tc>
          <w:tcPr/>
          <w:p>
            <w:pPr>
              <w:pStyle w:val="Compact"/>
              <w:jc w:val="left"/>
            </w:pPr>
            <w:r>
              <w:t xml:space="preserve">satisfaction</w:t>
            </w:r>
          </w:p>
        </w:tc>
        <w:tc>
          <w:tcPr/>
          <w:p>
            <w:pPr>
              <w:pStyle w:val="Compact"/>
            </w:pPr>
          </w:p>
        </w:tc>
        <w:tc>
          <w:tcPr/>
          <w:p>
            <w:pPr>
              <w:pStyle w:val="Compact"/>
              <w:jc w:val="left"/>
            </w:pPr>
            <w:r>
              <w:t xml:space="preserve">of the Fire Department.</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(7)</w:t>
            </w:r>
          </w:p>
        </w:tc>
        <w:tc>
          <w:tcPr/>
          <w:p>
            <w:pPr>
              <w:pStyle w:val="Compact"/>
              <w:jc w:val="left"/>
            </w:pPr>
            <w:r>
              <w:t xml:space="preserve">Zoning</w:t>
            </w:r>
          </w:p>
        </w:tc>
        <w:tc>
          <w:tcPr/>
          <w:p>
            <w:pPr>
              <w:pStyle w:val="Compact"/>
            </w:pPr>
          </w:p>
        </w:tc>
        <w:tc>
          <w:tcPr/>
          <w:p>
            <w:pPr>
              <w:pStyle w:val="Compact"/>
              <w:jc w:val="left"/>
            </w:pPr>
            <w:r>
              <w:t xml:space="preserve">certificates, Fire Department</w:t>
            </w:r>
          </w:p>
        </w:tc>
        <w:tc>
          <w:tcPr/>
          <w:p>
            <w:pPr>
              <w:pStyle w:val="Compact"/>
              <w:jc w:val="left"/>
            </w:pPr>
            <w:r>
              <w:t xml:space="preserve">inspection and/or review, or building/trade</w:t>
            </w:r>
          </w:p>
        </w:tc>
        <w:tc>
          <w:tcPr/>
          <w:p>
            <w:pPr>
              <w:pStyle w:val="Compact"/>
            </w:pPr>
          </w:p>
        </w:tc>
        <w:tc>
          <w:tcPr/>
          <w:p>
            <w:pPr>
              <w:pStyle w:val="Compact"/>
            </w:pPr>
          </w:p>
        </w:tc>
      </w:tr>
      <w:tr>
        <w:tc>
          <w:tcPr/>
          <w:p>
            <w:pPr>
              <w:pStyle w:val="Compact"/>
            </w:pPr>
          </w:p>
        </w:tc>
        <w:tc>
          <w:tcPr/>
          <w:p>
            <w:pPr>
              <w:pStyle w:val="Compact"/>
              <w:jc w:val="left"/>
            </w:pPr>
            <w:r>
              <w:t xml:space="preserve">permits,</w:t>
            </w:r>
          </w:p>
        </w:tc>
        <w:tc>
          <w:tcPr/>
          <w:p>
            <w:pPr>
              <w:pStyle w:val="Compact"/>
              <w:jc w:val="left"/>
            </w:pPr>
            <w:r>
              <w:t xml:space="preserve">are not</w:t>
            </w:r>
          </w:p>
        </w:tc>
        <w:tc>
          <w:tcPr/>
          <w:p>
            <w:pPr>
              <w:pStyle w:val="Compact"/>
              <w:jc w:val="left"/>
            </w:pPr>
            <w:r>
              <w:t xml:space="preserve">required</w:t>
            </w:r>
          </w:p>
        </w:tc>
        <w:tc>
          <w:tcPr/>
          <w:p>
            <w:pPr>
              <w:pStyle w:val="Compact"/>
            </w:pPr>
          </w:p>
        </w:tc>
        <w:tc>
          <w:tcPr/>
          <w:p>
            <w:pPr>
              <w:pStyle w:val="Compact"/>
              <w:jc w:val="left"/>
            </w:pPr>
            <w:r>
              <w:t xml:space="preserve">for patient cardholders</w:t>
            </w:r>
          </w:p>
        </w:tc>
        <w:tc>
          <w:tcPr/>
          <w:p>
            <w:pPr>
              <w:pStyle w:val="Compact"/>
              <w:jc w:val="left"/>
            </w:pPr>
            <w:r>
              <w:t xml:space="preserve">cultivating marijuana by natural means</w:t>
            </w:r>
          </w:p>
        </w:tc>
        <w:tc>
          <w:tcPr/>
          <w:p>
            <w:pPr>
              <w:pStyle w:val="Compact"/>
            </w:pPr>
          </w:p>
        </w:tc>
        <w:tc>
          <w:tcPr/>
          <w:p>
            <w:pPr>
              <w:pStyle w:val="Compact"/>
              <w:jc w:val="left"/>
            </w:pPr>
            <w:r>
              <w:t xml:space="preserve">that do</w:t>
            </w:r>
          </w:p>
        </w:tc>
      </w:tr>
    </w:tbl>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not make</w:t>
            </w:r>
          </w:p>
        </w:tc>
        <w:tc>
          <w:tcPr/>
          <w:p>
            <w:pPr>
              <w:pStyle w:val="Compact"/>
            </w:pPr>
          </w:p>
        </w:tc>
        <w:tc>
          <w:tcPr/>
          <w:p>
            <w:pPr>
              <w:pStyle w:val="Compact"/>
              <w:jc w:val="left"/>
            </w:pPr>
            <w:r>
              <w:t xml:space="preserve">modifications</w:t>
            </w:r>
          </w:p>
        </w:tc>
        <w:tc>
          <w:tcPr/>
          <w:p>
            <w:pPr>
              <w:pStyle w:val="Compact"/>
              <w:jc w:val="left"/>
            </w:pPr>
            <w:r>
              <w:t xml:space="preserve">to existing electrical</w:t>
            </w:r>
          </w:p>
        </w:tc>
        <w:tc>
          <w:tcPr/>
          <w:p>
            <w:pPr>
              <w:pStyle w:val="Compact"/>
              <w:jc w:val="left"/>
            </w:pPr>
            <w:r>
              <w:t xml:space="preserve">capacity, mechanical or plumbing services in their</w:t>
            </w:r>
          </w:p>
        </w:tc>
        <w:tc>
          <w:tcPr/>
          <w:p>
            <w:pPr>
              <w:pStyle w:val="Compact"/>
            </w:pPr>
          </w:p>
        </w:tc>
      </w:tr>
      <w:tr>
        <w:tc>
          <w:tcPr/>
          <w:p>
            <w:pPr>
              <w:pStyle w:val="Compact"/>
              <w:jc w:val="left"/>
            </w:pPr>
            <w:r>
              <w:t xml:space="preserve">place of</w:t>
            </w:r>
          </w:p>
        </w:tc>
        <w:tc>
          <w:tcPr/>
          <w:p>
            <w:pPr>
              <w:pStyle w:val="Compact"/>
              <w:jc w:val="left"/>
            </w:pPr>
            <w:r>
              <w:t xml:space="preserve">primary</w:t>
            </w:r>
          </w:p>
        </w:tc>
        <w:tc>
          <w:tcPr/>
          <w:p>
            <w:pPr>
              <w:pStyle w:val="Compact"/>
              <w:jc w:val="left"/>
            </w:pPr>
            <w:r>
              <w:t xml:space="preserve">residence</w:t>
            </w:r>
          </w:p>
        </w:tc>
        <w:tc>
          <w:tcPr/>
          <w:p>
            <w:pPr>
              <w:pStyle w:val="Compact"/>
              <w:jc w:val="left"/>
            </w:pPr>
            <w:r>
              <w:t xml:space="preserve">in a residential</w:t>
            </w:r>
          </w:p>
        </w:tc>
        <w:tc>
          <w:tcPr/>
          <w:p>
            <w:pPr>
              <w:pStyle w:val="Compact"/>
              <w:jc w:val="left"/>
            </w:pPr>
            <w:r>
              <w:t xml:space="preserve">zoning district.</w:t>
            </w:r>
          </w:p>
        </w:tc>
        <w:tc>
          <w:tcPr/>
          <w:p>
            <w:pPr>
              <w:pStyle w:val="Compact"/>
            </w:pPr>
          </w:p>
        </w:tc>
      </w:tr>
      <w:tr>
        <w:tc>
          <w:tcPr/>
          <w:p>
            <w:pPr>
              <w:pStyle w:val="Compact"/>
            </w:pPr>
          </w:p>
        </w:tc>
        <w:tc>
          <w:tcPr/>
          <w:p>
            <w:pPr>
              <w:pStyle w:val="Compact"/>
              <w:jc w:val="left"/>
            </w:pPr>
            <w:r>
              <w:t xml:space="preserve">(8)</w:t>
            </w:r>
          </w:p>
        </w:tc>
        <w:tc>
          <w:tcPr/>
          <w:p>
            <w:pPr>
              <w:pStyle w:val="Compact"/>
              <w:jc w:val="left"/>
            </w:pPr>
            <w:r>
              <w:t xml:space="preserve">Possession</w:t>
            </w:r>
          </w:p>
        </w:tc>
        <w:tc>
          <w:tcPr/>
          <w:p>
            <w:pPr>
              <w:pStyle w:val="Compact"/>
              <w:jc w:val="left"/>
            </w:pPr>
            <w:r>
              <w:t xml:space="preserve">limits. Patient</w:t>
            </w:r>
          </w:p>
        </w:tc>
        <w:tc>
          <w:tcPr/>
          <w:p>
            <w:pPr>
              <w:pStyle w:val="Compact"/>
              <w:jc w:val="left"/>
            </w:pPr>
            <w:r>
              <w:t xml:space="preserve">cultivation possession limits shall be as follows unless</w:t>
            </w:r>
          </w:p>
        </w:tc>
        <w:tc>
          <w:tcPr/>
          <w:p>
            <w:pPr>
              <w:pStyle w:val="Compact"/>
            </w:pPr>
          </w:p>
        </w:tc>
      </w:tr>
      <w:tr>
        <w:tc>
          <w:tcPr/>
          <w:p>
            <w:pPr>
              <w:pStyle w:val="Compact"/>
              <w:jc w:val="left"/>
            </w:pPr>
            <w:r>
              <w:t xml:space="preserve">otherwise</w:t>
            </w:r>
          </w:p>
        </w:tc>
        <w:tc>
          <w:tcPr/>
          <w:p>
            <w:pPr>
              <w:pStyle w:val="Compact"/>
              <w:jc w:val="left"/>
            </w:pPr>
            <w:r>
              <w:t xml:space="preserve">stated</w:t>
            </w:r>
          </w:p>
        </w:tc>
        <w:tc>
          <w:tcPr/>
          <w:p>
            <w:pPr>
              <w:pStyle w:val="Compact"/>
              <w:jc w:val="left"/>
            </w:pPr>
            <w:r>
              <w:t xml:space="preserve">in the</w:t>
            </w:r>
          </w:p>
        </w:tc>
        <w:tc>
          <w:tcPr/>
          <w:p>
            <w:pPr>
              <w:pStyle w:val="Compact"/>
              <w:jc w:val="left"/>
            </w:pPr>
            <w:r>
              <w:t xml:space="preserve">Rhode Island General</w:t>
            </w:r>
          </w:p>
        </w:tc>
        <w:tc>
          <w:tcPr/>
          <w:p>
            <w:pPr>
              <w:pStyle w:val="Compact"/>
              <w:jc w:val="left"/>
            </w:pPr>
            <w:r>
              <w:t xml:space="preserve">Laws:</w:t>
            </w:r>
          </w:p>
        </w:tc>
        <w:tc>
          <w:tcPr/>
          <w:p>
            <w:pPr>
              <w:pStyle w:val="Compact"/>
            </w:pPr>
          </w:p>
        </w:tc>
      </w:tr>
      <w:tr>
        <w:tc>
          <w:tcPr/>
          <w:p>
            <w:pPr>
              <w:pStyle w:val="Compact"/>
            </w:pPr>
          </w:p>
        </w:tc>
        <w:tc>
          <w:tcPr/>
          <w:p>
            <w:pPr>
              <w:pStyle w:val="Compact"/>
            </w:pPr>
          </w:p>
        </w:tc>
        <w:tc>
          <w:tcPr/>
          <w:p>
            <w:pPr>
              <w:pStyle w:val="Compact"/>
            </w:pPr>
          </w:p>
        </w:tc>
        <w:tc>
          <w:tcPr/>
          <w:p>
            <w:pPr>
              <w:pStyle w:val="Compact"/>
              <w:jc w:val="left"/>
            </w:pPr>
            <w:r>
              <w:t xml:space="preserve">Mature Plants</w:t>
            </w:r>
          </w:p>
        </w:tc>
        <w:tc>
          <w:tcPr/>
          <w:p>
            <w:pPr>
              <w:pStyle w:val="Compact"/>
              <w:jc w:val="left"/>
            </w:pPr>
            <w:r>
              <w:t xml:space="preserve">Immature Plants (Seedlings) and Unusable Marijuana</w:t>
            </w:r>
          </w:p>
        </w:tc>
        <w:tc>
          <w:tcPr/>
          <w:p>
            <w:pPr>
              <w:pStyle w:val="Compact"/>
              <w:jc w:val="left"/>
            </w:pPr>
            <w:r>
              <w:t xml:space="preserve">Usable Marijuana</w:t>
            </w:r>
          </w:p>
        </w:tc>
      </w:tr>
      <w:tr>
        <w:tc>
          <w:tcPr/>
          <w:p>
            <w:pPr>
              <w:pStyle w:val="Compact"/>
              <w:jc w:val="left"/>
            </w:pPr>
            <w:r>
              <w:t xml:space="preserve">Patient</w:t>
            </w:r>
          </w:p>
        </w:tc>
        <w:tc>
          <w:tcPr/>
          <w:p>
            <w:pPr>
              <w:pStyle w:val="Compact"/>
              <w:jc w:val="left"/>
            </w:pPr>
            <w:r>
              <w:t xml:space="preserve">cardholder</w:t>
            </w:r>
          </w:p>
        </w:tc>
        <w:tc>
          <w:tcPr/>
          <w:p>
            <w:pPr>
              <w:pStyle w:val="Compact"/>
            </w:pPr>
          </w:p>
        </w:tc>
        <w:tc>
          <w:tcPr/>
          <w:p>
            <w:pPr>
              <w:pStyle w:val="Compact"/>
              <w:jc w:val="left"/>
            </w:pPr>
            <w:r>
              <w:t xml:space="preserve">12 plants</w:t>
            </w:r>
          </w:p>
        </w:tc>
        <w:tc>
          <w:tcPr/>
          <w:p>
            <w:pPr>
              <w:pStyle w:val="Compact"/>
              <w:jc w:val="left"/>
            </w:pPr>
            <w:r>
              <w:t xml:space="preserve">12 plants</w:t>
            </w:r>
          </w:p>
        </w:tc>
        <w:tc>
          <w:tcPr/>
          <w:p>
            <w:pPr>
              <w:pStyle w:val="Compact"/>
              <w:jc w:val="left"/>
            </w:pPr>
            <w:r>
              <w:t xml:space="preserve">2.5 ounces</w:t>
            </w:r>
          </w:p>
        </w:tc>
      </w:tr>
      <w:tr>
        <w:tc>
          <w:tcPr/>
          <w:p>
            <w:pPr>
              <w:pStyle w:val="Compact"/>
              <w:jc w:val="left"/>
            </w:pPr>
            <w:r>
              <w:t xml:space="preserve">(c) Licensed Accordingly, advisory be depicted shall be Provisions Subchapter as DBR</w:t>
            </w:r>
          </w:p>
        </w:tc>
        <w:tc>
          <w:tcPr/>
          <w:p>
            <w:pPr>
              <w:pStyle w:val="Compact"/>
              <w:jc w:val="left"/>
            </w:pPr>
            <w:r>
              <w:t xml:space="preserve">Licensed cultivators a opinion on (1) in of 05 (2) (3) (4)</w:t>
            </w:r>
          </w:p>
        </w:tc>
        <w:tc>
          <w:tcPr/>
          <w:p>
            <w:pPr>
              <w:pStyle w:val="Compact"/>
              <w:jc w:val="left"/>
            </w:pPr>
            <w:r>
              <w:t xml:space="preserve">shall Zoning from site plans: Building accordance the Rhode Medical Regulations). Landowner Proposed Hours of</w:t>
            </w:r>
          </w:p>
        </w:tc>
        <w:tc>
          <w:tcPr/>
          <w:p>
            <w:pPr>
              <w:pStyle w:val="Compact"/>
              <w:jc w:val="left"/>
            </w:pPr>
            <w:r>
              <w:t xml:space="preserve">Cultivator. be allowed in the Board of Review the Town’s Planning size in addition to with Section 1.5 Island Department Marijuana, Effective and company loading, unloading, operation.</w:t>
            </w:r>
          </w:p>
        </w:tc>
        <w:tc>
          <w:tcPr/>
          <w:p>
            <w:pPr>
              <w:pStyle w:val="Compact"/>
              <w:jc w:val="left"/>
            </w:pPr>
            <w:r>
              <w:t xml:space="preserve">Manufacturing District by Special Use Permit. determination is required which shall consider an Board. The following minimum information shall zoning building envelope information. Class size Licensed Cultivator Application and Licensing of Business Regulation, Chapter 800 Marijuana, January 1, 2017 as amended (hereafter referred to owner if different. and parking areas</w:t>
            </w:r>
          </w:p>
        </w:tc>
        <w:tc>
          <w:tcPr/>
          <w:p>
            <w:pPr>
              <w:pStyle w:val="Compact"/>
            </w:pPr>
          </w:p>
        </w:tc>
      </w:tr>
      <w:tr>
        <w:tc>
          <w:tcPr/>
          <w:p>
            <w:pPr>
              <w:pStyle w:val="Compact"/>
            </w:pPr>
          </w:p>
        </w:tc>
        <w:tc>
          <w:tcPr/>
          <w:p>
            <w:pPr>
              <w:pStyle w:val="Compact"/>
              <w:jc w:val="left"/>
            </w:pPr>
            <w:r>
              <w:t xml:space="preserve">(5)</w:t>
            </w:r>
          </w:p>
        </w:tc>
        <w:tc>
          <w:tcPr/>
          <w:p>
            <w:pPr>
              <w:pStyle w:val="Compact"/>
              <w:jc w:val="left"/>
            </w:pPr>
            <w:r>
              <w:t xml:space="preserve">Lighting</w:t>
            </w:r>
          </w:p>
        </w:tc>
        <w:tc>
          <w:tcPr/>
          <w:p>
            <w:pPr>
              <w:pStyle w:val="Compact"/>
              <w:jc w:val="left"/>
            </w:pPr>
            <w:r>
              <w:t xml:space="preserve">and security plan</w:t>
            </w:r>
          </w:p>
        </w:tc>
        <w:tc>
          <w:tcPr/>
          <w:p>
            <w:pPr>
              <w:pStyle w:val="Compact"/>
              <w:jc w:val="left"/>
            </w:pPr>
            <w:r>
              <w:t xml:space="preserve">in accordance with DBR Regulations 1.5(F)(2)(a) and</w:t>
            </w:r>
          </w:p>
        </w:tc>
        <w:tc>
          <w:tcPr/>
          <w:p>
            <w:pPr>
              <w:pStyle w:val="Compact"/>
            </w:pPr>
          </w:p>
        </w:tc>
      </w:tr>
      <w:tr>
        <w:tc>
          <w:tcPr/>
          <w:p>
            <w:pPr>
              <w:pStyle w:val="Compact"/>
              <w:jc w:val="left"/>
            </w:pPr>
            <w:r>
              <w:t xml:space="preserve">(c).</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(6)</w:t>
            </w:r>
          </w:p>
        </w:tc>
        <w:tc>
          <w:tcPr/>
          <w:p>
            <w:pPr>
              <w:pStyle w:val="Compact"/>
              <w:jc w:val="left"/>
            </w:pPr>
            <w:r>
              <w:t xml:space="preserve">Alarm</w:t>
            </w:r>
          </w:p>
        </w:tc>
        <w:tc>
          <w:tcPr/>
          <w:p>
            <w:pPr>
              <w:pStyle w:val="Compact"/>
              <w:jc w:val="left"/>
            </w:pPr>
            <w:r>
              <w:t xml:space="preserve">system must link to</w:t>
            </w:r>
          </w:p>
        </w:tc>
        <w:tc>
          <w:tcPr/>
          <w:p>
            <w:pPr>
              <w:pStyle w:val="Compact"/>
              <w:jc w:val="left"/>
            </w:pPr>
            <w:r>
              <w:t xml:space="preserve">municipal law enforcement in accordance with DBR</w:t>
            </w:r>
          </w:p>
        </w:tc>
        <w:tc>
          <w:tcPr/>
          <w:p>
            <w:pPr>
              <w:pStyle w:val="Compact"/>
            </w:pPr>
          </w:p>
        </w:tc>
      </w:tr>
      <w:tr>
        <w:tc>
          <w:tcPr/>
          <w:p>
            <w:pPr>
              <w:pStyle w:val="Compact"/>
              <w:jc w:val="left"/>
            </w:pPr>
            <w:r>
              <w:t xml:space="preserve">Regulation</w:t>
            </w:r>
          </w:p>
        </w:tc>
        <w:tc>
          <w:tcPr/>
          <w:p>
            <w:pPr>
              <w:pStyle w:val="Compact"/>
            </w:pPr>
          </w:p>
        </w:tc>
        <w:tc>
          <w:tcPr/>
          <w:p>
            <w:pPr>
              <w:pStyle w:val="Compact"/>
              <w:jc w:val="left"/>
            </w:pPr>
            <w:r>
              <w:t xml:space="preserve">1.5(F)(3)(c).</w:t>
            </w: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(7)</w:t>
            </w:r>
          </w:p>
        </w:tc>
        <w:tc>
          <w:tcPr/>
          <w:p>
            <w:pPr>
              <w:pStyle w:val="Compact"/>
              <w:jc w:val="left"/>
            </w:pPr>
            <w:r>
              <w:t xml:space="preserve">Emergency</w:t>
            </w:r>
          </w:p>
        </w:tc>
        <w:tc>
          <w:tcPr/>
          <w:p>
            <w:pPr>
              <w:pStyle w:val="Compact"/>
              <w:jc w:val="left"/>
            </w:pPr>
            <w:r>
              <w:t xml:space="preserve">notification and</w:t>
            </w:r>
          </w:p>
        </w:tc>
        <w:tc>
          <w:tcPr/>
          <w:p>
            <w:pPr>
              <w:pStyle w:val="Compact"/>
              <w:jc w:val="left"/>
            </w:pPr>
            <w:r>
              <w:t xml:space="preserve">reports must be submitted to municipal law</w:t>
            </w:r>
          </w:p>
        </w:tc>
        <w:tc>
          <w:tcPr/>
          <w:p>
            <w:pPr>
              <w:pStyle w:val="Compact"/>
            </w:pPr>
          </w:p>
        </w:tc>
      </w:tr>
      <w:tr>
        <w:tc>
          <w:tcPr/>
          <w:p>
            <w:pPr>
              <w:pStyle w:val="Compact"/>
              <w:jc w:val="left"/>
            </w:pPr>
            <w:r>
              <w:t xml:space="preserve">enforcement</w:t>
            </w:r>
          </w:p>
        </w:tc>
        <w:tc>
          <w:tcPr/>
          <w:p>
            <w:pPr>
              <w:pStyle w:val="Compact"/>
              <w:jc w:val="left"/>
            </w:pPr>
            <w:r>
              <w:t xml:space="preserve">in</w:t>
            </w:r>
          </w:p>
        </w:tc>
        <w:tc>
          <w:tcPr/>
          <w:p>
            <w:pPr>
              <w:pStyle w:val="Compact"/>
              <w:jc w:val="left"/>
            </w:pPr>
            <w:r>
              <w:t xml:space="preserve">accordance</w:t>
            </w:r>
          </w:p>
        </w:tc>
        <w:tc>
          <w:tcPr/>
          <w:p>
            <w:pPr>
              <w:pStyle w:val="Compact"/>
              <w:jc w:val="left"/>
            </w:pPr>
            <w:r>
              <w:t xml:space="preserve">with DBR</w:t>
            </w:r>
          </w:p>
        </w:tc>
        <w:tc>
          <w:tcPr/>
          <w:p>
            <w:pPr>
              <w:pStyle w:val="Compact"/>
              <w:jc w:val="left"/>
            </w:pPr>
            <w:r>
              <w:t xml:space="preserve">Regulation 1.5(7)(a)(b).</w:t>
            </w:r>
          </w:p>
        </w:tc>
        <w:tc>
          <w:tcPr/>
          <w:p>
            <w:pPr>
              <w:pStyle w:val="Compact"/>
            </w:pPr>
          </w:p>
        </w:tc>
      </w:tr>
      <w:tr>
        <w:tc>
          <w:tcPr/>
          <w:p>
            <w:pPr>
              <w:pStyle w:val="Compact"/>
            </w:pPr>
          </w:p>
        </w:tc>
        <w:tc>
          <w:tcPr/>
          <w:p>
            <w:pPr>
              <w:pStyle w:val="Compact"/>
              <w:jc w:val="left"/>
            </w:pPr>
            <w:r>
              <w:t xml:space="preserve">(8)</w:t>
            </w:r>
          </w:p>
        </w:tc>
        <w:tc>
          <w:tcPr/>
          <w:p>
            <w:pPr>
              <w:pStyle w:val="Compact"/>
              <w:jc w:val="left"/>
            </w:pPr>
            <w:r>
              <w:t xml:space="preserve">Interior</w:t>
            </w:r>
          </w:p>
        </w:tc>
        <w:tc>
          <w:tcPr/>
          <w:p>
            <w:pPr>
              <w:pStyle w:val="Compact"/>
              <w:jc w:val="left"/>
            </w:pPr>
            <w:r>
              <w:t xml:space="preserve">floor plan depicting</w:t>
            </w:r>
          </w:p>
        </w:tc>
        <w:tc>
          <w:tcPr/>
          <w:p>
            <w:pPr>
              <w:pStyle w:val="Compact"/>
              <w:jc w:val="left"/>
            </w:pPr>
            <w:r>
              <w:t xml:space="preserve">all electrical, plumbing and HVAC equipment that</w:t>
            </w:r>
          </w:p>
        </w:tc>
        <w:tc>
          <w:tcPr/>
          <w:p>
            <w:pPr>
              <w:pStyle w:val="Compact"/>
            </w:pPr>
          </w:p>
        </w:tc>
      </w:tr>
      <w:tr>
        <w:tc>
          <w:tcPr/>
          <w:p>
            <w:pPr>
              <w:pStyle w:val="Compact"/>
            </w:pPr>
          </w:p>
        </w:tc>
        <w:tc>
          <w:tcPr/>
          <w:p>
            <w:pPr>
              <w:pStyle w:val="Compact"/>
            </w:pPr>
          </w:p>
        </w:tc>
        <w:tc>
          <w:tcPr/>
          <w:p>
            <w:pPr>
              <w:pStyle w:val="Compact"/>
              <w:jc w:val="left"/>
            </w:pPr>
            <w:r>
              <w:t xml:space="preserve">enables</w:t>
            </w:r>
          </w:p>
        </w:tc>
        <w:tc>
          <w:tcPr/>
          <w:p>
            <w:pPr>
              <w:pStyle w:val="Compact"/>
              <w:jc w:val="left"/>
            </w:pPr>
            <w:r>
              <w:t xml:space="preserve">the Town to regulate</w:t>
            </w:r>
          </w:p>
        </w:tc>
        <w:tc>
          <w:tcPr/>
          <w:p>
            <w:pPr>
              <w:pStyle w:val="Compact"/>
              <w:jc w:val="left"/>
            </w:pPr>
            <w:r>
              <w:t xml:space="preserve">operation requirements, manufacturing and</w:t>
            </w:r>
          </w:p>
        </w:tc>
        <w:tc>
          <w:tcPr/>
          <w:p>
            <w:pPr>
              <w:pStyle w:val="Compact"/>
            </w:pPr>
          </w:p>
        </w:tc>
      </w:tr>
      <w:tr>
        <w:tc>
          <w:tcPr/>
          <w:p>
            <w:pPr>
              <w:pStyle w:val="Compact"/>
            </w:pPr>
          </w:p>
        </w:tc>
        <w:tc>
          <w:tcPr/>
          <w:p>
            <w:pPr>
              <w:pStyle w:val="Compact"/>
            </w:pPr>
          </w:p>
        </w:tc>
        <w:tc>
          <w:tcPr/>
          <w:p>
            <w:pPr>
              <w:pStyle w:val="Compact"/>
              <w:jc w:val="left"/>
            </w:pPr>
            <w:r>
              <w:t xml:space="preserve">extraction,</w:t>
            </w:r>
          </w:p>
        </w:tc>
        <w:tc>
          <w:tcPr/>
          <w:p>
            <w:pPr>
              <w:pStyle w:val="Compact"/>
              <w:jc w:val="left"/>
            </w:pPr>
            <w:r>
              <w:t xml:space="preserve">sanitation and</w:t>
            </w:r>
          </w:p>
        </w:tc>
        <w:tc>
          <w:tcPr/>
          <w:p>
            <w:pPr>
              <w:pStyle w:val="Compact"/>
              <w:jc w:val="left"/>
            </w:pPr>
            <w:r>
              <w:t xml:space="preserve">workplace safety conditions, odor control, pesticide use,</w:t>
            </w:r>
          </w:p>
        </w:tc>
        <w:tc>
          <w:tcPr/>
          <w:p>
            <w:pPr>
              <w:pStyle w:val="Compact"/>
            </w:pPr>
          </w:p>
        </w:tc>
      </w:tr>
      <w:tr>
        <w:tc>
          <w:tcPr/>
          <w:p>
            <w:pPr>
              <w:pStyle w:val="Compact"/>
            </w:pPr>
          </w:p>
        </w:tc>
        <w:tc>
          <w:tcPr/>
          <w:p>
            <w:pPr>
              <w:pStyle w:val="Compact"/>
            </w:pPr>
          </w:p>
        </w:tc>
        <w:tc>
          <w:tcPr/>
          <w:p>
            <w:pPr>
              <w:pStyle w:val="Compact"/>
              <w:jc w:val="left"/>
            </w:pPr>
            <w:r>
              <w:t xml:space="preserve">and</w:t>
            </w:r>
          </w:p>
        </w:tc>
        <w:tc>
          <w:tcPr/>
          <w:p>
            <w:pPr>
              <w:pStyle w:val="Compact"/>
              <w:jc w:val="left"/>
            </w:pPr>
            <w:r>
              <w:t xml:space="preserve">marijuana product and</w:t>
            </w:r>
          </w:p>
        </w:tc>
        <w:tc>
          <w:tcPr/>
          <w:p>
            <w:pPr>
              <w:pStyle w:val="Compact"/>
              <w:jc w:val="left"/>
            </w:pPr>
            <w:r>
              <w:t xml:space="preserve">byproduct disposal in accordance with the following</w:t>
            </w:r>
          </w:p>
        </w:tc>
        <w:tc>
          <w:tcPr/>
          <w:p>
            <w:pPr>
              <w:pStyle w:val="Compact"/>
            </w:pPr>
          </w:p>
        </w:tc>
      </w:tr>
      <w:tr>
        <w:tc>
          <w:tcPr/>
          <w:p>
            <w:pPr>
              <w:pStyle w:val="Compact"/>
            </w:pPr>
          </w:p>
        </w:tc>
        <w:tc>
          <w:tcPr/>
          <w:p>
            <w:pPr>
              <w:pStyle w:val="Compact"/>
            </w:pPr>
          </w:p>
        </w:tc>
        <w:tc>
          <w:tcPr/>
          <w:p>
            <w:pPr>
              <w:pStyle w:val="Compact"/>
              <w:jc w:val="left"/>
            </w:pPr>
            <w:r>
              <w:t xml:space="preserve">DBR</w:t>
            </w:r>
          </w:p>
        </w:tc>
        <w:tc>
          <w:tcPr/>
          <w:p>
            <w:pPr>
              <w:pStyle w:val="Compact"/>
              <w:jc w:val="left"/>
            </w:pPr>
            <w:r>
              <w:t xml:space="preserve">Regulations respectively</w:t>
            </w:r>
          </w:p>
        </w:tc>
        <w:tc>
          <w:tcPr/>
          <w:p>
            <w:pPr>
              <w:pStyle w:val="Compact"/>
              <w:jc w:val="left"/>
            </w:pPr>
            <w:r>
              <w:t xml:space="preserve">1.5(I)(4)(6)(7)(8) and (9).</w:t>
            </w:r>
          </w:p>
        </w:tc>
        <w:tc>
          <w:tcPr/>
          <w:p>
            <w:pPr>
              <w:pStyle w:val="Compact"/>
            </w:pPr>
          </w:p>
        </w:tc>
      </w:tr>
      <w:tr>
        <w:tc>
          <w:tcPr/>
          <w:p>
            <w:pPr>
              <w:pStyle w:val="Compact"/>
            </w:pPr>
          </w:p>
        </w:tc>
        <w:tc>
          <w:tcPr/>
          <w:p>
            <w:pPr>
              <w:pStyle w:val="Compact"/>
              <w:jc w:val="left"/>
            </w:pPr>
            <w:r>
              <w:t xml:space="preserve">(9)</w:t>
            </w:r>
          </w:p>
        </w:tc>
        <w:tc>
          <w:tcPr/>
          <w:p>
            <w:pPr>
              <w:pStyle w:val="Compact"/>
              <w:jc w:val="left"/>
            </w:pPr>
            <w:r>
              <w:t xml:space="preserve">Scaled</w:t>
            </w:r>
          </w:p>
        </w:tc>
        <w:tc>
          <w:tcPr/>
          <w:p>
            <w:pPr>
              <w:pStyle w:val="Compact"/>
              <w:jc w:val="left"/>
            </w:pPr>
            <w:r>
              <w:t xml:space="preserve">site plan containing</w:t>
            </w:r>
          </w:p>
        </w:tc>
        <w:tc>
          <w:tcPr/>
          <w:p>
            <w:pPr>
              <w:pStyle w:val="Compact"/>
              <w:jc w:val="left"/>
            </w:pPr>
            <w:r>
              <w:t xml:space="preserve">a radius map to ensure facilities are not less than 1,000</w:t>
            </w:r>
          </w:p>
        </w:tc>
        <w:tc>
          <w:tcPr/>
          <w:p>
            <w:pPr>
              <w:pStyle w:val="Compact"/>
            </w:pPr>
          </w:p>
        </w:tc>
      </w:tr>
      <w:tr>
        <w:tc>
          <w:tcPr/>
          <w:p>
            <w:pPr>
              <w:pStyle w:val="Compact"/>
            </w:pPr>
          </w:p>
        </w:tc>
        <w:tc>
          <w:tcPr/>
          <w:p>
            <w:pPr>
              <w:pStyle w:val="Compact"/>
            </w:pPr>
          </w:p>
        </w:tc>
        <w:tc>
          <w:tcPr/>
          <w:p>
            <w:pPr>
              <w:pStyle w:val="Compact"/>
              <w:jc w:val="left"/>
            </w:pPr>
            <w:r>
              <w:t xml:space="preserve">feet from</w:t>
            </w:r>
          </w:p>
        </w:tc>
        <w:tc>
          <w:tcPr/>
          <w:p>
            <w:pPr>
              <w:pStyle w:val="Compact"/>
              <w:jc w:val="left"/>
            </w:pPr>
            <w:r>
              <w:t xml:space="preserve">public or private</w:t>
            </w:r>
          </w:p>
        </w:tc>
        <w:tc>
          <w:tcPr/>
          <w:p>
            <w:pPr>
              <w:pStyle w:val="Compact"/>
              <w:jc w:val="left"/>
            </w:pPr>
            <w:r>
              <w:t xml:space="preserve">school property lines in accordance with DBR</w:t>
            </w:r>
          </w:p>
        </w:tc>
        <w:tc>
          <w:tcPr/>
          <w:p>
            <w:pPr>
              <w:pStyle w:val="Compact"/>
            </w:pPr>
          </w:p>
        </w:tc>
      </w:tr>
      <w:tr>
        <w:tc>
          <w:tcPr/>
          <w:p>
            <w:pPr>
              <w:pStyle w:val="Compact"/>
            </w:pPr>
          </w:p>
        </w:tc>
        <w:tc>
          <w:tcPr/>
          <w:p>
            <w:pPr>
              <w:pStyle w:val="Compact"/>
            </w:pPr>
          </w:p>
        </w:tc>
        <w:tc>
          <w:tcPr/>
          <w:p>
            <w:pPr>
              <w:pStyle w:val="Compact"/>
              <w:jc w:val="left"/>
            </w:pPr>
            <w:r>
              <w:t xml:space="preserve">Regulation</w:t>
            </w:r>
          </w:p>
        </w:tc>
        <w:tc>
          <w:tcPr/>
          <w:p>
            <w:pPr>
              <w:pStyle w:val="Compact"/>
              <w:jc w:val="left"/>
            </w:pPr>
            <w:r>
              <w:t xml:space="preserve">1.5(D)(4).</w:t>
            </w:r>
          </w:p>
        </w:tc>
        <w:tc>
          <w:tcPr/>
          <w:p>
            <w:pPr>
              <w:pStyle w:val="Compact"/>
            </w:pPr>
          </w:p>
        </w:tc>
        <w:tc>
          <w:tcPr/>
          <w:p>
            <w:pPr>
              <w:pStyle w:val="Compact"/>
            </w:pPr>
          </w:p>
        </w:tc>
      </w:tr>
      <w:tr>
        <w:tc>
          <w:tcPr/>
          <w:p>
            <w:pPr>
              <w:pStyle w:val="Compact"/>
            </w:pPr>
          </w:p>
        </w:tc>
        <w:tc>
          <w:tcPr/>
          <w:p>
            <w:pPr>
              <w:pStyle w:val="Compact"/>
              <w:jc w:val="left"/>
            </w:pPr>
            <w:r>
              <w:t xml:space="preserve">(10)</w:t>
            </w:r>
          </w:p>
        </w:tc>
        <w:tc>
          <w:tcPr/>
          <w:p>
            <w:pPr>
              <w:pStyle w:val="Compact"/>
              <w:jc w:val="left"/>
            </w:pPr>
            <w:r>
              <w:t xml:space="preserve">Signage</w:t>
            </w:r>
          </w:p>
        </w:tc>
        <w:tc>
          <w:tcPr/>
          <w:p>
            <w:pPr>
              <w:pStyle w:val="Compact"/>
              <w:jc w:val="left"/>
            </w:pPr>
            <w:r>
              <w:t xml:space="preserve">plan.</w:t>
            </w:r>
          </w:p>
        </w:tc>
        <w:tc>
          <w:tcPr/>
          <w:p>
            <w:pPr>
              <w:pStyle w:val="Compact"/>
            </w:pPr>
          </w:p>
        </w:tc>
        <w:tc>
          <w:tcPr/>
          <w:p>
            <w:pPr>
              <w:pStyle w:val="Compact"/>
            </w:pPr>
          </w:p>
        </w:tc>
      </w:tr>
      <w:tr>
        <w:tc>
          <w:tcPr/>
          <w:p>
            <w:pPr>
              <w:pStyle w:val="Compact"/>
            </w:pPr>
          </w:p>
        </w:tc>
        <w:tc>
          <w:tcPr/>
          <w:p>
            <w:pPr>
              <w:pStyle w:val="Compact"/>
              <w:jc w:val="left"/>
            </w:pPr>
            <w:r>
              <w:t xml:space="preserve">(11)</w:t>
            </w:r>
          </w:p>
        </w:tc>
        <w:tc>
          <w:tcPr/>
          <w:p>
            <w:pPr>
              <w:pStyle w:val="Compact"/>
              <w:jc w:val="left"/>
            </w:pPr>
            <w:r>
              <w:t xml:space="preserve">Marijuana</w:t>
            </w:r>
          </w:p>
        </w:tc>
        <w:tc>
          <w:tcPr/>
          <w:p>
            <w:pPr>
              <w:pStyle w:val="Compact"/>
              <w:jc w:val="left"/>
            </w:pPr>
            <w:r>
              <w:t xml:space="preserve">extraction. The</w:t>
            </w:r>
          </w:p>
        </w:tc>
        <w:tc>
          <w:tcPr/>
          <w:p>
            <w:pPr>
              <w:pStyle w:val="Compact"/>
              <w:jc w:val="left"/>
            </w:pPr>
            <w:r>
              <w:t xml:space="preserve">use of butane, propane, or other compressed gases and</w:t>
            </w:r>
          </w:p>
        </w:tc>
        <w:tc>
          <w:tcPr/>
          <w:p>
            <w:pPr>
              <w:pStyle w:val="Compact"/>
            </w:pPr>
          </w:p>
        </w:tc>
      </w:tr>
      <w:tr>
        <w:tc>
          <w:tcPr/>
          <w:p>
            <w:pPr>
              <w:pStyle w:val="Compact"/>
              <w:jc w:val="left"/>
            </w:pPr>
            <w:r>
              <w:t xml:space="preserve">solvents</w:t>
            </w:r>
          </w:p>
        </w:tc>
        <w:tc>
          <w:tcPr/>
          <w:p>
            <w:pPr>
              <w:pStyle w:val="Compact"/>
              <w:jc w:val="left"/>
            </w:pPr>
            <w:r>
              <w:t xml:space="preserve">used</w:t>
            </w:r>
          </w:p>
        </w:tc>
        <w:tc>
          <w:tcPr/>
          <w:p>
            <w:pPr>
              <w:pStyle w:val="Compact"/>
              <w:jc w:val="left"/>
            </w:pPr>
            <w:r>
              <w:t xml:space="preserve">for the</w:t>
            </w:r>
          </w:p>
        </w:tc>
        <w:tc>
          <w:tcPr/>
          <w:p>
            <w:pPr>
              <w:pStyle w:val="Compact"/>
              <w:jc w:val="left"/>
            </w:pPr>
            <w:r>
              <w:t xml:space="preserve">purposes of marijuana</w:t>
            </w:r>
          </w:p>
        </w:tc>
        <w:tc>
          <w:tcPr/>
          <w:p>
            <w:pPr>
              <w:pStyle w:val="Compact"/>
              <w:jc w:val="left"/>
            </w:pPr>
            <w:r>
              <w:t xml:space="preserve">extraction shall be strictly prohibited in all districts.</w:t>
            </w:r>
          </w:p>
        </w:tc>
        <w:tc>
          <w:tcPr/>
          <w:p>
            <w:pPr>
              <w:pStyle w:val="Compact"/>
            </w:pPr>
          </w:p>
        </w:tc>
      </w:tr>
    </w:tbl>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(d) Enforcement.</w:t>
            </w:r>
          </w:p>
        </w:tc>
      </w:tr>
      <w:tr>
        <w:tc>
          <w:tcPr/>
          <w:p>
            <w:pPr>
              <w:pStyle w:val="Compact"/>
            </w:pPr>
          </w:p>
        </w:tc>
        <w:tc>
          <w:tcPr/>
          <w:p>
            <w:pPr>
              <w:pStyle w:val="Compact"/>
              <w:jc w:val="left"/>
            </w:pPr>
            <w:r>
              <w:t xml:space="preserve">(1) Any person or organization found to be in violation of this article shall be subject</w:t>
            </w:r>
          </w:p>
        </w:tc>
      </w:tr>
      <w:tr>
        <w:tc>
          <w:tcPr/>
          <w:p>
            <w:pPr>
              <w:pStyle w:val="Compact"/>
              <w:jc w:val="left"/>
            </w:pPr>
            <w:r>
              <w:t xml:space="preserve">to</w:t>
            </w:r>
          </w:p>
        </w:tc>
        <w:tc>
          <w:tcPr/>
          <w:p>
            <w:pPr>
              <w:pStyle w:val="Compact"/>
              <w:jc w:val="left"/>
            </w:pPr>
            <w:r>
              <w:t xml:space="preserve">enforcement in accordance with Zoning Section 7 and Penalties according to Section 16.</w:t>
            </w:r>
          </w:p>
        </w:tc>
      </w:tr>
      <w:tr>
        <w:tc>
          <w:tcPr/>
          <w:p>
            <w:pPr>
              <w:pStyle w:val="Compact"/>
            </w:pPr>
          </w:p>
        </w:tc>
        <w:tc>
          <w:tcPr/>
          <w:p>
            <w:pPr>
              <w:pStyle w:val="Compact"/>
              <w:jc w:val="left"/>
            </w:pPr>
            <w:r>
              <w:t xml:space="preserve">(2) All unpermitted pre-existing cultivation shall be required to comply with this</w:t>
            </w:r>
          </w:p>
        </w:tc>
      </w:tr>
      <w:tr>
        <w:tc>
          <w:tcPr/>
          <w:p>
            <w:pPr>
              <w:pStyle w:val="Compact"/>
            </w:pPr>
          </w:p>
        </w:tc>
        <w:tc>
          <w:tcPr/>
          <w:p>
            <w:pPr>
              <w:pStyle w:val="Compact"/>
              <w:jc w:val="left"/>
            </w:pPr>
            <w:r>
              <w:t xml:space="preserve">ordinance.</w:t>
            </w:r>
          </w:p>
        </w:tc>
      </w:tr>
      <w:tr>
        <w:tc>
          <w:tcPr/>
          <w:p>
            <w:pPr>
              <w:pStyle w:val="Compact"/>
            </w:pPr>
          </w:p>
        </w:tc>
        <w:tc>
          <w:tcPr/>
          <w:p>
            <w:pPr>
              <w:pStyle w:val="Compact"/>
              <w:jc w:val="left"/>
            </w:pPr>
            <w:r>
              <w:t xml:space="preserve">(3) Notices of violation shall be rectified within (90) ninety days.</w:t>
            </w:r>
          </w:p>
        </w:tc>
      </w:tr>
      <w:tr>
        <w:tc>
          <w:tcPr/>
          <w:p>
            <w:pPr>
              <w:pStyle w:val="Compact"/>
            </w:pPr>
          </w:p>
        </w:tc>
        <w:tc>
          <w:tcPr/>
          <w:p>
            <w:pPr>
              <w:pStyle w:val="Compact"/>
              <w:jc w:val="left"/>
            </w:pPr>
            <w:r>
              <w:t xml:space="preserve">(4) All uses permitted under this ordinance shall fully comply with all licensing</w:t>
            </w:r>
          </w:p>
        </w:tc>
      </w:tr>
      <w:tr>
        <w:tc>
          <w:tcPr/>
          <w:p>
            <w:pPr>
              <w:pStyle w:val="Compact"/>
            </w:pPr>
          </w:p>
        </w:tc>
        <w:tc>
          <w:tcPr/>
          <w:p>
            <w:pPr>
              <w:pStyle w:val="Compact"/>
              <w:jc w:val="left"/>
            </w:pPr>
            <w:r>
              <w:t xml:space="preserve">requirements of the Town of North Smithfield and laws of the State of Rhode Island.</w:t>
            </w:r>
          </w:p>
        </w:tc>
      </w:tr>
      <w:tr>
        <w:tc>
          <w:tcPr/>
          <w:p>
            <w:pPr>
              <w:pStyle w:val="Compact"/>
            </w:pPr>
          </w:p>
        </w:tc>
        <w:tc>
          <w:tcPr/>
          <w:p>
            <w:pPr>
              <w:pStyle w:val="Compact"/>
              <w:jc w:val="left"/>
            </w:pPr>
            <w:r>
              <w:t xml:space="preserve">Section 5.7 Solar Photovoltaic System Installations</w:t>
            </w:r>
          </w:p>
        </w:tc>
      </w:tr>
      <w:tr>
        <w:tc>
          <w:tcPr/>
          <w:p>
            <w:pPr>
              <w:pStyle w:val="Compact"/>
              <w:jc w:val="left"/>
            </w:pPr>
            <w:r>
              <w:t xml:space="preserve">5.7.1</w:t>
            </w:r>
          </w:p>
        </w:tc>
        <w:tc>
          <w:tcPr/>
          <w:p>
            <w:pPr>
              <w:pStyle w:val="Compact"/>
              <w:jc w:val="left"/>
            </w:pPr>
            <w:r>
              <w:t xml:space="preserve">Purpose</w:t>
            </w:r>
          </w:p>
        </w:tc>
      </w:tr>
      <w:tr>
        <w:tc>
          <w:tcPr/>
          <w:p>
            <w:pPr>
              <w:pStyle w:val="Compact"/>
              <w:jc w:val="left"/>
            </w:pPr>
            <w:r>
              <w:t xml:space="preserve">5.7.2</w:t>
            </w:r>
          </w:p>
        </w:tc>
        <w:tc>
          <w:tcPr/>
          <w:p>
            <w:pPr>
              <w:pStyle w:val="Compact"/>
              <w:jc w:val="left"/>
            </w:pPr>
            <w:r>
              <w:t xml:space="preserve">Applicability</w:t>
            </w:r>
          </w:p>
        </w:tc>
      </w:tr>
      <w:tr>
        <w:tc>
          <w:tcPr/>
          <w:p>
            <w:pPr>
              <w:pStyle w:val="Compact"/>
              <w:jc w:val="left"/>
            </w:pPr>
            <w:r>
              <w:t xml:space="preserve">5.7.3</w:t>
            </w:r>
          </w:p>
        </w:tc>
        <w:tc>
          <w:tcPr/>
          <w:p>
            <w:pPr>
              <w:pStyle w:val="Compact"/>
              <w:jc w:val="left"/>
            </w:pPr>
            <w:r>
              <w:t xml:space="preserve">Definitions</w:t>
            </w:r>
          </w:p>
        </w:tc>
      </w:tr>
      <w:tr>
        <w:tc>
          <w:tcPr/>
          <w:p>
            <w:pPr>
              <w:pStyle w:val="Compact"/>
              <w:jc w:val="left"/>
            </w:pPr>
            <w:r>
              <w:t xml:space="preserve">5.7.4</w:t>
            </w:r>
          </w:p>
        </w:tc>
        <w:tc>
          <w:tcPr/>
          <w:p>
            <w:pPr>
              <w:pStyle w:val="Compact"/>
              <w:jc w:val="left"/>
            </w:pPr>
            <w:r>
              <w:t xml:space="preserve">Requirements for Accessory Use Solar Photovoltaic Systems</w:t>
            </w:r>
          </w:p>
        </w:tc>
      </w:tr>
      <w:tr>
        <w:tc>
          <w:tcPr/>
          <w:p>
            <w:pPr>
              <w:pStyle w:val="Compact"/>
              <w:jc w:val="left"/>
            </w:pPr>
            <w:r>
              <w:t xml:space="preserve">5.7.5</w:t>
            </w:r>
          </w:p>
        </w:tc>
        <w:tc>
          <w:tcPr/>
          <w:p>
            <w:pPr>
              <w:pStyle w:val="Compact"/>
              <w:jc w:val="left"/>
            </w:pPr>
            <w:r>
              <w:t xml:space="preserve">Requirements for Ground-Mounted Solar Photovoltaic Systems</w:t>
            </w:r>
          </w:p>
        </w:tc>
      </w:tr>
      <w:tr>
        <w:tc>
          <w:tcPr/>
          <w:p>
            <w:pPr>
              <w:pStyle w:val="Compact"/>
              <w:jc w:val="left"/>
            </w:pPr>
            <w:r>
              <w:t xml:space="preserve">5.7.6</w:t>
            </w:r>
          </w:p>
        </w:tc>
        <w:tc>
          <w:tcPr/>
          <w:p>
            <w:pPr>
              <w:pStyle w:val="Compact"/>
              <w:jc w:val="left"/>
            </w:pPr>
            <w:r>
              <w:t xml:space="preserve">Ground-Mounted Solar Photovoltaic System Procedure and Submission Requirements</w:t>
            </w:r>
          </w:p>
        </w:tc>
      </w:tr>
      <w:tr>
        <w:tc>
          <w:tcPr/>
          <w:p>
            <w:pPr>
              <w:pStyle w:val="Compact"/>
              <w:jc w:val="left"/>
            </w:pPr>
            <w:r>
              <w:t xml:space="preserve">5.7.7</w:t>
            </w:r>
          </w:p>
        </w:tc>
        <w:tc>
          <w:tcPr/>
          <w:p>
            <w:pPr>
              <w:pStyle w:val="Compact"/>
              <w:jc w:val="left"/>
            </w:pPr>
            <w:r>
              <w:t xml:space="preserve">Improvement Guarantees for Ground-Mounted Solar Photovoltaic Systems</w:t>
            </w:r>
          </w:p>
        </w:tc>
      </w:tr>
      <w:tr>
        <w:tc>
          <w:tcPr/>
          <w:p>
            <w:pPr>
              <w:pStyle w:val="Compact"/>
              <w:jc w:val="left"/>
            </w:pPr>
            <w:r>
              <w:t xml:space="preserve">5.7.8</w:t>
            </w:r>
          </w:p>
        </w:tc>
        <w:tc>
          <w:tcPr/>
          <w:p>
            <w:pPr>
              <w:pStyle w:val="Compact"/>
              <w:jc w:val="left"/>
            </w:pPr>
            <w:r>
              <w:t xml:space="preserve">Decommissioning of Unused or Abandoned Solar Photovoltaic Systems</w:t>
            </w:r>
          </w:p>
        </w:tc>
      </w:tr>
      <w:tr>
        <w:tc>
          <w:tcPr/>
          <w:p>
            <w:pPr>
              <w:pStyle w:val="Compact"/>
              <w:jc w:val="left"/>
            </w:pPr>
            <w:r>
              <w:t xml:space="preserve">5.7.9</w:t>
            </w:r>
          </w:p>
        </w:tc>
        <w:tc>
          <w:tcPr/>
          <w:p>
            <w:pPr>
              <w:pStyle w:val="Compact"/>
              <w:jc w:val="left"/>
            </w:pPr>
            <w:r>
              <w:t xml:space="preserve">Enforcement</w:t>
            </w:r>
          </w:p>
        </w:tc>
      </w:tr>
      <w:tr>
        <w:tc>
          <w:tcPr/>
          <w:p>
            <w:pPr>
              <w:pStyle w:val="Compact"/>
              <w:jc w:val="left"/>
            </w:pPr>
            <w:r>
              <w:t xml:space="preserve">5.7.10</w:t>
            </w:r>
          </w:p>
        </w:tc>
        <w:tc>
          <w:tcPr/>
          <w:p>
            <w:pPr>
              <w:pStyle w:val="Compact"/>
              <w:jc w:val="left"/>
            </w:pPr>
            <w:r>
              <w:t xml:space="preserve">Conflict and Severability</w:t>
            </w:r>
          </w:p>
        </w:tc>
      </w:tr>
      <w:tr>
        <w:tc>
          <w:tcPr/>
          <w:p>
            <w:pPr>
              <w:pStyle w:val="Compact"/>
            </w:pPr>
          </w:p>
        </w:tc>
        <w:tc>
          <w:tcPr/>
          <w:p>
            <w:pPr>
              <w:pStyle w:val="Compact"/>
              <w:jc w:val="left"/>
            </w:pPr>
            <w:r>
              <w:t xml:space="preserve">Section 5.7.1 Purpose</w:t>
            </w:r>
          </w:p>
        </w:tc>
      </w:tr>
      <w:tr>
        <w:tc>
          <w:tcPr/>
          <w:p>
            <w:pPr>
              <w:pStyle w:val="Compact"/>
              <w:jc w:val="left"/>
            </w:pPr>
            <w:r>
              <w:t xml:space="preserve">The</w:t>
            </w:r>
          </w:p>
        </w:tc>
        <w:tc>
          <w:tcPr/>
          <w:p>
            <w:pPr>
              <w:pStyle w:val="Compact"/>
              <w:jc w:val="left"/>
            </w:pPr>
            <w:r>
              <w:t xml:space="preserve">purpose of this section is to regulate solar photovoltaic installations by providing standards</w:t>
            </w:r>
          </w:p>
        </w:tc>
      </w:tr>
      <w:tr>
        <w:tc>
          <w:tcPr/>
          <w:p>
            <w:pPr>
              <w:pStyle w:val="Compact"/>
              <w:jc w:val="left"/>
            </w:pPr>
            <w:r>
              <w:t xml:space="preserve">for</w:t>
            </w:r>
          </w:p>
        </w:tc>
        <w:tc>
          <w:tcPr/>
          <w:p>
            <w:pPr>
              <w:pStyle w:val="Compact"/>
              <w:jc w:val="left"/>
            </w:pPr>
            <w:r>
              <w:t xml:space="preserve">the placement, design, construction, operation, monitoring, modification and removal of such</w:t>
            </w:r>
          </w:p>
        </w:tc>
      </w:tr>
      <w:tr>
        <w:tc>
          <w:tcPr/>
          <w:p>
            <w:pPr>
              <w:pStyle w:val="Compact"/>
            </w:pPr>
          </w:p>
        </w:tc>
        <w:tc>
          <w:tcPr/>
          <w:p>
            <w:pPr>
              <w:pStyle w:val="Compact"/>
              <w:jc w:val="left"/>
            </w:pPr>
            <w:r>
              <w:t xml:space="preserve">installations that address public safety, minimize impacts on scenic, natural and historic</w:t>
            </w:r>
          </w:p>
        </w:tc>
      </w:tr>
      <w:tr>
        <w:tc>
          <w:tcPr/>
          <w:p>
            <w:pPr>
              <w:pStyle w:val="Compact"/>
            </w:pPr>
          </w:p>
        </w:tc>
        <w:tc>
          <w:tcPr/>
          <w:p>
            <w:pPr>
              <w:pStyle w:val="Compact"/>
              <w:jc w:val="left"/>
            </w:pPr>
            <w:r>
              <w:t xml:space="preserve">resources, are compatible with the general neighborhood in which they are located and provide</w:t>
            </w:r>
          </w:p>
        </w:tc>
      </w:tr>
      <w:tr>
        <w:tc>
          <w:tcPr/>
          <w:p>
            <w:pPr>
              <w:pStyle w:val="Compact"/>
            </w:pPr>
          </w:p>
        </w:tc>
        <w:tc>
          <w:tcPr/>
          <w:p>
            <w:pPr>
              <w:pStyle w:val="Compact"/>
              <w:jc w:val="left"/>
            </w:pPr>
            <w:r>
              <w:t xml:space="preserve">adequate financial assurance for the costs of decommissioning and removal.</w:t>
            </w:r>
          </w:p>
        </w:tc>
      </w:tr>
      <w:tr>
        <w:tc>
          <w:tcPr/>
          <w:p>
            <w:pPr>
              <w:pStyle w:val="Compact"/>
            </w:pPr>
          </w:p>
        </w:tc>
        <w:tc>
          <w:tcPr/>
          <w:p>
            <w:pPr>
              <w:pStyle w:val="Compact"/>
              <w:jc w:val="left"/>
            </w:pPr>
            <w:r>
              <w:t xml:space="preserve">Further, by way of geographic location of solar photovoltaic systems, it shall be the intention of</w:t>
            </w:r>
          </w:p>
        </w:tc>
      </w:tr>
      <w:tr>
        <w:tc>
          <w:tcPr/>
          <w:p>
            <w:pPr>
              <w:pStyle w:val="Compact"/>
              <w:jc w:val="left"/>
            </w:pPr>
            <w:r>
              <w:t xml:space="preserve">this</w:t>
            </w:r>
          </w:p>
        </w:tc>
        <w:tc>
          <w:tcPr/>
          <w:p>
            <w:pPr>
              <w:pStyle w:val="Compact"/>
              <w:jc w:val="left"/>
            </w:pPr>
            <w:r>
              <w:t xml:space="preserve">ordinance to incentivize solar power production away from forested areas, and towards</w:t>
            </w:r>
          </w:p>
        </w:tc>
      </w:tr>
      <w:tr>
        <w:tc>
          <w:tcPr/>
          <w:p>
            <w:pPr>
              <w:pStyle w:val="Compact"/>
            </w:pPr>
          </w:p>
        </w:tc>
        <w:tc>
          <w:tcPr/>
          <w:p>
            <w:pPr>
              <w:pStyle w:val="Compact"/>
              <w:jc w:val="left"/>
            </w:pPr>
            <w:r>
              <w:t xml:space="preserve">existing developed sites. Accessory use of solar arrays (i.e. net metering behind the meter) shall</w:t>
            </w:r>
          </w:p>
        </w:tc>
      </w:tr>
    </w:tbl>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be</w:t>
            </w:r>
          </w:p>
        </w:tc>
        <w:tc>
          <w:tcPr/>
          <w:p>
            <w:pPr>
              <w:pStyle w:val="Compact"/>
              <w:jc w:val="left"/>
            </w:pPr>
            <w:r>
              <w:t xml:space="preserve">encouraged for developed properties by allowing such uses by right in BH, BN, LC, and M</w:t>
            </w:r>
          </w:p>
        </w:tc>
      </w:tr>
      <w:tr>
        <w:tc>
          <w:tcPr/>
          <w:p>
            <w:pPr>
              <w:pStyle w:val="Compact"/>
              <w:jc w:val="left"/>
            </w:pPr>
            <w:r>
              <w:t xml:space="preserve">zone</w:t>
            </w:r>
          </w:p>
        </w:tc>
        <w:tc>
          <w:tcPr/>
          <w:p>
            <w:pPr>
              <w:pStyle w:val="Compact"/>
              <w:jc w:val="left"/>
            </w:pPr>
            <w:r>
              <w:t xml:space="preserve">districts.</w:t>
            </w:r>
          </w:p>
        </w:tc>
      </w:tr>
      <w:tr>
        <w:tc>
          <w:tcPr/>
          <w:p>
            <w:pPr>
              <w:pStyle w:val="Compact"/>
            </w:pPr>
          </w:p>
        </w:tc>
        <w:tc>
          <w:tcPr/>
          <w:p>
            <w:pPr>
              <w:pStyle w:val="Compact"/>
              <w:jc w:val="left"/>
            </w:pPr>
            <w:r>
              <w:t xml:space="preserve">Section 5.7.2 Applicability</w:t>
            </w:r>
          </w:p>
        </w:tc>
      </w:tr>
      <w:tr>
        <w:tc>
          <w:tcPr/>
          <w:p>
            <w:pPr>
              <w:pStyle w:val="Compact"/>
              <w:jc w:val="left"/>
            </w:pPr>
            <w:r>
              <w:t xml:space="preserve">This</w:t>
            </w:r>
          </w:p>
        </w:tc>
        <w:tc>
          <w:tcPr/>
          <w:p>
            <w:pPr>
              <w:pStyle w:val="Compact"/>
              <w:jc w:val="left"/>
            </w:pPr>
            <w:r>
              <w:t xml:space="preserve">section applies to all solar photovoltaic systems constructed or substantially modified after</w:t>
            </w:r>
          </w:p>
        </w:tc>
      </w:tr>
      <w:tr>
        <w:tc>
          <w:tcPr/>
          <w:p>
            <w:pPr>
              <w:pStyle w:val="Compact"/>
              <w:jc w:val="left"/>
            </w:pPr>
            <w:r>
              <w:t xml:space="preserve">the</w:t>
            </w:r>
          </w:p>
        </w:tc>
        <w:tc>
          <w:tcPr/>
          <w:p>
            <w:pPr>
              <w:pStyle w:val="Compact"/>
              <w:jc w:val="left"/>
            </w:pPr>
            <w:r>
              <w:t xml:space="preserve">effective date of this ordinance.</w:t>
            </w:r>
          </w:p>
        </w:tc>
      </w:tr>
      <w:tr>
        <w:tc>
          <w:tcPr/>
          <w:p>
            <w:pPr>
              <w:pStyle w:val="Compact"/>
            </w:pPr>
          </w:p>
        </w:tc>
        <w:tc>
          <w:tcPr/>
          <w:p>
            <w:pPr>
              <w:pStyle w:val="Compact"/>
              <w:jc w:val="left"/>
            </w:pPr>
            <w:r>
              <w:t xml:space="preserve">Section 5.7.3 Definitions</w:t>
            </w:r>
          </w:p>
        </w:tc>
      </w:tr>
      <w:tr>
        <w:tc>
          <w:tcPr/>
          <w:p>
            <w:pPr>
              <w:pStyle w:val="Compact"/>
            </w:pPr>
          </w:p>
        </w:tc>
        <w:tc>
          <w:tcPr/>
          <w:p>
            <w:pPr>
              <w:pStyle w:val="Compact"/>
              <w:jc w:val="left"/>
            </w:pPr>
            <w:r>
              <w:t xml:space="preserve">(a) Accessory use. For the purpose of this section, accessory use shall imply net</w:t>
            </w:r>
          </w:p>
        </w:tc>
      </w:tr>
      <w:tr>
        <w:tc>
          <w:tcPr/>
          <w:p>
            <w:pPr>
              <w:pStyle w:val="Compact"/>
            </w:pPr>
          </w:p>
        </w:tc>
        <w:tc>
          <w:tcPr/>
          <w:p>
            <w:pPr>
              <w:pStyle w:val="Compact"/>
              <w:jc w:val="left"/>
            </w:pPr>
            <w:r>
              <w:t xml:space="preserve">metering, ‘behind the meter’, electrical energy generated for the purpose of self-</w:t>
            </w:r>
          </w:p>
        </w:tc>
      </w:tr>
      <w:tr>
        <w:tc>
          <w:tcPr/>
          <w:p>
            <w:pPr>
              <w:pStyle w:val="Compact"/>
            </w:pPr>
          </w:p>
        </w:tc>
        <w:tc>
          <w:tcPr/>
          <w:p>
            <w:pPr>
              <w:pStyle w:val="Compact"/>
              <w:jc w:val="left"/>
            </w:pPr>
            <w:r>
              <w:t xml:space="preserve">supplying electrical energy to an existing land use.</w:t>
            </w:r>
          </w:p>
        </w:tc>
      </w:tr>
      <w:tr>
        <w:tc>
          <w:tcPr/>
          <w:p>
            <w:pPr>
              <w:pStyle w:val="Compact"/>
            </w:pPr>
          </w:p>
        </w:tc>
        <w:tc>
          <w:tcPr/>
          <w:p>
            <w:pPr>
              <w:pStyle w:val="Compact"/>
              <w:jc w:val="left"/>
            </w:pPr>
            <w:r>
              <w:t xml:space="preserve">(b) Applicant. An owner or authorized agent of the owner submitting an application. An</w:t>
            </w:r>
          </w:p>
        </w:tc>
      </w:tr>
      <w:tr>
        <w:tc>
          <w:tcPr/>
          <w:p>
            <w:pPr>
              <w:pStyle w:val="Compact"/>
            </w:pPr>
          </w:p>
        </w:tc>
        <w:tc>
          <w:tcPr/>
          <w:p>
            <w:pPr>
              <w:pStyle w:val="Compact"/>
              <w:jc w:val="left"/>
            </w:pPr>
            <w:r>
              <w:t xml:space="preserve">authorized agent is someone authorized in writing by the owner.</w:t>
            </w:r>
          </w:p>
        </w:tc>
      </w:tr>
      <w:tr>
        <w:tc>
          <w:tcPr/>
          <w:p>
            <w:pPr>
              <w:pStyle w:val="Compact"/>
            </w:pPr>
          </w:p>
        </w:tc>
        <w:tc>
          <w:tcPr/>
          <w:p>
            <w:pPr>
              <w:pStyle w:val="Compact"/>
              <w:jc w:val="left"/>
            </w:pPr>
            <w:r>
              <w:t xml:space="preserve">(c) Engineer. A registered Rhode Island Professional Engineer</w:t>
            </w:r>
          </w:p>
        </w:tc>
      </w:tr>
      <w:tr>
        <w:tc>
          <w:tcPr/>
          <w:p>
            <w:pPr>
              <w:pStyle w:val="Compact"/>
            </w:pPr>
          </w:p>
        </w:tc>
        <w:tc>
          <w:tcPr/>
          <w:p>
            <w:pPr>
              <w:pStyle w:val="Compact"/>
              <w:jc w:val="left"/>
            </w:pPr>
            <w:r>
              <w:t xml:space="preserve">(d) Height. The height of a solar photovoltaic system measured from pre-development grade</w:t>
            </w:r>
          </w:p>
        </w:tc>
      </w:tr>
      <w:tr>
        <w:tc>
          <w:tcPr/>
          <w:p>
            <w:pPr>
              <w:pStyle w:val="Compact"/>
            </w:pPr>
          </w:p>
        </w:tc>
        <w:tc>
          <w:tcPr/>
          <w:p>
            <w:pPr>
              <w:pStyle w:val="Compact"/>
              <w:jc w:val="left"/>
            </w:pPr>
            <w:r>
              <w:t xml:space="preserve">to the highest point of any portion of the system.</w:t>
            </w:r>
          </w:p>
        </w:tc>
      </w:tr>
      <w:tr>
        <w:tc>
          <w:tcPr/>
          <w:p>
            <w:pPr>
              <w:pStyle w:val="Compact"/>
            </w:pPr>
          </w:p>
        </w:tc>
        <w:tc>
          <w:tcPr/>
          <w:p>
            <w:pPr>
              <w:pStyle w:val="Compact"/>
              <w:jc w:val="left"/>
            </w:pPr>
            <w:r>
              <w:t xml:space="preserve">(e) Historic Site. Any site, structure, district or archaeological site which is included on a</w:t>
            </w:r>
          </w:p>
        </w:tc>
      </w:tr>
      <w:tr>
        <w:tc>
          <w:tcPr/>
          <w:p>
            <w:pPr>
              <w:pStyle w:val="Compact"/>
            </w:pPr>
          </w:p>
        </w:tc>
        <w:tc>
          <w:tcPr/>
          <w:p>
            <w:pPr>
              <w:pStyle w:val="Compact"/>
              <w:jc w:val="left"/>
            </w:pPr>
            <w:r>
              <w:t xml:space="preserve">Local, State, or National Register of Historic Places or which is established by qualified</w:t>
            </w:r>
          </w:p>
        </w:tc>
      </w:tr>
      <w:tr>
        <w:tc>
          <w:tcPr/>
          <w:p>
            <w:pPr>
              <w:pStyle w:val="Compact"/>
            </w:pPr>
          </w:p>
        </w:tc>
        <w:tc>
          <w:tcPr/>
          <w:p>
            <w:pPr>
              <w:pStyle w:val="Compact"/>
              <w:jc w:val="left"/>
            </w:pPr>
            <w:r>
              <w:t xml:space="preserve">testimony as being of historic significance.</w:t>
            </w:r>
          </w:p>
        </w:tc>
      </w:tr>
      <w:tr>
        <w:tc>
          <w:tcPr/>
          <w:p>
            <w:pPr>
              <w:pStyle w:val="Compact"/>
            </w:pPr>
          </w:p>
        </w:tc>
        <w:tc>
          <w:tcPr/>
          <w:p>
            <w:pPr>
              <w:pStyle w:val="Compact"/>
              <w:jc w:val="left"/>
            </w:pPr>
            <w:r>
              <w:t xml:space="preserve">(f) Ground-Mounted Solar Photovoltaic System: A Solar Photovoltaic System that has its</w:t>
            </w:r>
          </w:p>
        </w:tc>
      </w:tr>
      <w:tr>
        <w:tc>
          <w:tcPr/>
          <w:p>
            <w:pPr>
              <w:pStyle w:val="Compact"/>
            </w:pPr>
          </w:p>
        </w:tc>
        <w:tc>
          <w:tcPr/>
          <w:p>
            <w:pPr>
              <w:pStyle w:val="Compact"/>
              <w:jc w:val="left"/>
            </w:pPr>
            <w:r>
              <w:t xml:space="preserve">electricity-generating solar panels mounted on racks or frames that are attached to ground</w:t>
            </w:r>
          </w:p>
        </w:tc>
      </w:tr>
      <w:tr>
        <w:tc>
          <w:tcPr/>
          <w:p>
            <w:pPr>
              <w:pStyle w:val="Compact"/>
            </w:pPr>
          </w:p>
        </w:tc>
        <w:tc>
          <w:tcPr/>
          <w:p>
            <w:pPr>
              <w:pStyle w:val="Compact"/>
              <w:jc w:val="left"/>
            </w:pPr>
            <w:r>
              <w:t xml:space="preserve">based mounting supports.</w:t>
            </w:r>
          </w:p>
        </w:tc>
      </w:tr>
      <w:tr>
        <w:tc>
          <w:tcPr/>
          <w:p>
            <w:pPr>
              <w:pStyle w:val="Compact"/>
            </w:pPr>
          </w:p>
        </w:tc>
        <w:tc>
          <w:tcPr/>
          <w:p>
            <w:pPr>
              <w:pStyle w:val="Compact"/>
              <w:jc w:val="left"/>
            </w:pPr>
            <w:r>
              <w:t xml:space="preserve">(g) Non-Participating Landowner. Any landowner holding title in fee, other than a</w:t>
            </w:r>
          </w:p>
        </w:tc>
      </w:tr>
      <w:tr>
        <w:tc>
          <w:tcPr/>
          <w:p>
            <w:pPr>
              <w:pStyle w:val="Compact"/>
            </w:pPr>
          </w:p>
        </w:tc>
        <w:tc>
          <w:tcPr/>
          <w:p>
            <w:pPr>
              <w:pStyle w:val="Compact"/>
              <w:jc w:val="left"/>
            </w:pPr>
            <w:r>
              <w:t xml:space="preserve">Participating Landowner whose land is located in the Town of North Smithfield or in an</w:t>
            </w:r>
          </w:p>
        </w:tc>
      </w:tr>
      <w:tr>
        <w:tc>
          <w:tcPr/>
          <w:p>
            <w:pPr>
              <w:pStyle w:val="Compact"/>
            </w:pPr>
          </w:p>
        </w:tc>
        <w:tc>
          <w:tcPr/>
          <w:p>
            <w:pPr>
              <w:pStyle w:val="Compact"/>
              <w:jc w:val="left"/>
            </w:pPr>
            <w:r>
              <w:t xml:space="preserve">adjoining municipality adjacent to the proposed solar photovoltaic site.</w:t>
            </w:r>
          </w:p>
        </w:tc>
      </w:tr>
      <w:tr>
        <w:tc>
          <w:tcPr/>
          <w:p>
            <w:pPr>
              <w:pStyle w:val="Compact"/>
            </w:pPr>
          </w:p>
        </w:tc>
        <w:tc>
          <w:tcPr/>
          <w:p>
            <w:pPr>
              <w:pStyle w:val="Compact"/>
              <w:jc w:val="left"/>
            </w:pPr>
            <w:r>
              <w:t xml:space="preserve">(h) Occupied building. Any residence, school, hospital, house of worship and any other</w:t>
            </w:r>
          </w:p>
        </w:tc>
      </w:tr>
      <w:tr>
        <w:tc>
          <w:tcPr/>
          <w:p>
            <w:pPr>
              <w:pStyle w:val="Compact"/>
            </w:pPr>
          </w:p>
        </w:tc>
        <w:tc>
          <w:tcPr/>
          <w:p>
            <w:pPr>
              <w:pStyle w:val="Compact"/>
              <w:jc w:val="left"/>
            </w:pPr>
            <w:r>
              <w:t xml:space="preserve">building regularly occupied by or used by one or more persons on a regular basis.</w:t>
            </w:r>
          </w:p>
        </w:tc>
      </w:tr>
      <w:tr>
        <w:tc>
          <w:tcPr/>
          <w:p>
            <w:pPr>
              <w:pStyle w:val="Compact"/>
            </w:pPr>
          </w:p>
        </w:tc>
        <w:tc>
          <w:tcPr/>
          <w:p>
            <w:pPr>
              <w:pStyle w:val="Compact"/>
              <w:jc w:val="left"/>
            </w:pPr>
            <w:r>
              <w:t xml:space="preserve">Buildings ordinarily used for storage, such as garages, sheds, and the like, are not</w:t>
            </w:r>
          </w:p>
        </w:tc>
      </w:tr>
      <w:tr>
        <w:tc>
          <w:tcPr/>
          <w:p>
            <w:pPr>
              <w:pStyle w:val="Compact"/>
            </w:pPr>
          </w:p>
        </w:tc>
        <w:tc>
          <w:tcPr/>
          <w:p>
            <w:pPr>
              <w:pStyle w:val="Compact"/>
              <w:jc w:val="left"/>
            </w:pPr>
            <w:r>
              <w:t xml:space="preserve">occupied buildings even though they may be entered for brief periods on a daily basis.</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(i)</w:t>
            </w:r>
          </w:p>
        </w:tc>
        <w:tc>
          <w:tcPr/>
          <w:p>
            <w:pPr>
              <w:pStyle w:val="Compact"/>
              <w:jc w:val="left"/>
            </w:pPr>
            <w:r>
              <w:t xml:space="preserve">Owner-Operator. The Owner-Operator is the legal entity that owns the solar photovoltaic</w:t>
            </w:r>
          </w:p>
        </w:tc>
      </w:tr>
      <w:tr>
        <w:tc>
          <w:tcPr/>
          <w:p>
            <w:pPr>
              <w:pStyle w:val="Compact"/>
            </w:pPr>
          </w:p>
        </w:tc>
        <w:tc>
          <w:tcPr/>
          <w:p>
            <w:pPr>
              <w:pStyle w:val="Compact"/>
            </w:pPr>
          </w:p>
        </w:tc>
        <w:tc>
          <w:tcPr/>
          <w:p>
            <w:pPr>
              <w:pStyle w:val="Compact"/>
              <w:jc w:val="left"/>
            </w:pPr>
            <w:r>
              <w:t xml:space="preserve">system and its accessories and is responsible for the operation of the solar photovoltaic</w:t>
            </w:r>
          </w:p>
        </w:tc>
      </w:tr>
      <w:tr>
        <w:tc>
          <w:tcPr/>
          <w:p>
            <w:pPr>
              <w:pStyle w:val="Compact"/>
            </w:pPr>
          </w:p>
        </w:tc>
        <w:tc>
          <w:tcPr/>
          <w:p>
            <w:pPr>
              <w:pStyle w:val="Compact"/>
            </w:pPr>
          </w:p>
        </w:tc>
        <w:tc>
          <w:tcPr/>
          <w:p>
            <w:pPr>
              <w:pStyle w:val="Compact"/>
              <w:jc w:val="left"/>
            </w:pPr>
            <w:r>
              <w:t xml:space="preserve">system.</w:t>
            </w:r>
          </w:p>
        </w:tc>
      </w:tr>
      <w:tr>
        <w:tc>
          <w:tcPr/>
          <w:p>
            <w:pPr>
              <w:pStyle w:val="Compact"/>
            </w:pPr>
          </w:p>
        </w:tc>
        <w:tc>
          <w:tcPr/>
          <w:p>
            <w:pPr>
              <w:pStyle w:val="Compact"/>
              <w:jc w:val="left"/>
            </w:pPr>
            <w:r>
              <w:t xml:space="preserve">(j)</w:t>
            </w:r>
          </w:p>
        </w:tc>
        <w:tc>
          <w:tcPr/>
          <w:p>
            <w:pPr>
              <w:pStyle w:val="Compact"/>
              <w:jc w:val="left"/>
            </w:pPr>
            <w:r>
              <w:t xml:space="preserve">Participating Landowner. One or more persons that hold title in fee to the property on</w:t>
            </w:r>
          </w:p>
        </w:tc>
      </w:tr>
      <w:tr>
        <w:tc>
          <w:tcPr/>
          <w:p>
            <w:pPr>
              <w:pStyle w:val="Compact"/>
            </w:pPr>
          </w:p>
        </w:tc>
        <w:tc>
          <w:tcPr/>
          <w:p>
            <w:pPr>
              <w:pStyle w:val="Compact"/>
            </w:pPr>
          </w:p>
        </w:tc>
        <w:tc>
          <w:tcPr/>
          <w:p>
            <w:pPr>
              <w:pStyle w:val="Compact"/>
              <w:jc w:val="left"/>
            </w:pPr>
            <w:r>
              <w:t xml:space="preserve">which a solar photovoltaic system is to be constructed and operated.</w:t>
            </w:r>
          </w:p>
        </w:tc>
      </w:tr>
      <w:tr>
        <w:tc>
          <w:tcPr/>
          <w:p>
            <w:pPr>
              <w:pStyle w:val="Compact"/>
            </w:pPr>
          </w:p>
        </w:tc>
        <w:tc>
          <w:tcPr/>
          <w:p>
            <w:pPr>
              <w:pStyle w:val="Compact"/>
              <w:jc w:val="left"/>
            </w:pPr>
            <w:r>
              <w:t xml:space="preserve">(k)</w:t>
            </w:r>
          </w:p>
        </w:tc>
        <w:tc>
          <w:tcPr/>
          <w:p>
            <w:pPr>
              <w:pStyle w:val="Compact"/>
              <w:jc w:val="left"/>
            </w:pPr>
            <w:r>
              <w:t xml:space="preserve">Roof-Mounted Solar Photovoltaic System: A Solar Photovoltaic System that has its</w:t>
            </w:r>
          </w:p>
        </w:tc>
      </w:tr>
      <w:tr>
        <w:tc>
          <w:tcPr/>
          <w:p>
            <w:pPr>
              <w:pStyle w:val="Compact"/>
            </w:pPr>
          </w:p>
        </w:tc>
        <w:tc>
          <w:tcPr/>
          <w:p>
            <w:pPr>
              <w:pStyle w:val="Compact"/>
            </w:pPr>
          </w:p>
        </w:tc>
        <w:tc>
          <w:tcPr/>
          <w:p>
            <w:pPr>
              <w:pStyle w:val="Compact"/>
              <w:jc w:val="left"/>
            </w:pPr>
            <w:r>
              <w:t xml:space="preserve">electricity-generating solar panels mounted on the rooftop of a residential or commercial</w:t>
            </w:r>
          </w:p>
        </w:tc>
      </w:tr>
      <w:tr>
        <w:tc>
          <w:tcPr/>
          <w:p>
            <w:pPr>
              <w:pStyle w:val="Compact"/>
            </w:pPr>
          </w:p>
        </w:tc>
        <w:tc>
          <w:tcPr/>
          <w:p>
            <w:pPr>
              <w:pStyle w:val="Compact"/>
            </w:pPr>
          </w:p>
        </w:tc>
        <w:tc>
          <w:tcPr/>
          <w:p>
            <w:pPr>
              <w:pStyle w:val="Compact"/>
              <w:jc w:val="left"/>
            </w:pPr>
            <w:r>
              <w:t xml:space="preserve">building.</w:t>
            </w:r>
          </w:p>
        </w:tc>
      </w:tr>
      <w:tr>
        <w:tc>
          <w:tcPr/>
          <w:p>
            <w:pPr>
              <w:pStyle w:val="Compact"/>
            </w:pPr>
          </w:p>
        </w:tc>
        <w:tc>
          <w:tcPr/>
          <w:p>
            <w:pPr>
              <w:pStyle w:val="Compact"/>
              <w:jc w:val="left"/>
            </w:pPr>
            <w:r>
              <w:t xml:space="preserve">(l)</w:t>
            </w:r>
          </w:p>
        </w:tc>
        <w:tc>
          <w:tcPr/>
          <w:p>
            <w:pPr>
              <w:pStyle w:val="Compact"/>
              <w:jc w:val="left"/>
            </w:pPr>
            <w:r>
              <w:t xml:space="preserve">Setback line or lines. A line or lines parallel to a lot line at the minimum distance of the</w:t>
            </w:r>
          </w:p>
        </w:tc>
      </w:tr>
      <w:tr>
        <w:tc>
          <w:tcPr/>
          <w:p>
            <w:pPr>
              <w:pStyle w:val="Compact"/>
            </w:pPr>
          </w:p>
        </w:tc>
        <w:tc>
          <w:tcPr/>
          <w:p>
            <w:pPr>
              <w:pStyle w:val="Compact"/>
            </w:pPr>
          </w:p>
        </w:tc>
        <w:tc>
          <w:tcPr/>
          <w:p>
            <w:pPr>
              <w:pStyle w:val="Compact"/>
              <w:jc w:val="left"/>
            </w:pPr>
            <w:r>
              <w:t xml:space="preserve">required setback for the zoning district in which the lot is located that establishes the area</w:t>
            </w:r>
          </w:p>
        </w:tc>
      </w:tr>
      <w:tr>
        <w:tc>
          <w:tcPr/>
          <w:p>
            <w:pPr>
              <w:pStyle w:val="Compact"/>
            </w:pPr>
          </w:p>
        </w:tc>
        <w:tc>
          <w:tcPr/>
          <w:p>
            <w:pPr>
              <w:pStyle w:val="Compact"/>
            </w:pPr>
          </w:p>
        </w:tc>
        <w:tc>
          <w:tcPr/>
          <w:p>
            <w:pPr>
              <w:pStyle w:val="Compact"/>
              <w:jc w:val="left"/>
            </w:pPr>
            <w:r>
              <w:t xml:space="preserve">within which the principal structure must be erected or placed.</w:t>
            </w:r>
          </w:p>
        </w:tc>
      </w:tr>
      <w:tr>
        <w:tc>
          <w:tcPr/>
          <w:p>
            <w:pPr>
              <w:pStyle w:val="Compact"/>
            </w:pPr>
          </w:p>
        </w:tc>
        <w:tc>
          <w:tcPr/>
          <w:p>
            <w:pPr>
              <w:pStyle w:val="Compact"/>
              <w:jc w:val="left"/>
            </w:pPr>
            <w:r>
              <w:t xml:space="preserve">(m)</w:t>
            </w:r>
          </w:p>
        </w:tc>
        <w:tc>
          <w:tcPr/>
          <w:p>
            <w:pPr>
              <w:pStyle w:val="Compact"/>
              <w:jc w:val="left"/>
            </w:pPr>
            <w:r>
              <w:t xml:space="preserve">Solar Photovoltaic System: A power system designed to supply usable solar power by</w:t>
            </w:r>
          </w:p>
        </w:tc>
      </w:tr>
      <w:tr>
        <w:tc>
          <w:tcPr/>
          <w:p>
            <w:pPr>
              <w:pStyle w:val="Compact"/>
            </w:pPr>
          </w:p>
        </w:tc>
        <w:tc>
          <w:tcPr/>
          <w:p>
            <w:pPr>
              <w:pStyle w:val="Compact"/>
            </w:pPr>
          </w:p>
        </w:tc>
        <w:tc>
          <w:tcPr/>
          <w:p>
            <w:pPr>
              <w:pStyle w:val="Compact"/>
              <w:jc w:val="left"/>
            </w:pPr>
            <w:r>
              <w:t xml:space="preserve">means of photovoltaics. It consists of an arrangement of several components, including</w:t>
            </w:r>
          </w:p>
        </w:tc>
      </w:tr>
      <w:tr>
        <w:tc>
          <w:tcPr/>
          <w:p>
            <w:pPr>
              <w:pStyle w:val="Compact"/>
            </w:pPr>
          </w:p>
        </w:tc>
        <w:tc>
          <w:tcPr/>
          <w:p>
            <w:pPr>
              <w:pStyle w:val="Compact"/>
            </w:pPr>
          </w:p>
        </w:tc>
        <w:tc>
          <w:tcPr/>
          <w:p>
            <w:pPr>
              <w:pStyle w:val="Compact"/>
              <w:jc w:val="left"/>
            </w:pPr>
            <w:r>
              <w:t xml:space="preserve">solar panels to absorb and convert sunlight into electricity, a solar inverter to change the</w:t>
            </w:r>
          </w:p>
        </w:tc>
      </w:tr>
      <w:tr>
        <w:tc>
          <w:tcPr/>
          <w:p>
            <w:pPr>
              <w:pStyle w:val="Compact"/>
            </w:pPr>
          </w:p>
        </w:tc>
        <w:tc>
          <w:tcPr/>
          <w:p>
            <w:pPr>
              <w:pStyle w:val="Compact"/>
            </w:pPr>
          </w:p>
        </w:tc>
        <w:tc>
          <w:tcPr/>
          <w:p>
            <w:pPr>
              <w:pStyle w:val="Compact"/>
              <w:jc w:val="left"/>
            </w:pPr>
            <w:r>
              <w:t xml:space="preserve">electric current from DC to AC, as well as mounting, cabling and other electrical</w:t>
            </w:r>
          </w:p>
        </w:tc>
      </w:tr>
      <w:tr>
        <w:tc>
          <w:tcPr/>
          <w:p>
            <w:pPr>
              <w:pStyle w:val="Compact"/>
            </w:pPr>
          </w:p>
        </w:tc>
        <w:tc>
          <w:tcPr/>
          <w:p>
            <w:pPr>
              <w:pStyle w:val="Compact"/>
            </w:pPr>
          </w:p>
        </w:tc>
        <w:tc>
          <w:tcPr/>
          <w:p>
            <w:pPr>
              <w:pStyle w:val="Compact"/>
              <w:jc w:val="left"/>
            </w:pPr>
            <w:r>
              <w:t xml:space="preserve">accessories. Solar Photovoltaic systems convert light directly into electricity and</w:t>
            </w:r>
          </w:p>
        </w:tc>
      </w:tr>
      <w:tr>
        <w:tc>
          <w:tcPr/>
          <w:p>
            <w:pPr>
              <w:pStyle w:val="Compact"/>
            </w:pPr>
          </w:p>
        </w:tc>
        <w:tc>
          <w:tcPr/>
          <w:p>
            <w:pPr>
              <w:pStyle w:val="Compact"/>
            </w:pPr>
          </w:p>
        </w:tc>
        <w:tc>
          <w:tcPr/>
          <w:p>
            <w:pPr>
              <w:pStyle w:val="Compact"/>
              <w:jc w:val="left"/>
            </w:pPr>
            <w:r>
              <w:t xml:space="preserve">shouldn't be confused with other technologies, such as concentrated solar power or solar</w:t>
            </w:r>
          </w:p>
        </w:tc>
      </w:tr>
      <w:tr>
        <w:tc>
          <w:tcPr/>
          <w:p>
            <w:pPr>
              <w:pStyle w:val="Compact"/>
            </w:pPr>
          </w:p>
        </w:tc>
        <w:tc>
          <w:tcPr/>
          <w:p>
            <w:pPr>
              <w:pStyle w:val="Compact"/>
            </w:pPr>
          </w:p>
        </w:tc>
        <w:tc>
          <w:tcPr/>
          <w:p>
            <w:pPr>
              <w:pStyle w:val="Compact"/>
              <w:jc w:val="left"/>
            </w:pPr>
            <w:r>
              <w:t xml:space="preserve">thermal, used for heating and cooling.</w:t>
            </w:r>
          </w:p>
        </w:tc>
      </w:tr>
      <w:tr>
        <w:tc>
          <w:tcPr/>
          <w:p>
            <w:pPr>
              <w:pStyle w:val="Compact"/>
            </w:pPr>
          </w:p>
        </w:tc>
        <w:tc>
          <w:tcPr/>
          <w:p>
            <w:pPr>
              <w:pStyle w:val="Compact"/>
              <w:jc w:val="left"/>
            </w:pPr>
            <w:r>
              <w:t xml:space="preserve">Section</w:t>
            </w:r>
          </w:p>
        </w:tc>
        <w:tc>
          <w:tcPr/>
          <w:p>
            <w:pPr>
              <w:pStyle w:val="Compact"/>
              <w:jc w:val="left"/>
            </w:pPr>
            <w:r>
              <w:t xml:space="preserve">5.7.4 Requirements for Accessory Use Solar Photovoltaic Systems</w:t>
            </w:r>
          </w:p>
        </w:tc>
      </w:tr>
      <w:tr>
        <w:tc>
          <w:tcPr/>
          <w:p>
            <w:pPr>
              <w:pStyle w:val="Compact"/>
            </w:pPr>
          </w:p>
        </w:tc>
        <w:tc>
          <w:tcPr/>
          <w:p>
            <w:pPr>
              <w:pStyle w:val="Compact"/>
              <w:jc w:val="left"/>
            </w:pPr>
            <w:r>
              <w:t xml:space="preserve">Residential</w:t>
            </w:r>
          </w:p>
        </w:tc>
        <w:tc>
          <w:tcPr/>
          <w:p>
            <w:pPr>
              <w:pStyle w:val="Compact"/>
              <w:jc w:val="left"/>
            </w:pPr>
            <w:r>
              <w:t xml:space="preserve">zone districts. All ground-mounted accessory use solar photovoltaic systems within</w:t>
            </w:r>
          </w:p>
        </w:tc>
      </w:tr>
      <w:tr>
        <w:tc>
          <w:tcPr/>
          <w:p>
            <w:pPr>
              <w:pStyle w:val="Compact"/>
              <w:jc w:val="left"/>
            </w:pPr>
            <w:r>
              <w:t xml:space="preserve">REA,</w:t>
            </w:r>
          </w:p>
        </w:tc>
        <w:tc>
          <w:tcPr/>
          <w:p>
            <w:pPr>
              <w:pStyle w:val="Compact"/>
            </w:pPr>
          </w:p>
        </w:tc>
        <w:tc>
          <w:tcPr/>
          <w:p>
            <w:pPr>
              <w:pStyle w:val="Compact"/>
              <w:jc w:val="left"/>
            </w:pPr>
            <w:r>
              <w:t xml:space="preserve">RA, RS, and RU zone districts, shall meet or exceed the following applicable requirements</w:t>
            </w:r>
          </w:p>
        </w:tc>
      </w:tr>
      <w:tr>
        <w:tc>
          <w:tcPr/>
          <w:p>
            <w:pPr>
              <w:pStyle w:val="Compact"/>
              <w:jc w:val="left"/>
            </w:pPr>
            <w:r>
              <w:t xml:space="preserve">a</w:t>
            </w:r>
          </w:p>
        </w:tc>
        <w:tc>
          <w:tcPr/>
          <w:p>
            <w:pPr>
              <w:pStyle w:val="Compact"/>
              <w:jc w:val="left"/>
            </w:pPr>
            <w:r>
              <w:t xml:space="preserve">thru i,</w:t>
            </w:r>
          </w:p>
        </w:tc>
        <w:tc>
          <w:tcPr/>
          <w:p>
            <w:pPr>
              <w:pStyle w:val="Compact"/>
              <w:jc w:val="left"/>
            </w:pPr>
            <w:r>
              <w:t xml:space="preserve">in addition to typical special use permit requirements.</w:t>
            </w:r>
          </w:p>
        </w:tc>
      </w:tr>
      <w:tr>
        <w:tc>
          <w:tcPr/>
          <w:p>
            <w:pPr>
              <w:pStyle w:val="Compact"/>
            </w:pPr>
          </w:p>
        </w:tc>
        <w:tc>
          <w:tcPr/>
          <w:p>
            <w:pPr>
              <w:pStyle w:val="Compact"/>
            </w:pPr>
          </w:p>
        </w:tc>
        <w:tc>
          <w:tcPr/>
          <w:p>
            <w:pPr>
              <w:pStyle w:val="Compact"/>
              <w:jc w:val="left"/>
            </w:pPr>
            <w:r>
              <w:t xml:space="preserve">Non-residential zone districts. All rooftop or ground-mounted accessory use solar photovoltaic</w:t>
            </w:r>
          </w:p>
        </w:tc>
      </w:tr>
      <w:tr>
        <w:tc>
          <w:tcPr/>
          <w:p>
            <w:pPr>
              <w:pStyle w:val="Compact"/>
            </w:pPr>
          </w:p>
        </w:tc>
        <w:tc>
          <w:tcPr/>
          <w:p>
            <w:pPr>
              <w:pStyle w:val="Compact"/>
              <w:jc w:val="left"/>
            </w:pPr>
            <w:r>
              <w:t xml:space="preserve">systems</w:t>
            </w:r>
          </w:p>
        </w:tc>
        <w:tc>
          <w:tcPr/>
          <w:p>
            <w:pPr>
              <w:pStyle w:val="Compact"/>
              <w:jc w:val="left"/>
            </w:pPr>
            <w:r>
              <w:t xml:space="preserve">within the BH, BN, LC, and M zone districts, shall be allowed by right for existing,</w:t>
            </w:r>
          </w:p>
        </w:tc>
      </w:tr>
      <w:tr>
        <w:tc>
          <w:tcPr/>
          <w:p>
            <w:pPr>
              <w:pStyle w:val="Compact"/>
            </w:pPr>
          </w:p>
        </w:tc>
        <w:tc>
          <w:tcPr/>
          <w:p>
            <w:pPr>
              <w:pStyle w:val="Compact"/>
              <w:jc w:val="left"/>
            </w:pPr>
            <w:r>
              <w:t xml:space="preserve">developed</w:t>
            </w:r>
          </w:p>
        </w:tc>
        <w:tc>
          <w:tcPr/>
          <w:p>
            <w:pPr>
              <w:pStyle w:val="Compact"/>
              <w:jc w:val="left"/>
            </w:pPr>
            <w:r>
              <w:t xml:space="preserve">commercial or industrial sites. In the BH, LC or M zone, depending on the acreage</w:t>
            </w:r>
          </w:p>
        </w:tc>
      </w:tr>
      <w:tr>
        <w:tc>
          <w:tcPr/>
          <w:p>
            <w:pPr>
              <w:pStyle w:val="Compact"/>
            </w:pPr>
          </w:p>
        </w:tc>
        <w:tc>
          <w:tcPr/>
          <w:p>
            <w:pPr>
              <w:pStyle w:val="Compact"/>
              <w:jc w:val="left"/>
            </w:pPr>
            <w:r>
              <w:t xml:space="preserve">limitation</w:t>
            </w:r>
          </w:p>
        </w:tc>
        <w:tc>
          <w:tcPr/>
          <w:p>
            <w:pPr>
              <w:pStyle w:val="Compact"/>
              <w:jc w:val="left"/>
            </w:pPr>
            <w:r>
              <w:t xml:space="preserve">shown in Section 5.4.9.10, this may include commercial, non-accessory use (for profit)</w:t>
            </w:r>
          </w:p>
        </w:tc>
      </w:tr>
      <w:tr>
        <w:tc>
          <w:tcPr/>
          <w:p>
            <w:pPr>
              <w:pStyle w:val="Compact"/>
              <w:jc w:val="left"/>
            </w:pPr>
            <w:r>
              <w:t xml:space="preserve">solar</w:t>
            </w:r>
          </w:p>
        </w:tc>
        <w:tc>
          <w:tcPr/>
          <w:p>
            <w:pPr>
              <w:pStyle w:val="Compact"/>
            </w:pPr>
          </w:p>
        </w:tc>
        <w:tc>
          <w:tcPr/>
          <w:p>
            <w:pPr>
              <w:pStyle w:val="Compact"/>
              <w:jc w:val="left"/>
            </w:pPr>
            <w:r>
              <w:t xml:space="preserve">photovoltaic systems. In such instances, building permit applications shall meet or exceed</w:t>
            </w:r>
          </w:p>
        </w:tc>
      </w:tr>
      <w:tr>
        <w:tc>
          <w:tcPr/>
          <w:p>
            <w:pPr>
              <w:pStyle w:val="Compact"/>
              <w:jc w:val="left"/>
            </w:pPr>
            <w:r>
              <w:t xml:space="preserve">the</w:t>
            </w:r>
          </w:p>
        </w:tc>
        <w:tc>
          <w:tcPr/>
          <w:p>
            <w:pPr>
              <w:pStyle w:val="Compact"/>
            </w:pPr>
          </w:p>
        </w:tc>
        <w:tc>
          <w:tcPr/>
          <w:p>
            <w:pPr>
              <w:pStyle w:val="Compact"/>
              <w:jc w:val="left"/>
            </w:pPr>
            <w:r>
              <w:t xml:space="preserve">following applicable requirements and shall be addressed in the application:</w:t>
            </w:r>
          </w:p>
        </w:tc>
      </w:tr>
      <w:tr>
        <w:tc>
          <w:tcPr/>
          <w:p>
            <w:pPr>
              <w:pStyle w:val="Compact"/>
            </w:pPr>
          </w:p>
        </w:tc>
        <w:tc>
          <w:tcPr/>
          <w:p>
            <w:pPr>
              <w:pStyle w:val="Compact"/>
              <w:jc w:val="left"/>
            </w:pPr>
            <w:r>
              <w:t xml:space="preserve">(a)</w:t>
            </w:r>
          </w:p>
        </w:tc>
        <w:tc>
          <w:tcPr/>
          <w:p>
            <w:pPr>
              <w:pStyle w:val="Compact"/>
              <w:jc w:val="left"/>
            </w:pPr>
            <w:r>
              <w:t xml:space="preserve">No accessory use solar photovoltaic system may be constructed or substantially modified</w:t>
            </w:r>
          </w:p>
        </w:tc>
      </w:tr>
      <w:tr>
        <w:tc>
          <w:tcPr/>
          <w:p>
            <w:pPr>
              <w:pStyle w:val="Compact"/>
            </w:pPr>
          </w:p>
        </w:tc>
        <w:tc>
          <w:tcPr/>
          <w:p>
            <w:pPr>
              <w:pStyle w:val="Compact"/>
            </w:pPr>
          </w:p>
        </w:tc>
        <w:tc>
          <w:tcPr/>
          <w:p>
            <w:pPr>
              <w:pStyle w:val="Compact"/>
              <w:jc w:val="left"/>
            </w:pPr>
            <w:r>
              <w:t xml:space="preserve">without first obtaining a building permit.</w:t>
            </w:r>
          </w:p>
        </w:tc>
      </w:tr>
    </w:tbl>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(b)</w:t>
            </w:r>
          </w:p>
        </w:tc>
        <w:tc>
          <w:tcPr/>
          <w:p>
            <w:pPr>
              <w:pStyle w:val="Compact"/>
              <w:jc w:val="left"/>
            </w:pPr>
            <w:r>
              <w:t xml:space="preserve">Setbacks and building coverage – Setbacks and building coverage shall conform to the</w:t>
            </w:r>
          </w:p>
        </w:tc>
      </w:tr>
      <w:tr>
        <w:tc>
          <w:tcPr/>
          <w:p>
            <w:pPr>
              <w:pStyle w:val="Compact"/>
            </w:pPr>
          </w:p>
        </w:tc>
        <w:tc>
          <w:tcPr/>
          <w:p>
            <w:pPr>
              <w:pStyle w:val="Compact"/>
              <w:jc w:val="left"/>
            </w:pPr>
            <w:r>
              <w:t xml:space="preserve">setbacks and building coverage as specified for the zone in which the accessory ground-</w:t>
            </w:r>
          </w:p>
        </w:tc>
      </w:tr>
      <w:tr>
        <w:tc>
          <w:tcPr/>
          <w:p>
            <w:pPr>
              <w:pStyle w:val="Compact"/>
            </w:pPr>
          </w:p>
        </w:tc>
        <w:tc>
          <w:tcPr/>
          <w:p>
            <w:pPr>
              <w:pStyle w:val="Compact"/>
              <w:jc w:val="left"/>
            </w:pPr>
            <w:r>
              <w:t xml:space="preserve">mounted solar system is installed. The area for the solar system shall be treated as part of</w:t>
            </w:r>
          </w:p>
        </w:tc>
      </w:tr>
      <w:tr>
        <w:tc>
          <w:tcPr/>
          <w:p>
            <w:pPr>
              <w:pStyle w:val="Compact"/>
            </w:pPr>
          </w:p>
        </w:tc>
        <w:tc>
          <w:tcPr/>
          <w:p>
            <w:pPr>
              <w:pStyle w:val="Compact"/>
              <w:jc w:val="left"/>
            </w:pPr>
            <w:r>
              <w:t xml:space="preserve">the total lot building coverage.</w:t>
            </w:r>
          </w:p>
        </w:tc>
      </w:tr>
      <w:tr>
        <w:tc>
          <w:tcPr/>
          <w:p>
            <w:pPr>
              <w:pStyle w:val="Compact"/>
              <w:jc w:val="left"/>
            </w:pPr>
            <w:r>
              <w:t xml:space="preserve">(c)</w:t>
            </w:r>
          </w:p>
        </w:tc>
        <w:tc>
          <w:tcPr/>
          <w:p>
            <w:pPr>
              <w:pStyle w:val="Compact"/>
              <w:jc w:val="left"/>
            </w:pPr>
            <w:r>
              <w:t xml:space="preserve">Fencing – A security fence shall be installed and maintained surrounding all components</w:t>
            </w:r>
          </w:p>
        </w:tc>
      </w:tr>
      <w:tr>
        <w:tc>
          <w:tcPr/>
          <w:p>
            <w:pPr>
              <w:pStyle w:val="Compact"/>
            </w:pPr>
          </w:p>
        </w:tc>
        <w:tc>
          <w:tcPr/>
          <w:p>
            <w:pPr>
              <w:pStyle w:val="Compact"/>
              <w:jc w:val="left"/>
            </w:pPr>
            <w:r>
              <w:t xml:space="preserve">of accessory ground-mounted solar systems. The fence shall be not less than six feet and</w:t>
            </w:r>
          </w:p>
        </w:tc>
      </w:tr>
      <w:tr>
        <w:tc>
          <w:tcPr/>
          <w:p>
            <w:pPr>
              <w:pStyle w:val="Compact"/>
            </w:pPr>
          </w:p>
        </w:tc>
        <w:tc>
          <w:tcPr/>
          <w:p>
            <w:pPr>
              <w:pStyle w:val="Compact"/>
              <w:jc w:val="left"/>
            </w:pPr>
            <w:r>
              <w:t xml:space="preserve">not more than ten feet high.</w:t>
            </w:r>
          </w:p>
        </w:tc>
      </w:tr>
      <w:tr>
        <w:tc>
          <w:tcPr/>
          <w:p>
            <w:pPr>
              <w:pStyle w:val="Compact"/>
              <w:jc w:val="left"/>
            </w:pPr>
            <w:r>
              <w:t xml:space="preserve">(d)</w:t>
            </w:r>
          </w:p>
        </w:tc>
        <w:tc>
          <w:tcPr/>
          <w:p>
            <w:pPr>
              <w:pStyle w:val="Compact"/>
              <w:jc w:val="left"/>
            </w:pPr>
            <w:r>
              <w:t xml:space="preserve">Signs – Clearly visible warning signs concerning voltage shall be placed along the</w:t>
            </w:r>
          </w:p>
        </w:tc>
      </w:tr>
      <w:tr>
        <w:tc>
          <w:tcPr/>
          <w:p>
            <w:pPr>
              <w:pStyle w:val="Compact"/>
            </w:pPr>
          </w:p>
        </w:tc>
        <w:tc>
          <w:tcPr/>
          <w:p>
            <w:pPr>
              <w:pStyle w:val="Compact"/>
              <w:jc w:val="left"/>
            </w:pPr>
            <w:r>
              <w:t xml:space="preserve">security fence. The signs shall identify the owner and have a 24-hour phone contact for</w:t>
            </w:r>
          </w:p>
        </w:tc>
      </w:tr>
      <w:tr>
        <w:tc>
          <w:tcPr/>
          <w:p>
            <w:pPr>
              <w:pStyle w:val="Compact"/>
            </w:pPr>
          </w:p>
        </w:tc>
        <w:tc>
          <w:tcPr/>
          <w:p>
            <w:pPr>
              <w:pStyle w:val="Compact"/>
              <w:jc w:val="left"/>
            </w:pPr>
            <w:r>
              <w:t xml:space="preserve">emergencies. These signs shall be exempt from the requirements of Section 6.17 Sign</w:t>
            </w:r>
          </w:p>
        </w:tc>
      </w:tr>
      <w:tr>
        <w:tc>
          <w:tcPr/>
          <w:p>
            <w:pPr>
              <w:pStyle w:val="Compact"/>
            </w:pPr>
          </w:p>
        </w:tc>
        <w:tc>
          <w:tcPr/>
          <w:p>
            <w:pPr>
              <w:pStyle w:val="Compact"/>
              <w:jc w:val="left"/>
            </w:pPr>
            <w:r>
              <w:t xml:space="preserve">Regulations.</w:t>
            </w:r>
          </w:p>
        </w:tc>
      </w:tr>
      <w:tr>
        <w:tc>
          <w:tcPr/>
          <w:p>
            <w:pPr>
              <w:pStyle w:val="Compact"/>
              <w:jc w:val="left"/>
            </w:pPr>
            <w:r>
              <w:t xml:space="preserve">(e)</w:t>
            </w:r>
          </w:p>
        </w:tc>
        <w:tc>
          <w:tcPr/>
          <w:p>
            <w:pPr>
              <w:pStyle w:val="Compact"/>
              <w:jc w:val="left"/>
            </w:pPr>
            <w:r>
              <w:t xml:space="preserve">Accessory use solar photovoltaic systems shall be constructed and operated in a manner</w:t>
            </w:r>
          </w:p>
        </w:tc>
      </w:tr>
      <w:tr>
        <w:tc>
          <w:tcPr/>
          <w:p>
            <w:pPr>
              <w:pStyle w:val="Compact"/>
            </w:pPr>
          </w:p>
        </w:tc>
        <w:tc>
          <w:tcPr/>
          <w:p>
            <w:pPr>
              <w:pStyle w:val="Compact"/>
              <w:jc w:val="left"/>
            </w:pPr>
            <w:r>
              <w:t xml:space="preserve">that minimizes any adverse visual, safety, and environmental impacts.</w:t>
            </w:r>
          </w:p>
        </w:tc>
      </w:tr>
      <w:tr>
        <w:tc>
          <w:tcPr/>
          <w:p>
            <w:pPr>
              <w:pStyle w:val="Compact"/>
              <w:jc w:val="left"/>
            </w:pPr>
            <w:r>
              <w:t xml:space="preserve">(f)</w:t>
            </w:r>
          </w:p>
        </w:tc>
        <w:tc>
          <w:tcPr/>
          <w:p>
            <w:pPr>
              <w:pStyle w:val="Compact"/>
              <w:jc w:val="left"/>
            </w:pPr>
            <w:r>
              <w:t xml:space="preserve">Roof-mounted systems - roof setback: For maintenance and fire prevention safety the</w:t>
            </w:r>
          </w:p>
        </w:tc>
      </w:tr>
      <w:tr>
        <w:tc>
          <w:tcPr/>
          <w:p>
            <w:pPr>
              <w:pStyle w:val="Compact"/>
            </w:pPr>
          </w:p>
        </w:tc>
        <w:tc>
          <w:tcPr/>
          <w:p>
            <w:pPr>
              <w:pStyle w:val="Compact"/>
              <w:jc w:val="left"/>
            </w:pPr>
            <w:r>
              <w:t xml:space="preserve">solar panels and mounts shall be set back from the edge of the roof and the top of the</w:t>
            </w:r>
          </w:p>
        </w:tc>
      </w:tr>
      <w:tr>
        <w:tc>
          <w:tcPr/>
          <w:p>
            <w:pPr>
              <w:pStyle w:val="Compact"/>
            </w:pPr>
          </w:p>
        </w:tc>
        <w:tc>
          <w:tcPr/>
          <w:p>
            <w:pPr>
              <w:pStyle w:val="Compact"/>
              <w:jc w:val="left"/>
            </w:pPr>
            <w:r>
              <w:t xml:space="preserve">ridge line a minimum of 18 inches.</w:t>
            </w:r>
          </w:p>
        </w:tc>
      </w:tr>
      <w:tr>
        <w:tc>
          <w:tcPr/>
          <w:p>
            <w:pPr>
              <w:pStyle w:val="Compact"/>
              <w:jc w:val="left"/>
            </w:pPr>
            <w:r>
              <w:t xml:space="preserve">(g)</w:t>
            </w:r>
          </w:p>
        </w:tc>
        <w:tc>
          <w:tcPr/>
          <w:p>
            <w:pPr>
              <w:pStyle w:val="Compact"/>
              <w:jc w:val="left"/>
            </w:pPr>
            <w:r>
              <w:t xml:space="preserve">Systems within developed BH, LC, or M zone district areas shall include design</w:t>
            </w:r>
          </w:p>
        </w:tc>
      </w:tr>
      <w:tr>
        <w:tc>
          <w:tcPr/>
          <w:p>
            <w:pPr>
              <w:pStyle w:val="Compact"/>
            </w:pPr>
          </w:p>
        </w:tc>
        <w:tc>
          <w:tcPr/>
          <w:p>
            <w:pPr>
              <w:pStyle w:val="Compact"/>
              <w:jc w:val="left"/>
            </w:pPr>
            <w:r>
              <w:t xml:space="preserve">provisions for safe lighting in the case of parking lots, snow removal, utility connections</w:t>
            </w:r>
          </w:p>
        </w:tc>
      </w:tr>
      <w:tr>
        <w:tc>
          <w:tcPr/>
          <w:p>
            <w:pPr>
              <w:pStyle w:val="Compact"/>
            </w:pPr>
          </w:p>
        </w:tc>
        <w:tc>
          <w:tcPr/>
          <w:p>
            <w:pPr>
              <w:pStyle w:val="Compact"/>
              <w:jc w:val="left"/>
            </w:pPr>
            <w:r>
              <w:t xml:space="preserve">and parking space requirements. Compliance with zoning parking requirements shall be</w:t>
            </w:r>
          </w:p>
        </w:tc>
      </w:tr>
      <w:tr>
        <w:tc>
          <w:tcPr/>
          <w:p>
            <w:pPr>
              <w:pStyle w:val="Compact"/>
            </w:pPr>
          </w:p>
        </w:tc>
        <w:tc>
          <w:tcPr/>
          <w:p>
            <w:pPr>
              <w:pStyle w:val="Compact"/>
              <w:jc w:val="left"/>
            </w:pPr>
            <w:r>
              <w:t xml:space="preserve">maintained in the event support structures compromise existing parking spaces.</w:t>
            </w:r>
          </w:p>
        </w:tc>
      </w:tr>
      <w:tr>
        <w:tc>
          <w:tcPr/>
          <w:p>
            <w:pPr>
              <w:pStyle w:val="Compact"/>
              <w:jc w:val="left"/>
            </w:pPr>
            <w:r>
              <w:t xml:space="preserve">(h)</w:t>
            </w:r>
          </w:p>
        </w:tc>
        <w:tc>
          <w:tcPr/>
          <w:p>
            <w:pPr>
              <w:pStyle w:val="Compact"/>
              <w:jc w:val="left"/>
            </w:pPr>
            <w:r>
              <w:t xml:space="preserve">No installation or operation of an accessory use solar photovoltaic system shall result in</w:t>
            </w:r>
          </w:p>
        </w:tc>
      </w:tr>
      <w:tr>
        <w:tc>
          <w:tcPr/>
          <w:p>
            <w:pPr>
              <w:pStyle w:val="Compact"/>
            </w:pPr>
          </w:p>
        </w:tc>
        <w:tc>
          <w:tcPr/>
          <w:p>
            <w:pPr>
              <w:pStyle w:val="Compact"/>
              <w:jc w:val="left"/>
            </w:pPr>
            <w:r>
              <w:t xml:space="preserve">any form of trespass at any time. Solar reflection onto a neighboring property from the</w:t>
            </w:r>
          </w:p>
        </w:tc>
      </w:tr>
      <w:tr>
        <w:tc>
          <w:tcPr/>
          <w:p>
            <w:pPr>
              <w:pStyle w:val="Compact"/>
            </w:pPr>
          </w:p>
        </w:tc>
        <w:tc>
          <w:tcPr/>
          <w:p>
            <w:pPr>
              <w:pStyle w:val="Compact"/>
              <w:jc w:val="left"/>
            </w:pPr>
            <w:r>
              <w:t xml:space="preserve">ground level up to 35 feet (or any existing building that is above 35 feet) or noise</w:t>
            </w:r>
          </w:p>
        </w:tc>
      </w:tr>
      <w:tr>
        <w:tc>
          <w:tcPr/>
          <w:p>
            <w:pPr>
              <w:pStyle w:val="Compact"/>
            </w:pPr>
          </w:p>
        </w:tc>
        <w:tc>
          <w:tcPr/>
          <w:p>
            <w:pPr>
              <w:pStyle w:val="Compact"/>
              <w:jc w:val="left"/>
            </w:pPr>
            <w:r>
              <w:t xml:space="preserve">generation above ambient beyond a lot line on which a solar photovoltaic system is</w:t>
            </w:r>
          </w:p>
        </w:tc>
      </w:tr>
      <w:tr>
        <w:tc>
          <w:tcPr/>
          <w:p>
            <w:pPr>
              <w:pStyle w:val="Compact"/>
            </w:pPr>
          </w:p>
        </w:tc>
        <w:tc>
          <w:tcPr/>
          <w:p>
            <w:pPr>
              <w:pStyle w:val="Compact"/>
              <w:jc w:val="left"/>
            </w:pPr>
            <w:r>
              <w:t xml:space="preserve">located or increased shading upon a neighboring property shall be considered a trespass.</w:t>
            </w:r>
          </w:p>
        </w:tc>
      </w:tr>
      <w:tr>
        <w:tc>
          <w:tcPr/>
          <w:p>
            <w:pPr>
              <w:pStyle w:val="Compact"/>
            </w:pPr>
          </w:p>
        </w:tc>
        <w:tc>
          <w:tcPr/>
          <w:p>
            <w:pPr>
              <w:pStyle w:val="Compact"/>
              <w:jc w:val="left"/>
            </w:pPr>
            <w:r>
              <w:t xml:space="preserve">(1) Solar Reflection. Accessory use solar photovoltaic systems shall be designed and</w:t>
            </w:r>
          </w:p>
        </w:tc>
      </w:tr>
      <w:tr>
        <w:tc>
          <w:tcPr/>
          <w:p>
            <w:pPr>
              <w:pStyle w:val="Compact"/>
            </w:pPr>
          </w:p>
        </w:tc>
        <w:tc>
          <w:tcPr/>
          <w:p>
            <w:pPr>
              <w:pStyle w:val="Compact"/>
              <w:jc w:val="left"/>
            </w:pPr>
            <w:r>
              <w:t xml:space="preserve">operated to eliminate solar reflection from the ground level up to 35 feet (or on any</w:t>
            </w:r>
          </w:p>
        </w:tc>
      </w:tr>
      <w:tr>
        <w:tc>
          <w:tcPr/>
          <w:p>
            <w:pPr>
              <w:pStyle w:val="Compact"/>
            </w:pPr>
          </w:p>
        </w:tc>
        <w:tc>
          <w:tcPr/>
          <w:p>
            <w:pPr>
              <w:pStyle w:val="Compact"/>
              <w:jc w:val="left"/>
            </w:pPr>
            <w:r>
              <w:t xml:space="preserve">existing building that is above 35 feet) upon all neighboring properties.</w:t>
            </w:r>
          </w:p>
        </w:tc>
      </w:tr>
      <w:tr>
        <w:tc>
          <w:tcPr/>
          <w:p>
            <w:pPr>
              <w:pStyle w:val="Compact"/>
            </w:pPr>
          </w:p>
        </w:tc>
        <w:tc>
          <w:tcPr/>
          <w:p>
            <w:pPr>
              <w:pStyle w:val="Compact"/>
              <w:jc w:val="left"/>
            </w:pPr>
            <w:r>
              <w:t xml:space="preserve">(2) Noise Generation: Accessory use solar photovoltaic systems shall not generate noise</w:t>
            </w:r>
          </w:p>
        </w:tc>
      </w:tr>
      <w:tr>
        <w:tc>
          <w:tcPr/>
          <w:p>
            <w:pPr>
              <w:pStyle w:val="Compact"/>
            </w:pPr>
          </w:p>
        </w:tc>
        <w:tc>
          <w:tcPr/>
          <w:p>
            <w:pPr>
              <w:pStyle w:val="Compact"/>
              <w:jc w:val="left"/>
            </w:pPr>
            <w:r>
              <w:t xml:space="preserve">above ambient beyond a lot line on which a solar photovoltaic system is installed.</w:t>
            </w:r>
          </w:p>
        </w:tc>
      </w:tr>
      <w:tr>
        <w:tc>
          <w:tcPr/>
          <w:p>
            <w:pPr>
              <w:pStyle w:val="Compact"/>
            </w:pPr>
          </w:p>
        </w:tc>
        <w:tc>
          <w:tcPr/>
          <w:p>
            <w:pPr>
              <w:pStyle w:val="Compact"/>
              <w:jc w:val="left"/>
            </w:pPr>
            <w:r>
              <w:t xml:space="preserve">(3) If after completion and operation of the roof-mounted solar photovoltaic system, solar</w:t>
            </w:r>
          </w:p>
        </w:tc>
      </w:tr>
      <w:tr>
        <w:tc>
          <w:tcPr/>
          <w:p>
            <w:pPr>
              <w:pStyle w:val="Compact"/>
            </w:pPr>
          </w:p>
        </w:tc>
        <w:tc>
          <w:tcPr/>
          <w:p>
            <w:pPr>
              <w:pStyle w:val="Compact"/>
              <w:jc w:val="left"/>
            </w:pPr>
            <w:r>
              <w:t xml:space="preserve">reflection or noise or shading produced by the solar photovoltaic system is found to</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pPr>
          </w:p>
        </w:tc>
        <w:tc>
          <w:tcPr/>
          <w:p>
            <w:pPr>
              <w:pStyle w:val="Compact"/>
              <w:jc w:val="left"/>
            </w:pPr>
            <w:r>
              <w:t xml:space="preserve">exist upon neighboring properties, the Building/Zoning Official shall shut down the</w:t>
            </w:r>
          </w:p>
        </w:tc>
      </w:tr>
      <w:tr>
        <w:tc>
          <w:tcPr/>
          <w:p>
            <w:pPr>
              <w:pStyle w:val="Compact"/>
            </w:pPr>
          </w:p>
        </w:tc>
        <w:tc>
          <w:tcPr/>
          <w:p>
            <w:pPr>
              <w:pStyle w:val="Compact"/>
            </w:pPr>
          </w:p>
        </w:tc>
        <w:tc>
          <w:tcPr/>
          <w:p>
            <w:pPr>
              <w:pStyle w:val="Compact"/>
              <w:jc w:val="left"/>
            </w:pPr>
            <w:r>
              <w:t xml:space="preserve">solar photovoltaic system and have it covered, if necessary, to prevent reflection.</w:t>
            </w:r>
          </w:p>
        </w:tc>
      </w:tr>
      <w:tr>
        <w:tc>
          <w:tcPr/>
          <w:p>
            <w:pPr>
              <w:pStyle w:val="Compact"/>
            </w:pPr>
          </w:p>
        </w:tc>
        <w:tc>
          <w:tcPr/>
          <w:p>
            <w:pPr>
              <w:pStyle w:val="Compact"/>
            </w:pPr>
          </w:p>
        </w:tc>
        <w:tc>
          <w:tcPr/>
          <w:p>
            <w:pPr>
              <w:pStyle w:val="Compact"/>
              <w:jc w:val="left"/>
            </w:pPr>
            <w:r>
              <w:t xml:space="preserve">Testing shall be at Applicant’s, Participating Landowner’s or Owner-Operator’s</w:t>
            </w:r>
          </w:p>
        </w:tc>
      </w:tr>
      <w:tr>
        <w:tc>
          <w:tcPr/>
          <w:p>
            <w:pPr>
              <w:pStyle w:val="Compact"/>
            </w:pPr>
          </w:p>
        </w:tc>
        <w:tc>
          <w:tcPr/>
          <w:p>
            <w:pPr>
              <w:pStyle w:val="Compact"/>
            </w:pPr>
          </w:p>
        </w:tc>
        <w:tc>
          <w:tcPr/>
          <w:p>
            <w:pPr>
              <w:pStyle w:val="Compact"/>
              <w:jc w:val="left"/>
            </w:pPr>
            <w:r>
              <w:t xml:space="preserve">expense.</w:t>
            </w:r>
          </w:p>
        </w:tc>
      </w:tr>
      <w:tr>
        <w:tc>
          <w:tcPr/>
          <w:p>
            <w:pPr>
              <w:pStyle w:val="Compact"/>
            </w:pPr>
          </w:p>
        </w:tc>
        <w:tc>
          <w:tcPr/>
          <w:p>
            <w:pPr>
              <w:pStyle w:val="Compact"/>
              <w:jc w:val="left"/>
            </w:pPr>
            <w:r>
              <w:t xml:space="preserve">(i)</w:t>
            </w:r>
          </w:p>
        </w:tc>
        <w:tc>
          <w:tcPr/>
          <w:p>
            <w:pPr>
              <w:pStyle w:val="Compact"/>
              <w:jc w:val="left"/>
            </w:pPr>
            <w:r>
              <w:t xml:space="preserve">Nothing contained herein shall have the effect of waiving or limiting the building</w:t>
            </w:r>
          </w:p>
        </w:tc>
      </w:tr>
      <w:tr>
        <w:tc>
          <w:tcPr/>
          <w:p>
            <w:pPr>
              <w:pStyle w:val="Compact"/>
            </w:pPr>
          </w:p>
        </w:tc>
        <w:tc>
          <w:tcPr/>
          <w:p>
            <w:pPr>
              <w:pStyle w:val="Compact"/>
            </w:pPr>
          </w:p>
        </w:tc>
        <w:tc>
          <w:tcPr/>
          <w:p>
            <w:pPr>
              <w:pStyle w:val="Compact"/>
              <w:jc w:val="left"/>
            </w:pPr>
            <w:r>
              <w:t xml:space="preserve">official's authority to enforce codes with respect to examination of the system, including</w:t>
            </w:r>
          </w:p>
        </w:tc>
      </w:tr>
      <w:tr>
        <w:tc>
          <w:tcPr/>
          <w:p>
            <w:pPr>
              <w:pStyle w:val="Compact"/>
            </w:pPr>
          </w:p>
        </w:tc>
        <w:tc>
          <w:tcPr/>
          <w:p>
            <w:pPr>
              <w:pStyle w:val="Compact"/>
            </w:pPr>
          </w:p>
        </w:tc>
        <w:tc>
          <w:tcPr/>
          <w:p>
            <w:pPr>
              <w:pStyle w:val="Compact"/>
              <w:jc w:val="left"/>
            </w:pPr>
            <w:r>
              <w:t xml:space="preserve">plans, computations, specifications, and field inspections.</w:t>
            </w:r>
          </w:p>
        </w:tc>
      </w:tr>
      <w:tr>
        <w:tc>
          <w:tcPr/>
          <w:p>
            <w:pPr>
              <w:pStyle w:val="Compact"/>
            </w:pPr>
          </w:p>
        </w:tc>
        <w:tc>
          <w:tcPr/>
          <w:p>
            <w:pPr>
              <w:pStyle w:val="Compact"/>
              <w:jc w:val="left"/>
            </w:pPr>
            <w:r>
              <w:t xml:space="preserve">Section</w:t>
            </w:r>
          </w:p>
        </w:tc>
        <w:tc>
          <w:tcPr/>
          <w:p>
            <w:pPr>
              <w:pStyle w:val="Compact"/>
              <w:jc w:val="left"/>
            </w:pPr>
            <w:r>
              <w:t xml:space="preserve">5.7.5 Requirements for Ground-Mounted Solar Photovoltaic Systems</w:t>
            </w:r>
          </w:p>
        </w:tc>
      </w:tr>
      <w:tr>
        <w:tc>
          <w:tcPr/>
          <w:p>
            <w:pPr>
              <w:pStyle w:val="Compact"/>
              <w:jc w:val="left"/>
            </w:pPr>
            <w:r>
              <w:t xml:space="preserve">All</w:t>
            </w:r>
          </w:p>
        </w:tc>
        <w:tc>
          <w:tcPr/>
          <w:p>
            <w:pPr>
              <w:pStyle w:val="Compact"/>
            </w:pPr>
          </w:p>
        </w:tc>
        <w:tc>
          <w:tcPr/>
          <w:p>
            <w:pPr>
              <w:pStyle w:val="Compact"/>
              <w:jc w:val="left"/>
            </w:pPr>
            <w:r>
              <w:t xml:space="preserve">non-accessory use ground-mounted solar photovoltaic systems shall meet or exceed the</w:t>
            </w:r>
          </w:p>
        </w:tc>
      </w:tr>
      <w:tr>
        <w:tc>
          <w:tcPr/>
          <w:p>
            <w:pPr>
              <w:pStyle w:val="Compact"/>
            </w:pPr>
          </w:p>
        </w:tc>
        <w:tc>
          <w:tcPr/>
          <w:p>
            <w:pPr>
              <w:pStyle w:val="Compact"/>
              <w:jc w:val="left"/>
            </w:pPr>
            <w:r>
              <w:t xml:space="preserve">following</w:t>
            </w:r>
          </w:p>
        </w:tc>
        <w:tc>
          <w:tcPr/>
          <w:p>
            <w:pPr>
              <w:pStyle w:val="Compact"/>
              <w:jc w:val="left"/>
            </w:pPr>
            <w:r>
              <w:t xml:space="preserve">requirements and shall be addressed in the application:</w:t>
            </w:r>
          </w:p>
        </w:tc>
      </w:tr>
      <w:tr>
        <w:tc>
          <w:tcPr/>
          <w:p>
            <w:pPr>
              <w:pStyle w:val="Compact"/>
            </w:pPr>
          </w:p>
        </w:tc>
        <w:tc>
          <w:tcPr/>
          <w:p>
            <w:pPr>
              <w:pStyle w:val="Compact"/>
              <w:jc w:val="left"/>
            </w:pPr>
            <w:r>
              <w:t xml:space="preserve">(a)</w:t>
            </w:r>
          </w:p>
        </w:tc>
        <w:tc>
          <w:tcPr/>
          <w:p>
            <w:pPr>
              <w:pStyle w:val="Compact"/>
              <w:jc w:val="left"/>
            </w:pPr>
            <w:r>
              <w:t xml:space="preserve">No solar photovoltaic system may be constructed or substantially modified without first</w:t>
            </w:r>
          </w:p>
        </w:tc>
      </w:tr>
      <w:tr>
        <w:tc>
          <w:tcPr/>
          <w:p>
            <w:pPr>
              <w:pStyle w:val="Compact"/>
            </w:pPr>
          </w:p>
        </w:tc>
        <w:tc>
          <w:tcPr/>
          <w:p>
            <w:pPr>
              <w:pStyle w:val="Compact"/>
            </w:pPr>
          </w:p>
        </w:tc>
        <w:tc>
          <w:tcPr/>
          <w:p>
            <w:pPr>
              <w:pStyle w:val="Compact"/>
              <w:jc w:val="left"/>
            </w:pPr>
            <w:r>
              <w:t xml:space="preserve">obtaining a special-use permit. No solar photovoltaic system shall be permitted within</w:t>
            </w:r>
          </w:p>
        </w:tc>
      </w:tr>
      <w:tr>
        <w:tc>
          <w:tcPr/>
          <w:p>
            <w:pPr>
              <w:pStyle w:val="Compact"/>
            </w:pPr>
          </w:p>
        </w:tc>
        <w:tc>
          <w:tcPr/>
          <w:p>
            <w:pPr>
              <w:pStyle w:val="Compact"/>
            </w:pPr>
          </w:p>
        </w:tc>
        <w:tc>
          <w:tcPr/>
          <w:p>
            <w:pPr>
              <w:pStyle w:val="Compact"/>
              <w:jc w:val="left"/>
            </w:pPr>
            <w:r>
              <w:t xml:space="preserve">250 feet of an historic site or historic structure.</w:t>
            </w:r>
          </w:p>
        </w:tc>
      </w:tr>
      <w:tr>
        <w:tc>
          <w:tcPr/>
          <w:p>
            <w:pPr>
              <w:pStyle w:val="Compact"/>
            </w:pPr>
          </w:p>
        </w:tc>
        <w:tc>
          <w:tcPr/>
          <w:p>
            <w:pPr>
              <w:pStyle w:val="Compact"/>
              <w:jc w:val="left"/>
            </w:pPr>
            <w:r>
              <w:t xml:space="preserve">(b)</w:t>
            </w:r>
          </w:p>
        </w:tc>
        <w:tc>
          <w:tcPr/>
          <w:p>
            <w:pPr>
              <w:pStyle w:val="Compact"/>
              <w:jc w:val="left"/>
            </w:pPr>
            <w:r>
              <w:t xml:space="preserve">In order to be eligible for a solar photovoltaic system, the parcel in question must be at</w:t>
            </w:r>
          </w:p>
        </w:tc>
      </w:tr>
      <w:tr>
        <w:tc>
          <w:tcPr/>
          <w:p>
            <w:pPr>
              <w:pStyle w:val="Compact"/>
            </w:pPr>
          </w:p>
        </w:tc>
        <w:tc>
          <w:tcPr/>
          <w:p>
            <w:pPr>
              <w:pStyle w:val="Compact"/>
            </w:pPr>
          </w:p>
        </w:tc>
        <w:tc>
          <w:tcPr/>
          <w:p>
            <w:pPr>
              <w:pStyle w:val="Compact"/>
              <w:jc w:val="left"/>
            </w:pPr>
            <w:r>
              <w:t xml:space="preserve">minimum six (6) acres in size, the parcel must be vacant. Furthermore, the proposed</w:t>
            </w:r>
          </w:p>
        </w:tc>
      </w:tr>
      <w:tr>
        <w:tc>
          <w:tcPr/>
          <w:p>
            <w:pPr>
              <w:pStyle w:val="Compact"/>
            </w:pPr>
          </w:p>
        </w:tc>
        <w:tc>
          <w:tcPr/>
          <w:p>
            <w:pPr>
              <w:pStyle w:val="Compact"/>
            </w:pPr>
          </w:p>
        </w:tc>
        <w:tc>
          <w:tcPr/>
          <w:p>
            <w:pPr>
              <w:pStyle w:val="Compact"/>
              <w:jc w:val="left"/>
            </w:pPr>
            <w:r>
              <w:t xml:space="preserve">solar array (inside fenced area) must not exceed thirty percent (30%) of the gross lot area,</w:t>
            </w:r>
          </w:p>
        </w:tc>
      </w:tr>
      <w:tr>
        <w:tc>
          <w:tcPr/>
          <w:p>
            <w:pPr>
              <w:pStyle w:val="Compact"/>
            </w:pPr>
          </w:p>
        </w:tc>
        <w:tc>
          <w:tcPr/>
          <w:p>
            <w:pPr>
              <w:pStyle w:val="Compact"/>
            </w:pPr>
          </w:p>
        </w:tc>
        <w:tc>
          <w:tcPr/>
          <w:p>
            <w:pPr>
              <w:pStyle w:val="Compact"/>
              <w:jc w:val="left"/>
            </w:pPr>
            <w:r>
              <w:t xml:space="preserve">or exceed six (6) acres, whichever is less.</w:t>
            </w:r>
          </w:p>
        </w:tc>
      </w:tr>
      <w:tr>
        <w:tc>
          <w:tcPr/>
          <w:p>
            <w:pPr>
              <w:pStyle w:val="Compact"/>
            </w:pPr>
          </w:p>
        </w:tc>
        <w:tc>
          <w:tcPr/>
          <w:p>
            <w:pPr>
              <w:pStyle w:val="Compact"/>
              <w:jc w:val="left"/>
            </w:pPr>
            <w:r>
              <w:t xml:space="preserve">(c)</w:t>
            </w:r>
          </w:p>
        </w:tc>
        <w:tc>
          <w:tcPr/>
          <w:p>
            <w:pPr>
              <w:pStyle w:val="Compact"/>
              <w:jc w:val="left"/>
            </w:pPr>
            <w:r>
              <w:t xml:space="preserve">Provided dimensional lot area and frontage requirements can be met, a lot may be</w:t>
            </w:r>
          </w:p>
        </w:tc>
      </w:tr>
      <w:tr>
        <w:tc>
          <w:tcPr/>
          <w:p>
            <w:pPr>
              <w:pStyle w:val="Compact"/>
            </w:pPr>
          </w:p>
        </w:tc>
        <w:tc>
          <w:tcPr/>
          <w:p>
            <w:pPr>
              <w:pStyle w:val="Compact"/>
            </w:pPr>
          </w:p>
        </w:tc>
        <w:tc>
          <w:tcPr/>
          <w:p>
            <w:pPr>
              <w:pStyle w:val="Compact"/>
              <w:jc w:val="left"/>
            </w:pPr>
            <w:r>
              <w:t xml:space="preserve">subdivided to create a vacant parcel to support a solar system provided all appurtenance</w:t>
            </w:r>
          </w:p>
        </w:tc>
      </w:tr>
      <w:tr>
        <w:tc>
          <w:tcPr/>
          <w:p>
            <w:pPr>
              <w:pStyle w:val="Compact"/>
            </w:pPr>
          </w:p>
        </w:tc>
        <w:tc>
          <w:tcPr/>
          <w:p>
            <w:pPr>
              <w:pStyle w:val="Compact"/>
            </w:pPr>
          </w:p>
        </w:tc>
        <w:tc>
          <w:tcPr/>
          <w:p>
            <w:pPr>
              <w:pStyle w:val="Compact"/>
              <w:jc w:val="left"/>
            </w:pPr>
            <w:r>
              <w:t xml:space="preserve">structures and connections are located entirely within the vacant property.</w:t>
            </w:r>
          </w:p>
        </w:tc>
      </w:tr>
      <w:tr>
        <w:tc>
          <w:tcPr/>
          <w:p>
            <w:pPr>
              <w:pStyle w:val="Compact"/>
            </w:pPr>
          </w:p>
        </w:tc>
        <w:tc>
          <w:tcPr/>
          <w:p>
            <w:pPr>
              <w:pStyle w:val="Compact"/>
              <w:jc w:val="left"/>
            </w:pPr>
            <w:r>
              <w:t xml:space="preserve">(d)</w:t>
            </w:r>
          </w:p>
        </w:tc>
        <w:tc>
          <w:tcPr/>
          <w:p>
            <w:pPr>
              <w:pStyle w:val="Compact"/>
              <w:jc w:val="left"/>
            </w:pPr>
            <w:r>
              <w:t xml:space="preserve">Setbacks.</w:t>
            </w:r>
          </w:p>
        </w:tc>
      </w:tr>
      <w:tr>
        <w:tc>
          <w:tcPr/>
          <w:p>
            <w:pPr>
              <w:pStyle w:val="Compact"/>
            </w:pPr>
          </w:p>
        </w:tc>
        <w:tc>
          <w:tcPr/>
          <w:p>
            <w:pPr>
              <w:pStyle w:val="Compact"/>
            </w:pPr>
          </w:p>
        </w:tc>
        <w:tc>
          <w:tcPr/>
          <w:p>
            <w:pPr>
              <w:pStyle w:val="Compact"/>
              <w:jc w:val="left"/>
            </w:pPr>
            <w:r>
              <w:t xml:space="preserve">(1) Consistent with Section 5.7.5 (g) Visual Buffer and Setback, all solar arrays must be</w:t>
            </w:r>
          </w:p>
        </w:tc>
      </w:tr>
      <w:tr>
        <w:tc>
          <w:tcPr/>
          <w:p>
            <w:pPr>
              <w:pStyle w:val="Compact"/>
            </w:pPr>
          </w:p>
        </w:tc>
        <w:tc>
          <w:tcPr/>
          <w:p>
            <w:pPr>
              <w:pStyle w:val="Compact"/>
            </w:pPr>
          </w:p>
        </w:tc>
        <w:tc>
          <w:tcPr/>
          <w:p>
            <w:pPr>
              <w:pStyle w:val="Compact"/>
              <w:jc w:val="left"/>
            </w:pPr>
            <w:r>
              <w:t xml:space="preserve">set back a minimum of 100 feet from property lines.</w:t>
            </w:r>
          </w:p>
        </w:tc>
      </w:tr>
      <w:tr>
        <w:tc>
          <w:tcPr/>
          <w:p>
            <w:pPr>
              <w:pStyle w:val="Compact"/>
            </w:pPr>
          </w:p>
        </w:tc>
        <w:tc>
          <w:tcPr/>
          <w:p>
            <w:pPr>
              <w:pStyle w:val="Compact"/>
            </w:pPr>
          </w:p>
        </w:tc>
        <w:tc>
          <w:tcPr/>
          <w:p>
            <w:pPr>
              <w:pStyle w:val="Compact"/>
              <w:jc w:val="left"/>
            </w:pPr>
            <w:r>
              <w:t xml:space="preserve">(2) Water Bodies and Wetlands: Setbacks must comply with state environmental</w:t>
            </w:r>
          </w:p>
        </w:tc>
      </w:tr>
      <w:tr>
        <w:tc>
          <w:tcPr/>
          <w:p>
            <w:pPr>
              <w:pStyle w:val="Compact"/>
            </w:pPr>
          </w:p>
        </w:tc>
        <w:tc>
          <w:tcPr/>
          <w:p>
            <w:pPr>
              <w:pStyle w:val="Compact"/>
            </w:pPr>
          </w:p>
        </w:tc>
        <w:tc>
          <w:tcPr/>
          <w:p>
            <w:pPr>
              <w:pStyle w:val="Compact"/>
              <w:jc w:val="left"/>
            </w:pPr>
            <w:r>
              <w:t xml:space="preserve">regulations.</w:t>
            </w:r>
          </w:p>
        </w:tc>
      </w:tr>
      <w:tr>
        <w:tc>
          <w:tcPr/>
          <w:p>
            <w:pPr>
              <w:pStyle w:val="Compact"/>
            </w:pPr>
          </w:p>
        </w:tc>
        <w:tc>
          <w:tcPr/>
          <w:p>
            <w:pPr>
              <w:pStyle w:val="Compact"/>
              <w:jc w:val="left"/>
            </w:pPr>
            <w:r>
              <w:t xml:space="preserve">(e)</w:t>
            </w:r>
          </w:p>
        </w:tc>
        <w:tc>
          <w:tcPr/>
          <w:p>
            <w:pPr>
              <w:pStyle w:val="Compact"/>
              <w:jc w:val="left"/>
            </w:pPr>
            <w:r>
              <w:t xml:space="preserve">No installation or operation of a solar photovoltaic system shall result in any form of</w:t>
            </w:r>
          </w:p>
        </w:tc>
      </w:tr>
      <w:tr>
        <w:tc>
          <w:tcPr/>
          <w:p>
            <w:pPr>
              <w:pStyle w:val="Compact"/>
            </w:pPr>
          </w:p>
        </w:tc>
        <w:tc>
          <w:tcPr/>
          <w:p>
            <w:pPr>
              <w:pStyle w:val="Compact"/>
            </w:pPr>
          </w:p>
        </w:tc>
        <w:tc>
          <w:tcPr/>
          <w:p>
            <w:pPr>
              <w:pStyle w:val="Compact"/>
              <w:jc w:val="left"/>
            </w:pPr>
            <w:r>
              <w:t xml:space="preserve">trespass at any time.</w:t>
            </w:r>
          </w:p>
        </w:tc>
      </w:tr>
      <w:tr>
        <w:tc>
          <w:tcPr/>
          <w:p>
            <w:pPr>
              <w:pStyle w:val="Compact"/>
            </w:pPr>
          </w:p>
        </w:tc>
        <w:tc>
          <w:tcPr/>
          <w:p>
            <w:pPr>
              <w:pStyle w:val="Compact"/>
            </w:pPr>
          </w:p>
        </w:tc>
        <w:tc>
          <w:tcPr/>
          <w:p>
            <w:pPr>
              <w:pStyle w:val="Compact"/>
              <w:jc w:val="left"/>
            </w:pPr>
            <w:r>
              <w:t xml:space="preserve">(1) Solar Reflection. Solar photovoltaic systems shall be designed and operated to</w:t>
            </w:r>
          </w:p>
        </w:tc>
      </w:tr>
      <w:tr>
        <w:tc>
          <w:tcPr/>
          <w:p>
            <w:pPr>
              <w:pStyle w:val="Compact"/>
            </w:pPr>
          </w:p>
        </w:tc>
        <w:tc>
          <w:tcPr/>
          <w:p>
            <w:pPr>
              <w:pStyle w:val="Compact"/>
            </w:pPr>
          </w:p>
        </w:tc>
        <w:tc>
          <w:tcPr/>
          <w:p>
            <w:pPr>
              <w:pStyle w:val="Compact"/>
              <w:jc w:val="left"/>
            </w:pPr>
            <w:r>
              <w:t xml:space="preserve">eliminate solar reflection from the ground level up to 35 feet (or on any existing</w:t>
            </w:r>
          </w:p>
        </w:tc>
      </w:tr>
      <w:tr>
        <w:tc>
          <w:tcPr/>
          <w:p>
            <w:pPr>
              <w:pStyle w:val="Compact"/>
            </w:pPr>
          </w:p>
        </w:tc>
        <w:tc>
          <w:tcPr/>
          <w:p>
            <w:pPr>
              <w:pStyle w:val="Compact"/>
            </w:pPr>
          </w:p>
        </w:tc>
        <w:tc>
          <w:tcPr/>
          <w:p>
            <w:pPr>
              <w:pStyle w:val="Compact"/>
              <w:jc w:val="left"/>
            </w:pPr>
            <w:r>
              <w:t xml:space="preserve">building that is above 35 feet) upon all neighboring properties.</w:t>
            </w:r>
          </w:p>
        </w:tc>
      </w:tr>
    </w:tbl>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(2) Noise Generation: Solar photovoltaic systems shall not generate noise above ambient</w:t>
            </w:r>
          </w:p>
        </w:tc>
      </w:tr>
      <w:tr>
        <w:tc>
          <w:tcPr/>
          <w:p>
            <w:pPr>
              <w:pStyle w:val="Compact"/>
            </w:pPr>
          </w:p>
        </w:tc>
        <w:tc>
          <w:tcPr/>
          <w:p>
            <w:pPr>
              <w:pStyle w:val="Compact"/>
              <w:jc w:val="left"/>
            </w:pPr>
            <w:r>
              <w:t xml:space="preserve">beyond a lot line on which a solar photovoltaic system is installed. Specifically, there</w:t>
            </w:r>
          </w:p>
        </w:tc>
      </w:tr>
      <w:tr>
        <w:tc>
          <w:tcPr/>
          <w:p>
            <w:pPr>
              <w:pStyle w:val="Compact"/>
            </w:pPr>
          </w:p>
        </w:tc>
        <w:tc>
          <w:tcPr/>
          <w:p>
            <w:pPr>
              <w:pStyle w:val="Compact"/>
              <w:jc w:val="left"/>
            </w:pPr>
            <w:r>
              <w:t xml:space="preserve">shall be a 0db increase over the ambient levels at the Applicant’s property boundary</w:t>
            </w:r>
          </w:p>
        </w:tc>
      </w:tr>
      <w:tr>
        <w:tc>
          <w:tcPr/>
          <w:p>
            <w:pPr>
              <w:pStyle w:val="Compact"/>
            </w:pPr>
          </w:p>
        </w:tc>
        <w:tc>
          <w:tcPr/>
          <w:p>
            <w:pPr>
              <w:pStyle w:val="Compact"/>
              <w:jc w:val="left"/>
            </w:pPr>
            <w:r>
              <w:t xml:space="preserve">lines. The ambient sound shall be determined with pre-application acoustical testing</w:t>
            </w:r>
          </w:p>
        </w:tc>
      </w:tr>
      <w:tr>
        <w:tc>
          <w:tcPr/>
          <w:p>
            <w:pPr>
              <w:pStyle w:val="Compact"/>
            </w:pPr>
          </w:p>
        </w:tc>
        <w:tc>
          <w:tcPr/>
          <w:p>
            <w:pPr>
              <w:pStyle w:val="Compact"/>
              <w:jc w:val="left"/>
            </w:pPr>
            <w:r>
              <w:t xml:space="preserve">of said sound levels at the property boundary lines, said testing to account for day and</w:t>
            </w:r>
          </w:p>
        </w:tc>
      </w:tr>
      <w:tr>
        <w:tc>
          <w:tcPr/>
          <w:p>
            <w:pPr>
              <w:pStyle w:val="Compact"/>
            </w:pPr>
          </w:p>
        </w:tc>
        <w:tc>
          <w:tcPr/>
          <w:p>
            <w:pPr>
              <w:pStyle w:val="Compact"/>
              <w:jc w:val="left"/>
            </w:pPr>
            <w:r>
              <w:t xml:space="preserve">evening levels. This standard shall apply to all solar photovoltaic systems in the</w:t>
            </w:r>
          </w:p>
        </w:tc>
      </w:tr>
      <w:tr>
        <w:tc>
          <w:tcPr/>
          <w:p>
            <w:pPr>
              <w:pStyle w:val="Compact"/>
            </w:pPr>
          </w:p>
        </w:tc>
        <w:tc>
          <w:tcPr/>
          <w:p>
            <w:pPr>
              <w:pStyle w:val="Compact"/>
              <w:jc w:val="left"/>
            </w:pPr>
            <w:r>
              <w:t xml:space="preserve">aggregate that are proposed to be located at the site. After installation, testing shall be</w:t>
            </w:r>
          </w:p>
        </w:tc>
      </w:tr>
      <w:tr>
        <w:tc>
          <w:tcPr/>
          <w:p>
            <w:pPr>
              <w:pStyle w:val="Compact"/>
            </w:pPr>
          </w:p>
        </w:tc>
        <w:tc>
          <w:tcPr/>
          <w:p>
            <w:pPr>
              <w:pStyle w:val="Compact"/>
              <w:jc w:val="left"/>
            </w:pPr>
            <w:r>
              <w:t xml:space="preserve">performed to confirm compliance by measuring sound levels at the property lines</w:t>
            </w:r>
          </w:p>
        </w:tc>
      </w:tr>
      <w:tr>
        <w:tc>
          <w:tcPr/>
          <w:p>
            <w:pPr>
              <w:pStyle w:val="Compact"/>
            </w:pPr>
          </w:p>
        </w:tc>
        <w:tc>
          <w:tcPr/>
          <w:p>
            <w:pPr>
              <w:pStyle w:val="Compact"/>
              <w:jc w:val="left"/>
            </w:pPr>
            <w:r>
              <w:t xml:space="preserve">with the solar photovoltaic system in operation and with the solar photovoltaic system</w:t>
            </w:r>
          </w:p>
        </w:tc>
      </w:tr>
      <w:tr>
        <w:tc>
          <w:tcPr/>
          <w:p>
            <w:pPr>
              <w:pStyle w:val="Compact"/>
            </w:pPr>
          </w:p>
        </w:tc>
        <w:tc>
          <w:tcPr/>
          <w:p>
            <w:pPr>
              <w:pStyle w:val="Compact"/>
              <w:jc w:val="left"/>
            </w:pPr>
            <w:r>
              <w:t xml:space="preserve">shut down to confirm no increase in ambient noise. Testing shall be at</w:t>
            </w:r>
          </w:p>
        </w:tc>
      </w:tr>
      <w:tr>
        <w:tc>
          <w:tcPr/>
          <w:p>
            <w:pPr>
              <w:pStyle w:val="Compact"/>
            </w:pPr>
          </w:p>
        </w:tc>
        <w:tc>
          <w:tcPr/>
          <w:p>
            <w:pPr>
              <w:pStyle w:val="Compact"/>
              <w:jc w:val="left"/>
            </w:pPr>
            <w:r>
              <w:t xml:space="preserve">Applicant’s/Participating Landowners/Owner-Operator's expense.</w:t>
            </w:r>
          </w:p>
        </w:tc>
      </w:tr>
      <w:tr>
        <w:tc>
          <w:tcPr/>
          <w:p>
            <w:pPr>
              <w:pStyle w:val="Compact"/>
            </w:pPr>
          </w:p>
        </w:tc>
        <w:tc>
          <w:tcPr/>
          <w:p>
            <w:pPr>
              <w:pStyle w:val="Compact"/>
              <w:jc w:val="left"/>
            </w:pPr>
            <w:r>
              <w:t xml:space="preserve">(3) The Applicant has the burden of showing that the solar photovoltaic system will not</w:t>
            </w:r>
          </w:p>
        </w:tc>
      </w:tr>
      <w:tr>
        <w:tc>
          <w:tcPr/>
          <w:p>
            <w:pPr>
              <w:pStyle w:val="Compact"/>
            </w:pPr>
          </w:p>
        </w:tc>
        <w:tc>
          <w:tcPr/>
          <w:p>
            <w:pPr>
              <w:pStyle w:val="Compact"/>
              <w:jc w:val="left"/>
            </w:pPr>
            <w:r>
              <w:t xml:space="preserve">have a significant adverse impact on neighboring property. A failure to meet this</w:t>
            </w:r>
          </w:p>
        </w:tc>
      </w:tr>
      <w:tr>
        <w:tc>
          <w:tcPr/>
          <w:p>
            <w:pPr>
              <w:pStyle w:val="Compact"/>
            </w:pPr>
          </w:p>
        </w:tc>
        <w:tc>
          <w:tcPr/>
          <w:p>
            <w:pPr>
              <w:pStyle w:val="Compact"/>
              <w:jc w:val="left"/>
            </w:pPr>
            <w:r>
              <w:t xml:space="preserve">burden of proof shall result in denial of the solar photovoltaic system application. If</w:t>
            </w:r>
          </w:p>
        </w:tc>
      </w:tr>
      <w:tr>
        <w:tc>
          <w:tcPr/>
          <w:p>
            <w:pPr>
              <w:pStyle w:val="Compact"/>
            </w:pPr>
          </w:p>
        </w:tc>
        <w:tc>
          <w:tcPr/>
          <w:p>
            <w:pPr>
              <w:pStyle w:val="Compact"/>
              <w:jc w:val="left"/>
            </w:pPr>
            <w:r>
              <w:t xml:space="preserve">after completion and operation of the solar photovoltaic system, solar reflection or</w:t>
            </w:r>
          </w:p>
        </w:tc>
      </w:tr>
      <w:tr>
        <w:tc>
          <w:tcPr/>
          <w:p>
            <w:pPr>
              <w:pStyle w:val="Compact"/>
            </w:pPr>
          </w:p>
        </w:tc>
        <w:tc>
          <w:tcPr/>
          <w:p>
            <w:pPr>
              <w:pStyle w:val="Compact"/>
              <w:jc w:val="left"/>
            </w:pPr>
            <w:r>
              <w:t xml:space="preserve">noise produced by the solar photovoltaic system is found to exist upon neighboring</w:t>
            </w:r>
          </w:p>
        </w:tc>
      </w:tr>
      <w:tr>
        <w:tc>
          <w:tcPr/>
          <w:p>
            <w:pPr>
              <w:pStyle w:val="Compact"/>
            </w:pPr>
          </w:p>
        </w:tc>
        <w:tc>
          <w:tcPr/>
          <w:p>
            <w:pPr>
              <w:pStyle w:val="Compact"/>
              <w:jc w:val="left"/>
            </w:pPr>
            <w:r>
              <w:t xml:space="preserve">properties, the Building/Zoning Official Inspector shall order a shut-down of the solar</w:t>
            </w:r>
          </w:p>
        </w:tc>
      </w:tr>
      <w:tr>
        <w:tc>
          <w:tcPr/>
          <w:p>
            <w:pPr>
              <w:pStyle w:val="Compact"/>
            </w:pPr>
          </w:p>
        </w:tc>
        <w:tc>
          <w:tcPr/>
          <w:p>
            <w:pPr>
              <w:pStyle w:val="Compact"/>
              <w:jc w:val="left"/>
            </w:pPr>
            <w:r>
              <w:t xml:space="preserve">photovoltaic system and have it covered, if necessary, to prevent reflection. Testing</w:t>
            </w:r>
          </w:p>
        </w:tc>
      </w:tr>
      <w:tr>
        <w:tc>
          <w:tcPr/>
          <w:p>
            <w:pPr>
              <w:pStyle w:val="Compact"/>
            </w:pPr>
          </w:p>
        </w:tc>
        <w:tc>
          <w:tcPr/>
          <w:p>
            <w:pPr>
              <w:pStyle w:val="Compact"/>
              <w:jc w:val="left"/>
            </w:pPr>
            <w:r>
              <w:t xml:space="preserve">shall be at Applicant’s, Participating Landowner’s or Owner-Operator’s expense.</w:t>
            </w:r>
          </w:p>
        </w:tc>
      </w:tr>
      <w:tr>
        <w:tc>
          <w:tcPr/>
          <w:p>
            <w:pPr>
              <w:pStyle w:val="Compact"/>
              <w:jc w:val="left"/>
            </w:pPr>
            <w:r>
              <w:t xml:space="preserve">(f)</w:t>
            </w:r>
          </w:p>
        </w:tc>
        <w:tc>
          <w:tcPr/>
          <w:p>
            <w:pPr>
              <w:pStyle w:val="Compact"/>
              <w:jc w:val="left"/>
            </w:pPr>
            <w:r>
              <w:t xml:space="preserve">Wildlife, fauna access and migratory patterns to remain unaffected. A solar photovoltaic</w:t>
            </w:r>
          </w:p>
        </w:tc>
      </w:tr>
      <w:tr>
        <w:tc>
          <w:tcPr/>
          <w:p>
            <w:pPr>
              <w:pStyle w:val="Compact"/>
            </w:pPr>
          </w:p>
        </w:tc>
        <w:tc>
          <w:tcPr/>
          <w:p>
            <w:pPr>
              <w:pStyle w:val="Compact"/>
              <w:jc w:val="left"/>
            </w:pPr>
            <w:r>
              <w:t xml:space="preserve">system and its required fencing shall not have an unreasonable adverse effect on fauna’s</w:t>
            </w:r>
          </w:p>
        </w:tc>
      </w:tr>
      <w:tr>
        <w:tc>
          <w:tcPr/>
          <w:p>
            <w:pPr>
              <w:pStyle w:val="Compact"/>
            </w:pPr>
          </w:p>
        </w:tc>
        <w:tc>
          <w:tcPr/>
          <w:p>
            <w:pPr>
              <w:pStyle w:val="Compact"/>
              <w:jc w:val="left"/>
            </w:pPr>
            <w:r>
              <w:t xml:space="preserve">natural access for feeding, nesting, breeding, transit and migratory patterns. A solar</w:t>
            </w:r>
          </w:p>
        </w:tc>
      </w:tr>
      <w:tr>
        <w:tc>
          <w:tcPr/>
          <w:p>
            <w:pPr>
              <w:pStyle w:val="Compact"/>
            </w:pPr>
          </w:p>
        </w:tc>
        <w:tc>
          <w:tcPr/>
          <w:p>
            <w:pPr>
              <w:pStyle w:val="Compact"/>
              <w:jc w:val="left"/>
            </w:pPr>
            <w:r>
              <w:t xml:space="preserve">photovoltaic system and its required fencing shall not have an unreasonable adverse</w:t>
            </w:r>
          </w:p>
        </w:tc>
      </w:tr>
      <w:tr>
        <w:tc>
          <w:tcPr/>
          <w:p>
            <w:pPr>
              <w:pStyle w:val="Compact"/>
            </w:pPr>
          </w:p>
        </w:tc>
        <w:tc>
          <w:tcPr/>
          <w:p>
            <w:pPr>
              <w:pStyle w:val="Compact"/>
              <w:jc w:val="left"/>
            </w:pPr>
            <w:r>
              <w:t xml:space="preserve">effect on rare, threatened or endangered wildlife habitat, rare, threatened or endangered</w:t>
            </w:r>
          </w:p>
        </w:tc>
      </w:tr>
      <w:tr>
        <w:tc>
          <w:tcPr/>
          <w:p>
            <w:pPr>
              <w:pStyle w:val="Compact"/>
            </w:pPr>
          </w:p>
        </w:tc>
        <w:tc>
          <w:tcPr/>
          <w:p>
            <w:pPr>
              <w:pStyle w:val="Compact"/>
              <w:jc w:val="left"/>
            </w:pPr>
            <w:r>
              <w:t xml:space="preserve">plants and rare and exemplary plant communities. In making its determination under this</w:t>
            </w:r>
          </w:p>
        </w:tc>
      </w:tr>
      <w:tr>
        <w:tc>
          <w:tcPr/>
          <w:p>
            <w:pPr>
              <w:pStyle w:val="Compact"/>
            </w:pPr>
          </w:p>
        </w:tc>
        <w:tc>
          <w:tcPr/>
          <w:p>
            <w:pPr>
              <w:pStyle w:val="Compact"/>
              <w:jc w:val="left"/>
            </w:pPr>
            <w:r>
              <w:t xml:space="preserve">subsection, the Zoning Board of Review shall consider pertinent application materials</w:t>
            </w:r>
          </w:p>
        </w:tc>
      </w:tr>
      <w:tr>
        <w:tc>
          <w:tcPr/>
          <w:p>
            <w:pPr>
              <w:pStyle w:val="Compact"/>
            </w:pPr>
          </w:p>
        </w:tc>
        <w:tc>
          <w:tcPr/>
          <w:p>
            <w:pPr>
              <w:pStyle w:val="Compact"/>
              <w:jc w:val="left"/>
            </w:pPr>
            <w:r>
              <w:t xml:space="preserve">and the written comments and/or recommendations, if any, of the North Smithfield</w:t>
            </w:r>
          </w:p>
        </w:tc>
      </w:tr>
      <w:tr>
        <w:tc>
          <w:tcPr/>
          <w:p>
            <w:pPr>
              <w:pStyle w:val="Compact"/>
            </w:pPr>
          </w:p>
        </w:tc>
        <w:tc>
          <w:tcPr/>
          <w:p>
            <w:pPr>
              <w:pStyle w:val="Compact"/>
              <w:jc w:val="left"/>
            </w:pPr>
            <w:r>
              <w:t xml:space="preserve">Conservation Commission, Planning Board, Rhode Island Department of Environmental</w:t>
            </w:r>
          </w:p>
        </w:tc>
      </w:tr>
      <w:tr>
        <w:tc>
          <w:tcPr/>
          <w:p>
            <w:pPr>
              <w:pStyle w:val="Compact"/>
            </w:pPr>
          </w:p>
        </w:tc>
        <w:tc>
          <w:tcPr/>
          <w:p>
            <w:pPr>
              <w:pStyle w:val="Compact"/>
              <w:jc w:val="left"/>
            </w:pPr>
            <w:r>
              <w:t xml:space="preserve">Management, and other environmental groups or organizations the Board deems, in its</w:t>
            </w:r>
          </w:p>
        </w:tc>
      </w:tr>
      <w:tr>
        <w:tc>
          <w:tcPr/>
          <w:p>
            <w:pPr>
              <w:pStyle w:val="Compact"/>
            </w:pPr>
          </w:p>
        </w:tc>
        <w:tc>
          <w:tcPr/>
          <w:p>
            <w:pPr>
              <w:pStyle w:val="Compact"/>
              <w:jc w:val="left"/>
            </w:pPr>
            <w:r>
              <w:t xml:space="preserve">discretion, credible on such matters.</w:t>
            </w:r>
          </w:p>
        </w:tc>
      </w:tr>
      <w:tr>
        <w:tc>
          <w:tcPr/>
          <w:p>
            <w:pPr>
              <w:pStyle w:val="Compact"/>
              <w:jc w:val="left"/>
            </w:pPr>
            <w:r>
              <w:t xml:space="preserve">(g)</w:t>
            </w:r>
          </w:p>
        </w:tc>
        <w:tc>
          <w:tcPr/>
          <w:p>
            <w:pPr>
              <w:pStyle w:val="Compact"/>
              <w:jc w:val="left"/>
            </w:pPr>
            <w:r>
              <w:t xml:space="preserve">Visual Buffer and Setback – All components of the solar photovoltaic system shall be set</w:t>
            </w:r>
          </w:p>
        </w:tc>
      </w:tr>
      <w:tr>
        <w:tc>
          <w:tcPr/>
          <w:p>
            <w:pPr>
              <w:pStyle w:val="Compact"/>
            </w:pPr>
          </w:p>
        </w:tc>
        <w:tc>
          <w:tcPr/>
          <w:p>
            <w:pPr>
              <w:pStyle w:val="Compact"/>
              <w:jc w:val="left"/>
            </w:pPr>
            <w:r>
              <w:t xml:space="preserve">back from the property line a minimum of 100 feet. Within the 100-foot minimum</w:t>
            </w:r>
          </w:p>
        </w:tc>
      </w:tr>
      <w:tr>
        <w:tc>
          <w:tcPr/>
          <w:p>
            <w:pPr>
              <w:pStyle w:val="Compact"/>
            </w:pPr>
          </w:p>
        </w:tc>
        <w:tc>
          <w:tcPr/>
          <w:p>
            <w:pPr>
              <w:pStyle w:val="Compact"/>
              <w:jc w:val="left"/>
            </w:pPr>
            <w:r>
              <w:t xml:space="preserve">setback a permanent all season green buffer shall be planted. The green buffer shall be</w:t>
            </w:r>
          </w:p>
        </w:tc>
      </w:tr>
      <w:tr>
        <w:tc>
          <w:tcPr/>
          <w:p>
            <w:pPr>
              <w:pStyle w:val="Compact"/>
            </w:pPr>
          </w:p>
        </w:tc>
        <w:tc>
          <w:tcPr/>
          <w:p>
            <w:pPr>
              <w:pStyle w:val="Compact"/>
              <w:jc w:val="left"/>
            </w:pPr>
            <w:r>
              <w:t xml:space="preserve">composed of evergreen vegetation. The green buffer shall completely obscure the solar</w:t>
            </w:r>
          </w:p>
        </w:tc>
      </w:tr>
    </w:tbl>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photovoltaic system and fencing from all neighboring properties. The green buffer shall</w:t>
            </w:r>
          </w:p>
        </w:tc>
      </w:tr>
      <w:tr>
        <w:tc>
          <w:tcPr/>
          <w:p>
            <w:pPr>
              <w:pStyle w:val="Compact"/>
            </w:pPr>
          </w:p>
        </w:tc>
        <w:tc>
          <w:tcPr/>
          <w:p>
            <w:pPr>
              <w:pStyle w:val="Compact"/>
              <w:jc w:val="left"/>
            </w:pPr>
            <w:r>
              <w:t xml:space="preserve">be planted with mature plants/trees such that the buffer is complete upon proposed start-</w:t>
            </w:r>
          </w:p>
        </w:tc>
      </w:tr>
      <w:tr>
        <w:tc>
          <w:tcPr/>
          <w:p>
            <w:pPr>
              <w:pStyle w:val="Compact"/>
            </w:pPr>
          </w:p>
        </w:tc>
        <w:tc>
          <w:tcPr/>
          <w:p>
            <w:pPr>
              <w:pStyle w:val="Compact"/>
              <w:jc w:val="left"/>
            </w:pPr>
            <w:r>
              <w:t xml:space="preserve">up of the solar photovoltaic system. The permission to operate [Certificate of</w:t>
            </w:r>
          </w:p>
        </w:tc>
      </w:tr>
      <w:tr>
        <w:tc>
          <w:tcPr/>
          <w:p>
            <w:pPr>
              <w:pStyle w:val="Compact"/>
            </w:pPr>
          </w:p>
        </w:tc>
        <w:tc>
          <w:tcPr/>
          <w:p>
            <w:pPr>
              <w:pStyle w:val="Compact"/>
              <w:jc w:val="left"/>
            </w:pPr>
            <w:r>
              <w:t xml:space="preserve">Occupancy] shall not be issued until the green buffer is complete.</w:t>
            </w:r>
          </w:p>
        </w:tc>
      </w:tr>
      <w:tr>
        <w:tc>
          <w:tcPr/>
          <w:p>
            <w:pPr>
              <w:pStyle w:val="Compact"/>
            </w:pPr>
          </w:p>
        </w:tc>
        <w:tc>
          <w:tcPr/>
          <w:p>
            <w:pPr>
              <w:pStyle w:val="Compact"/>
              <w:jc w:val="left"/>
            </w:pPr>
            <w:r>
              <w:t xml:space="preserve">(1) The green buffer shall be maintained to provide continuous year-round visual</w:t>
            </w:r>
          </w:p>
        </w:tc>
      </w:tr>
      <w:tr>
        <w:tc>
          <w:tcPr/>
          <w:p>
            <w:pPr>
              <w:pStyle w:val="Compact"/>
            </w:pPr>
          </w:p>
        </w:tc>
        <w:tc>
          <w:tcPr/>
          <w:p>
            <w:pPr>
              <w:pStyle w:val="Compact"/>
              <w:jc w:val="left"/>
            </w:pPr>
            <w:r>
              <w:t xml:space="preserve">obstruction of the solar photovoltaic system. The green buffer shall be trimmed or/or</w:t>
            </w:r>
          </w:p>
        </w:tc>
      </w:tr>
      <w:tr>
        <w:tc>
          <w:tcPr/>
          <w:p>
            <w:pPr>
              <w:pStyle w:val="Compact"/>
            </w:pPr>
          </w:p>
        </w:tc>
        <w:tc>
          <w:tcPr/>
          <w:p>
            <w:pPr>
              <w:pStyle w:val="Compact"/>
              <w:jc w:val="left"/>
            </w:pPr>
            <w:r>
              <w:t xml:space="preserve">re-planted to keep it from infringing on neighboring properties and from providing a</w:t>
            </w:r>
          </w:p>
        </w:tc>
      </w:tr>
      <w:tr>
        <w:tc>
          <w:tcPr/>
          <w:p>
            <w:pPr>
              <w:pStyle w:val="Compact"/>
            </w:pPr>
          </w:p>
        </w:tc>
        <w:tc>
          <w:tcPr/>
          <w:p>
            <w:pPr>
              <w:pStyle w:val="Compact"/>
              <w:jc w:val="left"/>
            </w:pPr>
            <w:r>
              <w:t xml:space="preserve">way over the security fencing.</w:t>
            </w:r>
          </w:p>
        </w:tc>
      </w:tr>
      <w:tr>
        <w:tc>
          <w:tcPr/>
          <w:p>
            <w:pPr>
              <w:pStyle w:val="Compact"/>
              <w:jc w:val="left"/>
            </w:pPr>
            <w:r>
              <w:t xml:space="preserve">(h)</w:t>
            </w:r>
          </w:p>
        </w:tc>
        <w:tc>
          <w:tcPr/>
          <w:p>
            <w:pPr>
              <w:pStyle w:val="Compact"/>
              <w:jc w:val="left"/>
            </w:pPr>
            <w:r>
              <w:t xml:space="preserve">Fencing – A security fence shall be installed and maintained surrounding all components</w:t>
            </w:r>
          </w:p>
        </w:tc>
      </w:tr>
      <w:tr>
        <w:tc>
          <w:tcPr/>
          <w:p>
            <w:pPr>
              <w:pStyle w:val="Compact"/>
            </w:pPr>
          </w:p>
        </w:tc>
        <w:tc>
          <w:tcPr/>
          <w:p>
            <w:pPr>
              <w:pStyle w:val="Compact"/>
              <w:jc w:val="left"/>
            </w:pPr>
            <w:r>
              <w:t xml:space="preserve">of the solar photovoltaic system. The fence shall be no less than six feet and no more</w:t>
            </w:r>
          </w:p>
        </w:tc>
      </w:tr>
      <w:tr>
        <w:tc>
          <w:tcPr/>
          <w:p>
            <w:pPr>
              <w:pStyle w:val="Compact"/>
            </w:pPr>
          </w:p>
        </w:tc>
        <w:tc>
          <w:tcPr/>
          <w:p>
            <w:pPr>
              <w:pStyle w:val="Compact"/>
              <w:jc w:val="left"/>
            </w:pPr>
            <w:r>
              <w:t xml:space="preserve">than ten feet tall. The fence shall be inside the Visual Buffer and Setback.</w:t>
            </w:r>
          </w:p>
        </w:tc>
      </w:tr>
      <w:tr>
        <w:tc>
          <w:tcPr/>
          <w:p>
            <w:pPr>
              <w:pStyle w:val="Compact"/>
              <w:jc w:val="left"/>
            </w:pPr>
            <w:r>
              <w:t xml:space="preserve">(i)</w:t>
            </w:r>
          </w:p>
        </w:tc>
        <w:tc>
          <w:tcPr/>
          <w:p>
            <w:pPr>
              <w:pStyle w:val="Compact"/>
              <w:jc w:val="left"/>
            </w:pPr>
            <w:r>
              <w:t xml:space="preserve">Signs. Clearly visible warning signs concerning voltage shall be placed along the</w:t>
            </w:r>
          </w:p>
        </w:tc>
      </w:tr>
      <w:tr>
        <w:tc>
          <w:tcPr/>
          <w:p>
            <w:pPr>
              <w:pStyle w:val="Compact"/>
            </w:pPr>
          </w:p>
        </w:tc>
        <w:tc>
          <w:tcPr/>
          <w:p>
            <w:pPr>
              <w:pStyle w:val="Compact"/>
              <w:jc w:val="left"/>
            </w:pPr>
            <w:r>
              <w:t xml:space="preserve">security fence. The signs shall identify the owner and have a 24-hour phone contact for</w:t>
            </w:r>
          </w:p>
        </w:tc>
      </w:tr>
      <w:tr>
        <w:tc>
          <w:tcPr/>
          <w:p>
            <w:pPr>
              <w:pStyle w:val="Compact"/>
            </w:pPr>
          </w:p>
        </w:tc>
        <w:tc>
          <w:tcPr/>
          <w:p>
            <w:pPr>
              <w:pStyle w:val="Compact"/>
              <w:jc w:val="left"/>
            </w:pPr>
            <w:r>
              <w:t xml:space="preserve">emergencies. These signs shall be exempt from the requirements of Section 6.17 Sign</w:t>
            </w:r>
          </w:p>
        </w:tc>
      </w:tr>
      <w:tr>
        <w:tc>
          <w:tcPr/>
          <w:p>
            <w:pPr>
              <w:pStyle w:val="Compact"/>
            </w:pPr>
          </w:p>
        </w:tc>
        <w:tc>
          <w:tcPr/>
          <w:p>
            <w:pPr>
              <w:pStyle w:val="Compact"/>
              <w:jc w:val="left"/>
            </w:pPr>
            <w:r>
              <w:t xml:space="preserve">Regulations.</w:t>
            </w:r>
          </w:p>
        </w:tc>
      </w:tr>
      <w:tr>
        <w:tc>
          <w:tcPr/>
          <w:p>
            <w:pPr>
              <w:pStyle w:val="Compact"/>
              <w:jc w:val="left"/>
            </w:pPr>
            <w:r>
              <w:t xml:space="preserve">(j)</w:t>
            </w:r>
          </w:p>
        </w:tc>
        <w:tc>
          <w:tcPr/>
          <w:p>
            <w:pPr>
              <w:pStyle w:val="Compact"/>
              <w:jc w:val="left"/>
            </w:pPr>
            <w:r>
              <w:t xml:space="preserve">Maximum Height. The maximum height of any component or appurtenance structure of</w:t>
            </w:r>
          </w:p>
        </w:tc>
      </w:tr>
      <w:tr>
        <w:tc>
          <w:tcPr/>
          <w:p>
            <w:pPr>
              <w:pStyle w:val="Compact"/>
            </w:pPr>
          </w:p>
        </w:tc>
        <w:tc>
          <w:tcPr/>
          <w:p>
            <w:pPr>
              <w:pStyle w:val="Compact"/>
              <w:jc w:val="left"/>
            </w:pPr>
            <w:r>
              <w:t xml:space="preserve">the ground-mounted solar photovoltaic system shall be 15 feet.</w:t>
            </w:r>
          </w:p>
        </w:tc>
      </w:tr>
      <w:tr>
        <w:tc>
          <w:tcPr/>
          <w:p>
            <w:pPr>
              <w:pStyle w:val="Compact"/>
              <w:jc w:val="left"/>
            </w:pPr>
            <w:r>
              <w:t xml:space="preserve">(k)</w:t>
            </w:r>
          </w:p>
        </w:tc>
        <w:tc>
          <w:tcPr/>
          <w:p>
            <w:pPr>
              <w:pStyle w:val="Compact"/>
              <w:jc w:val="left"/>
            </w:pPr>
            <w:r>
              <w:t xml:space="preserve">Utility Connections, Electrical Components. Utility connections for the solar</w:t>
            </w:r>
          </w:p>
        </w:tc>
      </w:tr>
      <w:tr>
        <w:tc>
          <w:tcPr/>
          <w:p>
            <w:pPr>
              <w:pStyle w:val="Compact"/>
            </w:pPr>
          </w:p>
        </w:tc>
        <w:tc>
          <w:tcPr/>
          <w:p>
            <w:pPr>
              <w:pStyle w:val="Compact"/>
              <w:jc w:val="left"/>
            </w:pPr>
            <w:r>
              <w:t xml:space="preserve">photovoltaic system shall be installed underground on the subject property. Electrical</w:t>
            </w:r>
          </w:p>
        </w:tc>
      </w:tr>
      <w:tr>
        <w:tc>
          <w:tcPr/>
          <w:p>
            <w:pPr>
              <w:pStyle w:val="Compact"/>
            </w:pPr>
          </w:p>
        </w:tc>
        <w:tc>
          <w:tcPr/>
          <w:p>
            <w:pPr>
              <w:pStyle w:val="Compact"/>
              <w:jc w:val="left"/>
            </w:pPr>
            <w:r>
              <w:t xml:space="preserve">transformers for utility interconnections may be above ground if required by the utility</w:t>
            </w:r>
          </w:p>
        </w:tc>
      </w:tr>
      <w:tr>
        <w:tc>
          <w:tcPr/>
          <w:p>
            <w:pPr>
              <w:pStyle w:val="Compact"/>
            </w:pPr>
          </w:p>
        </w:tc>
        <w:tc>
          <w:tcPr/>
          <w:p>
            <w:pPr>
              <w:pStyle w:val="Compact"/>
              <w:jc w:val="left"/>
            </w:pPr>
            <w:r>
              <w:t xml:space="preserve">provider. All electrical components of the solar photovoltaic system shall conform to all</w:t>
            </w:r>
          </w:p>
        </w:tc>
      </w:tr>
      <w:tr>
        <w:tc>
          <w:tcPr/>
          <w:p>
            <w:pPr>
              <w:pStyle w:val="Compact"/>
            </w:pPr>
          </w:p>
        </w:tc>
        <w:tc>
          <w:tcPr/>
          <w:p>
            <w:pPr>
              <w:pStyle w:val="Compact"/>
              <w:jc w:val="left"/>
            </w:pPr>
            <w:r>
              <w:t xml:space="preserve">relevant and applicable local, state and national codes, laws and regulations.</w:t>
            </w:r>
          </w:p>
        </w:tc>
      </w:tr>
      <w:tr>
        <w:tc>
          <w:tcPr/>
          <w:p>
            <w:pPr>
              <w:pStyle w:val="Compact"/>
              <w:jc w:val="left"/>
            </w:pPr>
            <w:r>
              <w:t xml:space="preserve">(l)</w:t>
            </w:r>
          </w:p>
        </w:tc>
        <w:tc>
          <w:tcPr/>
          <w:p>
            <w:pPr>
              <w:pStyle w:val="Compact"/>
              <w:jc w:val="left"/>
            </w:pPr>
            <w:r>
              <w:t xml:space="preserve">Appurtenant Structures. Appurtenant structures, such as equipment shelters,</w:t>
            </w:r>
          </w:p>
        </w:tc>
      </w:tr>
      <w:tr>
        <w:tc>
          <w:tcPr/>
          <w:p>
            <w:pPr>
              <w:pStyle w:val="Compact"/>
            </w:pPr>
          </w:p>
        </w:tc>
        <w:tc>
          <w:tcPr/>
          <w:p>
            <w:pPr>
              <w:pStyle w:val="Compact"/>
              <w:jc w:val="left"/>
            </w:pPr>
            <w:r>
              <w:t xml:space="preserve">transformers, and substations shall be within the security fencing. All appurtenant</w:t>
            </w:r>
          </w:p>
        </w:tc>
      </w:tr>
      <w:tr>
        <w:tc>
          <w:tcPr/>
          <w:p>
            <w:pPr>
              <w:pStyle w:val="Compact"/>
            </w:pPr>
          </w:p>
        </w:tc>
        <w:tc>
          <w:tcPr/>
          <w:p>
            <w:pPr>
              <w:pStyle w:val="Compact"/>
              <w:jc w:val="left"/>
            </w:pPr>
            <w:r>
              <w:t xml:space="preserve">structures shall be shielded from view by the green buffer.</w:t>
            </w:r>
          </w:p>
        </w:tc>
      </w:tr>
      <w:tr>
        <w:tc>
          <w:tcPr/>
          <w:p>
            <w:pPr>
              <w:pStyle w:val="Compact"/>
            </w:pPr>
          </w:p>
        </w:tc>
        <w:tc>
          <w:tcPr/>
          <w:p>
            <w:pPr>
              <w:pStyle w:val="Compact"/>
              <w:jc w:val="left"/>
            </w:pPr>
            <w:r>
              <w:t xml:space="preserve">Storage buildings shall not be permitted on the solar photovoltaic system site.</w:t>
            </w:r>
          </w:p>
        </w:tc>
      </w:tr>
      <w:tr>
        <w:tc>
          <w:tcPr/>
          <w:p>
            <w:pPr>
              <w:pStyle w:val="Compact"/>
              <w:jc w:val="left"/>
            </w:pPr>
            <w:r>
              <w:t xml:space="preserve">(m)</w:t>
            </w:r>
          </w:p>
        </w:tc>
        <w:tc>
          <w:tcPr/>
          <w:p>
            <w:pPr>
              <w:pStyle w:val="Compact"/>
              <w:jc w:val="left"/>
            </w:pPr>
            <w:r>
              <w:t xml:space="preserve">Environmental Sensitivity - In addition to any requirements of Section 17, to the</w:t>
            </w:r>
          </w:p>
        </w:tc>
      </w:tr>
      <w:tr>
        <w:tc>
          <w:tcPr/>
          <w:p>
            <w:pPr>
              <w:pStyle w:val="Compact"/>
            </w:pPr>
          </w:p>
        </w:tc>
        <w:tc>
          <w:tcPr/>
          <w:p>
            <w:pPr>
              <w:pStyle w:val="Compact"/>
              <w:jc w:val="left"/>
            </w:pPr>
            <w:r>
              <w:t xml:space="preserve">maximum extent practicable, all ground mounted solar voltaic installations shall be</w:t>
            </w:r>
          </w:p>
        </w:tc>
      </w:tr>
      <w:tr>
        <w:tc>
          <w:tcPr/>
          <w:p>
            <w:pPr>
              <w:pStyle w:val="Compact"/>
            </w:pPr>
          </w:p>
        </w:tc>
        <w:tc>
          <w:tcPr/>
          <w:p>
            <w:pPr>
              <w:pStyle w:val="Compact"/>
              <w:jc w:val="left"/>
            </w:pPr>
            <w:r>
              <w:t xml:space="preserve">located to preserve the natural features of the site, to avoid areas of environmental</w:t>
            </w:r>
          </w:p>
        </w:tc>
      </w:tr>
      <w:tr>
        <w:tc>
          <w:tcPr/>
          <w:p>
            <w:pPr>
              <w:pStyle w:val="Compact"/>
            </w:pPr>
          </w:p>
        </w:tc>
        <w:tc>
          <w:tcPr/>
          <w:p>
            <w:pPr>
              <w:pStyle w:val="Compact"/>
              <w:jc w:val="left"/>
            </w:pPr>
            <w:r>
              <w:t xml:space="preserve">sensitivity, and to minimize alterations of and negative impacts to natural features,</w:t>
            </w:r>
          </w:p>
        </w:tc>
      </w:tr>
      <w:tr>
        <w:tc>
          <w:tcPr/>
          <w:p>
            <w:pPr>
              <w:pStyle w:val="Compact"/>
            </w:pPr>
          </w:p>
        </w:tc>
        <w:tc>
          <w:tcPr/>
          <w:p>
            <w:pPr>
              <w:pStyle w:val="Compact"/>
              <w:jc w:val="left"/>
            </w:pPr>
            <w:r>
              <w:t xml:space="preserve">historic and cultural resources, and scenic areas. Any grading or site preparation must, to</w:t>
            </w:r>
          </w:p>
        </w:tc>
      </w:tr>
      <w:tr>
        <w:tc>
          <w:tcPr/>
          <w:p>
            <w:pPr>
              <w:pStyle w:val="Compact"/>
            </w:pPr>
          </w:p>
        </w:tc>
        <w:tc>
          <w:tcPr/>
          <w:p>
            <w:pPr>
              <w:pStyle w:val="Compact"/>
              <w:jc w:val="left"/>
            </w:pPr>
            <w:r>
              <w:t xml:space="preserve">the extent possible, conform to the natural topography of the area. Excavation of material</w:t>
            </w:r>
          </w:p>
        </w:tc>
      </w:tr>
      <w:tr>
        <w:tc>
          <w:tcPr/>
          <w:p>
            <w:pPr>
              <w:pStyle w:val="Compact"/>
            </w:pPr>
          </w:p>
        </w:tc>
        <w:tc>
          <w:tcPr/>
          <w:p>
            <w:pPr>
              <w:pStyle w:val="Compact"/>
              <w:jc w:val="left"/>
            </w:pPr>
            <w:r>
              <w:t xml:space="preserve">including gravel, sand and rock is strictly prohibited unless it is necessary to properly</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locate</w:t>
            </w:r>
          </w:p>
        </w:tc>
        <w:tc>
          <w:tcPr/>
          <w:p>
            <w:pPr>
              <w:pStyle w:val="Compact"/>
              <w:jc w:val="left"/>
            </w:pPr>
            <w:r>
              <w:t xml:space="preserve">the solar photovoltaic installation, and such excavation shall only be that which is</w:t>
            </w:r>
          </w:p>
        </w:tc>
      </w:tr>
      <w:tr>
        <w:tc>
          <w:tcPr/>
          <w:p>
            <w:pPr>
              <w:pStyle w:val="Compact"/>
            </w:pPr>
          </w:p>
        </w:tc>
        <w:tc>
          <w:tcPr/>
          <w:p>
            <w:pPr>
              <w:pStyle w:val="Compact"/>
            </w:pPr>
          </w:p>
        </w:tc>
        <w:tc>
          <w:tcPr/>
          <w:p>
            <w:pPr>
              <w:pStyle w:val="Compact"/>
              <w:jc w:val="left"/>
            </w:pPr>
            <w:r>
              <w:t xml:space="preserve">minimally necessary. The applicant shall conduct and pay for a site analysis conducted</w:t>
            </w:r>
          </w:p>
        </w:tc>
      </w:tr>
      <w:tr>
        <w:tc>
          <w:tcPr/>
          <w:p>
            <w:pPr>
              <w:pStyle w:val="Compact"/>
            </w:pPr>
          </w:p>
        </w:tc>
        <w:tc>
          <w:tcPr/>
          <w:p>
            <w:pPr>
              <w:pStyle w:val="Compact"/>
              <w:jc w:val="left"/>
            </w:pPr>
            <w:r>
              <w:t xml:space="preserve">prior</w:t>
            </w:r>
          </w:p>
        </w:tc>
        <w:tc>
          <w:tcPr/>
          <w:p>
            <w:pPr>
              <w:pStyle w:val="Compact"/>
              <w:jc w:val="left"/>
            </w:pPr>
            <w:r>
              <w:t xml:space="preserve">to the conceptual site planning process.</w:t>
            </w:r>
          </w:p>
        </w:tc>
      </w:tr>
      <w:tr>
        <w:tc>
          <w:tcPr/>
          <w:p>
            <w:pPr>
              <w:pStyle w:val="Compact"/>
              <w:jc w:val="left"/>
            </w:pPr>
            <w:r>
              <w:t xml:space="preserve">(n)</w:t>
            </w:r>
          </w:p>
        </w:tc>
        <w:tc>
          <w:tcPr/>
          <w:p>
            <w:pPr>
              <w:pStyle w:val="Compact"/>
              <w:jc w:val="left"/>
            </w:pPr>
            <w:r>
              <w:t xml:space="preserve">Other</w:t>
            </w:r>
          </w:p>
        </w:tc>
        <w:tc>
          <w:tcPr/>
          <w:p>
            <w:pPr>
              <w:pStyle w:val="Compact"/>
              <w:jc w:val="left"/>
            </w:pPr>
            <w:r>
              <w:t xml:space="preserve">considerations. In deciding whether to grant a special-use permit and height</w:t>
            </w:r>
          </w:p>
        </w:tc>
      </w:tr>
      <w:tr>
        <w:tc>
          <w:tcPr/>
          <w:p>
            <w:pPr>
              <w:pStyle w:val="Compact"/>
            </w:pPr>
          </w:p>
        </w:tc>
        <w:tc>
          <w:tcPr/>
          <w:p>
            <w:pPr>
              <w:pStyle w:val="Compact"/>
            </w:pPr>
          </w:p>
        </w:tc>
        <w:tc>
          <w:tcPr/>
          <w:p>
            <w:pPr>
              <w:pStyle w:val="Compact"/>
              <w:jc w:val="left"/>
            </w:pPr>
            <w:r>
              <w:t xml:space="preserve">variance for a solar photovoltaic system, the Zoning Board of Review may consider</w:t>
            </w:r>
          </w:p>
        </w:tc>
      </w:tr>
      <w:tr>
        <w:tc>
          <w:tcPr/>
          <w:p>
            <w:pPr>
              <w:pStyle w:val="Compact"/>
            </w:pPr>
          </w:p>
        </w:tc>
        <w:tc>
          <w:tcPr/>
          <w:p>
            <w:pPr>
              <w:pStyle w:val="Compact"/>
            </w:pPr>
          </w:p>
        </w:tc>
        <w:tc>
          <w:tcPr/>
          <w:p>
            <w:pPr>
              <w:pStyle w:val="Compact"/>
              <w:jc w:val="left"/>
            </w:pPr>
            <w:r>
              <w:t xml:space="preserve">relevant matters not expressly mentioned in this section including the adverse impacts on</w:t>
            </w:r>
          </w:p>
        </w:tc>
      </w:tr>
      <w:tr>
        <w:tc>
          <w:tcPr/>
          <w:p>
            <w:pPr>
              <w:pStyle w:val="Compact"/>
            </w:pPr>
          </w:p>
        </w:tc>
        <w:tc>
          <w:tcPr/>
          <w:p>
            <w:pPr>
              <w:pStyle w:val="Compact"/>
              <w:jc w:val="left"/>
            </w:pPr>
            <w:r>
              <w:t xml:space="preserve">scenic</w:t>
            </w:r>
          </w:p>
        </w:tc>
        <w:tc>
          <w:tcPr/>
          <w:p>
            <w:pPr>
              <w:pStyle w:val="Compact"/>
              <w:jc w:val="left"/>
            </w:pPr>
            <w:r>
              <w:t xml:space="preserve">vistas and interference with electromagnetic communications, such as telephone,</w:t>
            </w:r>
          </w:p>
        </w:tc>
      </w:tr>
      <w:tr>
        <w:tc>
          <w:tcPr/>
          <w:p>
            <w:pPr>
              <w:pStyle w:val="Compact"/>
            </w:pPr>
          </w:p>
        </w:tc>
        <w:tc>
          <w:tcPr/>
          <w:p>
            <w:pPr>
              <w:pStyle w:val="Compact"/>
              <w:jc w:val="left"/>
            </w:pPr>
            <w:r>
              <w:t xml:space="preserve">radio,</w:t>
            </w:r>
          </w:p>
        </w:tc>
        <w:tc>
          <w:tcPr/>
          <w:p>
            <w:pPr>
              <w:pStyle w:val="Compact"/>
              <w:jc w:val="left"/>
            </w:pPr>
            <w:r>
              <w:t xml:space="preserve">and television. The Board may impose special conditions reasonably necessary to</w:t>
            </w:r>
          </w:p>
        </w:tc>
      </w:tr>
      <w:tr>
        <w:tc>
          <w:tcPr/>
          <w:p>
            <w:pPr>
              <w:pStyle w:val="Compact"/>
            </w:pPr>
          </w:p>
        </w:tc>
        <w:tc>
          <w:tcPr/>
          <w:p>
            <w:pPr>
              <w:pStyle w:val="Compact"/>
            </w:pPr>
          </w:p>
        </w:tc>
        <w:tc>
          <w:tcPr/>
          <w:p>
            <w:pPr>
              <w:pStyle w:val="Compact"/>
              <w:jc w:val="left"/>
            </w:pPr>
            <w:r>
              <w:t xml:space="preserve">remove or alleviate any potential adverse impacts that it determines.</w:t>
            </w:r>
          </w:p>
        </w:tc>
      </w:tr>
      <w:tr>
        <w:tc>
          <w:tcPr/>
          <w:p>
            <w:pPr>
              <w:pStyle w:val="Compact"/>
              <w:jc w:val="left"/>
            </w:pPr>
            <w:r>
              <w:t xml:space="preserve">(o)</w:t>
            </w:r>
          </w:p>
        </w:tc>
        <w:tc>
          <w:tcPr/>
          <w:p>
            <w:pPr>
              <w:pStyle w:val="Compact"/>
            </w:pPr>
          </w:p>
        </w:tc>
        <w:tc>
          <w:tcPr/>
          <w:p>
            <w:pPr>
              <w:pStyle w:val="Compact"/>
              <w:jc w:val="left"/>
            </w:pPr>
            <w:r>
              <w:t xml:space="preserve">Maintenance. Solar photovoltaic systems shall be maintained in good condition. Such</w:t>
            </w:r>
          </w:p>
        </w:tc>
      </w:tr>
      <w:tr>
        <w:tc>
          <w:tcPr/>
          <w:p>
            <w:pPr>
              <w:pStyle w:val="Compact"/>
            </w:pPr>
          </w:p>
        </w:tc>
        <w:tc>
          <w:tcPr/>
          <w:p>
            <w:pPr>
              <w:pStyle w:val="Compact"/>
            </w:pPr>
          </w:p>
        </w:tc>
        <w:tc>
          <w:tcPr/>
          <w:p>
            <w:pPr>
              <w:pStyle w:val="Compact"/>
              <w:jc w:val="left"/>
            </w:pPr>
            <w:r>
              <w:t xml:space="preserve">maintenance shall include painting, structural repairs, integrity of security measures,</w:t>
            </w:r>
          </w:p>
        </w:tc>
      </w:tr>
      <w:tr>
        <w:tc>
          <w:tcPr/>
          <w:p>
            <w:pPr>
              <w:pStyle w:val="Compact"/>
            </w:pPr>
          </w:p>
        </w:tc>
        <w:tc>
          <w:tcPr/>
          <w:p>
            <w:pPr>
              <w:pStyle w:val="Compact"/>
            </w:pPr>
          </w:p>
        </w:tc>
        <w:tc>
          <w:tcPr/>
          <w:p>
            <w:pPr>
              <w:pStyle w:val="Compact"/>
              <w:jc w:val="left"/>
            </w:pPr>
            <w:r>
              <w:t xml:space="preserve">maintenance of green buffer and maintenance of drainage and runoff systems. Solar</w:t>
            </w:r>
          </w:p>
        </w:tc>
      </w:tr>
      <w:tr>
        <w:tc>
          <w:tcPr/>
          <w:p>
            <w:pPr>
              <w:pStyle w:val="Compact"/>
            </w:pPr>
          </w:p>
        </w:tc>
        <w:tc>
          <w:tcPr/>
          <w:p>
            <w:pPr>
              <w:pStyle w:val="Compact"/>
            </w:pPr>
          </w:p>
        </w:tc>
        <w:tc>
          <w:tcPr/>
          <w:p>
            <w:pPr>
              <w:pStyle w:val="Compact"/>
              <w:jc w:val="left"/>
            </w:pPr>
            <w:r>
              <w:t xml:space="preserve">photovoltaic systems shall be inspected for structural integrity, security measures and</w:t>
            </w:r>
          </w:p>
        </w:tc>
      </w:tr>
      <w:tr>
        <w:tc>
          <w:tcPr/>
          <w:p>
            <w:pPr>
              <w:pStyle w:val="Compact"/>
            </w:pPr>
          </w:p>
        </w:tc>
        <w:tc>
          <w:tcPr/>
          <w:p>
            <w:pPr>
              <w:pStyle w:val="Compact"/>
            </w:pPr>
          </w:p>
        </w:tc>
        <w:tc>
          <w:tcPr/>
          <w:p>
            <w:pPr>
              <w:pStyle w:val="Compact"/>
              <w:jc w:val="left"/>
            </w:pPr>
            <w:r>
              <w:t xml:space="preserve">maintenance of drainage and runoff systems by an Engineer at least once each year. The</w:t>
            </w:r>
          </w:p>
        </w:tc>
      </w:tr>
      <w:tr>
        <w:tc>
          <w:tcPr/>
          <w:p>
            <w:pPr>
              <w:pStyle w:val="Compact"/>
            </w:pPr>
          </w:p>
        </w:tc>
        <w:tc>
          <w:tcPr/>
          <w:p>
            <w:pPr>
              <w:pStyle w:val="Compact"/>
            </w:pPr>
          </w:p>
        </w:tc>
        <w:tc>
          <w:tcPr/>
          <w:p>
            <w:pPr>
              <w:pStyle w:val="Compact"/>
              <w:jc w:val="left"/>
            </w:pPr>
            <w:r>
              <w:t xml:space="preserve">inspection report shall be submitted annually to the Building/Zoning Office on the</w:t>
            </w:r>
          </w:p>
        </w:tc>
      </w:tr>
      <w:tr>
        <w:tc>
          <w:tcPr/>
          <w:p>
            <w:pPr>
              <w:pStyle w:val="Compact"/>
            </w:pPr>
          </w:p>
        </w:tc>
        <w:tc>
          <w:tcPr/>
          <w:p>
            <w:pPr>
              <w:pStyle w:val="Compact"/>
            </w:pPr>
          </w:p>
        </w:tc>
        <w:tc>
          <w:tcPr/>
          <w:p>
            <w:pPr>
              <w:pStyle w:val="Compact"/>
              <w:jc w:val="left"/>
            </w:pPr>
            <w:r>
              <w:t xml:space="preserve">anniversary of the issuance of the building permit.</w:t>
            </w:r>
          </w:p>
        </w:tc>
      </w:tr>
      <w:tr>
        <w:tc>
          <w:tcPr/>
          <w:p>
            <w:pPr>
              <w:pStyle w:val="Compact"/>
              <w:jc w:val="left"/>
            </w:pPr>
            <w:r>
              <w:t xml:space="preserve">(p)</w:t>
            </w:r>
          </w:p>
        </w:tc>
        <w:tc>
          <w:tcPr/>
          <w:p>
            <w:pPr>
              <w:pStyle w:val="Compact"/>
            </w:pPr>
          </w:p>
        </w:tc>
        <w:tc>
          <w:tcPr/>
          <w:p>
            <w:pPr>
              <w:pStyle w:val="Compact"/>
              <w:jc w:val="left"/>
            </w:pPr>
            <w:r>
              <w:t xml:space="preserve">On-site Inspections and Construction Control</w:t>
            </w:r>
          </w:p>
        </w:tc>
      </w:tr>
      <w:tr>
        <w:tc>
          <w:tcPr/>
          <w:p>
            <w:pPr>
              <w:pStyle w:val="Compact"/>
            </w:pPr>
          </w:p>
        </w:tc>
        <w:tc>
          <w:tcPr/>
          <w:p>
            <w:pPr>
              <w:pStyle w:val="Compact"/>
              <w:jc w:val="left"/>
            </w:pPr>
            <w:r>
              <w:t xml:space="preserve">(1)</w:t>
            </w:r>
          </w:p>
        </w:tc>
        <w:tc>
          <w:tcPr/>
          <w:p>
            <w:pPr>
              <w:pStyle w:val="Compact"/>
              <w:jc w:val="left"/>
            </w:pPr>
            <w:r>
              <w:t xml:space="preserve">An Engineer shall certify to the Building/Zoning Official that he/she has observed</w:t>
            </w:r>
          </w:p>
        </w:tc>
      </w:tr>
      <w:tr>
        <w:tc>
          <w:tcPr/>
          <w:p>
            <w:pPr>
              <w:pStyle w:val="Compact"/>
            </w:pPr>
          </w:p>
        </w:tc>
        <w:tc>
          <w:tcPr/>
          <w:p>
            <w:pPr>
              <w:pStyle w:val="Compact"/>
            </w:pPr>
          </w:p>
        </w:tc>
        <w:tc>
          <w:tcPr/>
          <w:p>
            <w:pPr>
              <w:pStyle w:val="Compact"/>
              <w:jc w:val="left"/>
            </w:pPr>
            <w:r>
              <w:t xml:space="preserve">and inspected the following work and it complies to the construction documents.</w:t>
            </w:r>
          </w:p>
        </w:tc>
      </w:tr>
      <w:tr>
        <w:tc>
          <w:tcPr/>
          <w:p>
            <w:pPr>
              <w:pStyle w:val="Compact"/>
            </w:pPr>
          </w:p>
        </w:tc>
        <w:tc>
          <w:tcPr/>
          <w:p>
            <w:pPr>
              <w:pStyle w:val="Compact"/>
            </w:pPr>
          </w:p>
        </w:tc>
        <w:tc>
          <w:tcPr/>
          <w:p>
            <w:pPr>
              <w:pStyle w:val="Compact"/>
              <w:jc w:val="left"/>
            </w:pPr>
            <w:r>
              <w:t xml:space="preserve">Upon acceptance of the certification the Building/Zoning Official shall record a</w:t>
            </w:r>
          </w:p>
        </w:tc>
      </w:tr>
      <w:tr>
        <w:tc>
          <w:tcPr/>
          <w:p>
            <w:pPr>
              <w:pStyle w:val="Compact"/>
            </w:pPr>
          </w:p>
        </w:tc>
        <w:tc>
          <w:tcPr/>
          <w:p>
            <w:pPr>
              <w:pStyle w:val="Compact"/>
            </w:pPr>
          </w:p>
        </w:tc>
        <w:tc>
          <w:tcPr/>
          <w:p>
            <w:pPr>
              <w:pStyle w:val="Compact"/>
              <w:jc w:val="left"/>
            </w:pPr>
            <w:r>
              <w:t xml:space="preserve">confirmation of completion. Such records shall certify that the work has been</w:t>
            </w:r>
          </w:p>
        </w:tc>
      </w:tr>
      <w:tr>
        <w:tc>
          <w:tcPr/>
          <w:p>
            <w:pPr>
              <w:pStyle w:val="Compact"/>
            </w:pPr>
          </w:p>
        </w:tc>
        <w:tc>
          <w:tcPr/>
          <w:p>
            <w:pPr>
              <w:pStyle w:val="Compact"/>
            </w:pPr>
          </w:p>
        </w:tc>
        <w:tc>
          <w:tcPr/>
          <w:p>
            <w:pPr>
              <w:pStyle w:val="Compact"/>
              <w:jc w:val="left"/>
            </w:pPr>
            <w:r>
              <w:t xml:space="preserve">performed in a manner consistent with the approved plans and specifications for the</w:t>
            </w:r>
          </w:p>
        </w:tc>
      </w:tr>
      <w:tr>
        <w:tc>
          <w:tcPr/>
          <w:p>
            <w:pPr>
              <w:pStyle w:val="Compact"/>
            </w:pPr>
          </w:p>
        </w:tc>
        <w:tc>
          <w:tcPr/>
          <w:p>
            <w:pPr>
              <w:pStyle w:val="Compact"/>
            </w:pPr>
          </w:p>
        </w:tc>
        <w:tc>
          <w:tcPr/>
          <w:p>
            <w:pPr>
              <w:pStyle w:val="Compact"/>
              <w:jc w:val="left"/>
            </w:pPr>
            <w:r>
              <w:t xml:space="preserve">following phases of construction as a minimum:</w:t>
            </w:r>
          </w:p>
        </w:tc>
      </w:tr>
      <w:tr>
        <w:tc>
          <w:tcPr/>
          <w:p>
            <w:pPr>
              <w:pStyle w:val="Compact"/>
            </w:pPr>
          </w:p>
        </w:tc>
        <w:tc>
          <w:tcPr/>
          <w:p>
            <w:pPr>
              <w:pStyle w:val="Compact"/>
            </w:pPr>
          </w:p>
        </w:tc>
        <w:tc>
          <w:tcPr/>
          <w:p>
            <w:pPr>
              <w:pStyle w:val="Compact"/>
              <w:jc w:val="left"/>
            </w:pPr>
            <w:r>
              <w:t xml:space="preserve">i. Soil condition and analysis</w:t>
            </w:r>
          </w:p>
        </w:tc>
      </w:tr>
      <w:tr>
        <w:tc>
          <w:tcPr/>
          <w:p>
            <w:pPr>
              <w:pStyle w:val="Compact"/>
            </w:pPr>
          </w:p>
        </w:tc>
        <w:tc>
          <w:tcPr/>
          <w:p>
            <w:pPr>
              <w:pStyle w:val="Compact"/>
            </w:pPr>
          </w:p>
        </w:tc>
        <w:tc>
          <w:tcPr/>
          <w:p>
            <w:pPr>
              <w:pStyle w:val="Compact"/>
              <w:jc w:val="left"/>
            </w:pPr>
            <w:r>
              <w:t xml:space="preserve">ii. Drainage and runoff systems</w:t>
            </w:r>
          </w:p>
        </w:tc>
      </w:tr>
      <w:tr>
        <w:tc>
          <w:tcPr/>
          <w:p>
            <w:pPr>
              <w:pStyle w:val="Compact"/>
            </w:pPr>
          </w:p>
        </w:tc>
        <w:tc>
          <w:tcPr/>
          <w:p>
            <w:pPr>
              <w:pStyle w:val="Compact"/>
            </w:pPr>
          </w:p>
        </w:tc>
        <w:tc>
          <w:tcPr/>
          <w:p>
            <w:pPr>
              <w:pStyle w:val="Compact"/>
              <w:jc w:val="left"/>
            </w:pPr>
            <w:r>
              <w:t xml:space="preserve">iii. Footings</w:t>
            </w:r>
          </w:p>
        </w:tc>
      </w:tr>
      <w:tr>
        <w:tc>
          <w:tcPr/>
          <w:p>
            <w:pPr>
              <w:pStyle w:val="Compact"/>
            </w:pPr>
          </w:p>
        </w:tc>
        <w:tc>
          <w:tcPr/>
          <w:p>
            <w:pPr>
              <w:pStyle w:val="Compact"/>
            </w:pPr>
          </w:p>
        </w:tc>
        <w:tc>
          <w:tcPr/>
          <w:p>
            <w:pPr>
              <w:pStyle w:val="Compact"/>
              <w:jc w:val="left"/>
            </w:pPr>
            <w:r>
              <w:t xml:space="preserve">iv. Structural integrity of mounting systems</w:t>
            </w:r>
          </w:p>
        </w:tc>
      </w:tr>
      <w:tr>
        <w:tc>
          <w:tcPr/>
          <w:p>
            <w:pPr>
              <w:pStyle w:val="Compact"/>
            </w:pPr>
          </w:p>
        </w:tc>
        <w:tc>
          <w:tcPr/>
          <w:p>
            <w:pPr>
              <w:pStyle w:val="Compact"/>
            </w:pPr>
          </w:p>
        </w:tc>
        <w:tc>
          <w:tcPr/>
          <w:p>
            <w:pPr>
              <w:pStyle w:val="Compact"/>
              <w:jc w:val="left"/>
            </w:pPr>
            <w:r>
              <w:t xml:space="preserve">v. Fire Prevention, Detection and Alarm Systems</w:t>
            </w:r>
          </w:p>
        </w:tc>
      </w:tr>
      <w:tr>
        <w:tc>
          <w:tcPr/>
          <w:p>
            <w:pPr>
              <w:pStyle w:val="Compact"/>
            </w:pPr>
          </w:p>
        </w:tc>
        <w:tc>
          <w:tcPr/>
          <w:p>
            <w:pPr>
              <w:pStyle w:val="Compact"/>
            </w:pPr>
          </w:p>
        </w:tc>
        <w:tc>
          <w:tcPr/>
          <w:p>
            <w:pPr>
              <w:pStyle w:val="Compact"/>
              <w:jc w:val="left"/>
            </w:pPr>
            <w:r>
              <w:t xml:space="preserve">vi. Electrical Systems</w:t>
            </w:r>
          </w:p>
        </w:tc>
      </w:tr>
      <w:tr>
        <w:tc>
          <w:tcPr/>
          <w:p>
            <w:pPr>
              <w:pStyle w:val="Compact"/>
            </w:pPr>
          </w:p>
        </w:tc>
        <w:tc>
          <w:tcPr/>
          <w:p>
            <w:pPr>
              <w:pStyle w:val="Compact"/>
            </w:pPr>
          </w:p>
        </w:tc>
        <w:tc>
          <w:tcPr/>
          <w:p>
            <w:pPr>
              <w:pStyle w:val="Compact"/>
              <w:jc w:val="left"/>
            </w:pPr>
            <w:r>
              <w:t xml:space="preserve">vii. Mechanical Systems</w:t>
            </w:r>
          </w:p>
        </w:tc>
      </w:tr>
      <w:tr>
        <w:tc>
          <w:tcPr/>
          <w:p>
            <w:pPr>
              <w:pStyle w:val="Compact"/>
            </w:pPr>
          </w:p>
        </w:tc>
        <w:tc>
          <w:tcPr/>
          <w:p>
            <w:pPr>
              <w:pStyle w:val="Compact"/>
            </w:pPr>
          </w:p>
        </w:tc>
        <w:tc>
          <w:tcPr/>
          <w:p>
            <w:pPr>
              <w:pStyle w:val="Compact"/>
              <w:jc w:val="left"/>
            </w:pPr>
            <w:r>
              <w:t xml:space="preserve">viii. Field reports, test data and related documentation</w:t>
            </w:r>
          </w:p>
        </w:tc>
      </w:tr>
    </w:tbl>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Compact"/>
            </w:pPr>
          </w:p>
        </w:tc>
        <w:tc>
          <w:tcPr/>
          <w:p>
            <w:pPr>
              <w:pStyle w:val="Compact"/>
              <w:jc w:val="left"/>
            </w:pPr>
            <w:r>
              <w:t xml:space="preserve">ix. Photos</w:t>
            </w:r>
          </w:p>
        </w:tc>
      </w:tr>
      <w:tr>
        <w:tc>
          <w:tcPr/>
          <w:p>
            <w:pPr>
              <w:pStyle w:val="Compact"/>
            </w:pPr>
          </w:p>
        </w:tc>
        <w:tc>
          <w:tcPr/>
          <w:p>
            <w:pPr>
              <w:pStyle w:val="Compact"/>
            </w:pPr>
          </w:p>
        </w:tc>
        <w:tc>
          <w:tcPr/>
          <w:p>
            <w:pPr>
              <w:pStyle w:val="Compact"/>
              <w:jc w:val="left"/>
            </w:pPr>
            <w:r>
              <w:t xml:space="preserve">(2)</w:t>
            </w:r>
          </w:p>
        </w:tc>
        <w:tc>
          <w:tcPr/>
          <w:p>
            <w:pPr>
              <w:pStyle w:val="Compact"/>
              <w:jc w:val="left"/>
            </w:pPr>
            <w:r>
              <w:t xml:space="preserve">Nothing contained within construction control shall have the effect of waiving or</w:t>
            </w:r>
          </w:p>
        </w:tc>
      </w:tr>
      <w:tr>
        <w:tc>
          <w:tcPr/>
          <w:p>
            <w:pPr>
              <w:pStyle w:val="Compact"/>
            </w:pPr>
          </w:p>
        </w:tc>
        <w:tc>
          <w:tcPr/>
          <w:p>
            <w:pPr>
              <w:pStyle w:val="Compact"/>
            </w:pPr>
          </w:p>
        </w:tc>
        <w:tc>
          <w:tcPr/>
          <w:p>
            <w:pPr>
              <w:pStyle w:val="Compact"/>
            </w:pPr>
          </w:p>
        </w:tc>
        <w:tc>
          <w:tcPr/>
          <w:p>
            <w:pPr>
              <w:pStyle w:val="Compact"/>
              <w:jc w:val="left"/>
            </w:pPr>
            <w:r>
              <w:t xml:space="preserve">limiting the building official's authority to enforce codes with respect to examination</w:t>
            </w:r>
          </w:p>
        </w:tc>
      </w:tr>
      <w:tr>
        <w:tc>
          <w:tcPr/>
          <w:p>
            <w:pPr>
              <w:pStyle w:val="Compact"/>
            </w:pPr>
          </w:p>
        </w:tc>
        <w:tc>
          <w:tcPr/>
          <w:p>
            <w:pPr>
              <w:pStyle w:val="Compact"/>
            </w:pPr>
          </w:p>
        </w:tc>
        <w:tc>
          <w:tcPr/>
          <w:p>
            <w:pPr>
              <w:pStyle w:val="Compact"/>
            </w:pPr>
          </w:p>
        </w:tc>
        <w:tc>
          <w:tcPr/>
          <w:p>
            <w:pPr>
              <w:pStyle w:val="Compact"/>
              <w:jc w:val="left"/>
            </w:pPr>
            <w:r>
              <w:t xml:space="preserve">of the contract documents, including plans, computations and specifications, and field</w:t>
            </w:r>
          </w:p>
        </w:tc>
      </w:tr>
      <w:tr>
        <w:tc>
          <w:tcPr/>
          <w:p>
            <w:pPr>
              <w:pStyle w:val="Compact"/>
            </w:pPr>
          </w:p>
        </w:tc>
        <w:tc>
          <w:tcPr/>
          <w:p>
            <w:pPr>
              <w:pStyle w:val="Compact"/>
            </w:pPr>
          </w:p>
        </w:tc>
        <w:tc>
          <w:tcPr/>
          <w:p>
            <w:pPr>
              <w:pStyle w:val="Compact"/>
            </w:pPr>
          </w:p>
        </w:tc>
        <w:tc>
          <w:tcPr/>
          <w:p>
            <w:pPr>
              <w:pStyle w:val="Compact"/>
              <w:jc w:val="left"/>
            </w:pPr>
            <w:r>
              <w:t xml:space="preserve">inspections.</w:t>
            </w:r>
          </w:p>
        </w:tc>
      </w:tr>
      <w:tr>
        <w:tc>
          <w:tcPr/>
          <w:p>
            <w:pPr>
              <w:pStyle w:val="Compact"/>
            </w:pPr>
          </w:p>
        </w:tc>
        <w:tc>
          <w:tcPr/>
          <w:p>
            <w:pPr>
              <w:pStyle w:val="Compact"/>
              <w:jc w:val="left"/>
            </w:pPr>
            <w:r>
              <w:t xml:space="preserve">(q)</w:t>
            </w:r>
          </w:p>
        </w:tc>
        <w:tc>
          <w:tcPr/>
          <w:p>
            <w:pPr>
              <w:pStyle w:val="Compact"/>
            </w:pPr>
          </w:p>
        </w:tc>
        <w:tc>
          <w:tcPr/>
          <w:p>
            <w:pPr>
              <w:pStyle w:val="Compact"/>
              <w:jc w:val="left"/>
            </w:pPr>
            <w:r>
              <w:t xml:space="preserve">Liability Insurance: The Applicant shall maintain a current general liability policy during</w:t>
            </w:r>
          </w:p>
        </w:tc>
      </w:tr>
      <w:tr>
        <w:tc>
          <w:tcPr/>
          <w:p>
            <w:pPr>
              <w:pStyle w:val="Compact"/>
            </w:pPr>
          </w:p>
        </w:tc>
        <w:tc>
          <w:tcPr/>
          <w:p>
            <w:pPr>
              <w:pStyle w:val="Compact"/>
            </w:pPr>
          </w:p>
        </w:tc>
        <w:tc>
          <w:tcPr/>
          <w:p>
            <w:pPr>
              <w:pStyle w:val="Compact"/>
              <w:jc w:val="left"/>
            </w:pPr>
            <w:r>
              <w:t xml:space="preserve">the</w:t>
            </w:r>
          </w:p>
        </w:tc>
        <w:tc>
          <w:tcPr/>
          <w:p>
            <w:pPr>
              <w:pStyle w:val="Compact"/>
              <w:jc w:val="left"/>
            </w:pPr>
            <w:r>
              <w:t xml:space="preserve">construction phase of the Solar photovoltaic system that covers bodily injury and</w:t>
            </w:r>
          </w:p>
        </w:tc>
      </w:tr>
      <w:tr>
        <w:tc>
          <w:tcPr/>
          <w:p>
            <w:pPr>
              <w:pStyle w:val="Compact"/>
            </w:pPr>
          </w:p>
        </w:tc>
        <w:tc>
          <w:tcPr/>
          <w:p>
            <w:pPr>
              <w:pStyle w:val="Compact"/>
            </w:pPr>
          </w:p>
        </w:tc>
        <w:tc>
          <w:tcPr/>
          <w:p>
            <w:pPr>
              <w:pStyle w:val="Compact"/>
            </w:pPr>
          </w:p>
        </w:tc>
        <w:tc>
          <w:tcPr/>
          <w:p>
            <w:pPr>
              <w:pStyle w:val="Compact"/>
              <w:jc w:val="left"/>
            </w:pPr>
            <w:r>
              <w:t xml:space="preserve">property damage with minimum limits of Two Million Dollars ($2,000,000.00) per</w:t>
            </w:r>
          </w:p>
        </w:tc>
      </w:tr>
      <w:tr>
        <w:tc>
          <w:tcPr/>
          <w:p>
            <w:pPr>
              <w:pStyle w:val="Compact"/>
            </w:pPr>
          </w:p>
        </w:tc>
        <w:tc>
          <w:tcPr/>
          <w:p>
            <w:pPr>
              <w:pStyle w:val="Compact"/>
            </w:pPr>
          </w:p>
        </w:tc>
        <w:tc>
          <w:tcPr/>
          <w:p>
            <w:pPr>
              <w:pStyle w:val="Compact"/>
            </w:pPr>
          </w:p>
        </w:tc>
        <w:tc>
          <w:tcPr/>
          <w:p>
            <w:pPr>
              <w:pStyle w:val="Compact"/>
              <w:jc w:val="left"/>
            </w:pPr>
            <w:r>
              <w:t xml:space="preserve">incident/per occurrence. The Applicant shall provide the Zoning Board of Review with a</w:t>
            </w:r>
          </w:p>
        </w:tc>
      </w:tr>
      <w:tr>
        <w:tc>
          <w:tcPr/>
          <w:p>
            <w:pPr>
              <w:pStyle w:val="Compact"/>
            </w:pPr>
          </w:p>
        </w:tc>
        <w:tc>
          <w:tcPr/>
          <w:p>
            <w:pPr>
              <w:pStyle w:val="Compact"/>
            </w:pPr>
          </w:p>
        </w:tc>
        <w:tc>
          <w:tcPr/>
          <w:p>
            <w:pPr>
              <w:pStyle w:val="Compact"/>
              <w:jc w:val="left"/>
            </w:pPr>
            <w:r>
              <w:t xml:space="preserve">valid</w:t>
            </w:r>
          </w:p>
        </w:tc>
        <w:tc>
          <w:tcPr/>
          <w:p>
            <w:pPr>
              <w:pStyle w:val="Compact"/>
              <w:jc w:val="left"/>
            </w:pPr>
            <w:r>
              <w:t xml:space="preserve">certificate of insurance listing the Town of North Smithfield as additionally insured.</w:t>
            </w:r>
          </w:p>
        </w:tc>
      </w:tr>
      <w:tr>
        <w:tc>
          <w:tcPr/>
          <w:p>
            <w:pPr>
              <w:pStyle w:val="Compact"/>
            </w:pPr>
          </w:p>
        </w:tc>
        <w:tc>
          <w:tcPr/>
          <w:p>
            <w:pPr>
              <w:pStyle w:val="Compact"/>
              <w:jc w:val="left"/>
            </w:pPr>
            <w:r>
              <w:t xml:space="preserve">Section</w:t>
            </w:r>
          </w:p>
        </w:tc>
        <w:tc>
          <w:tcPr/>
          <w:p>
            <w:pPr>
              <w:pStyle w:val="Compact"/>
              <w:jc w:val="left"/>
            </w:pPr>
            <w:r>
              <w:t xml:space="preserve">5.7.6</w:t>
            </w:r>
          </w:p>
        </w:tc>
        <w:tc>
          <w:tcPr/>
          <w:p>
            <w:pPr>
              <w:pStyle w:val="Compact"/>
              <w:jc w:val="left"/>
            </w:pPr>
            <w:r>
              <w:t xml:space="preserve">Ground-Mounted Solar Photovoltaic System Procedure and Submission</w:t>
            </w:r>
          </w:p>
        </w:tc>
      </w:tr>
      <w:tr>
        <w:tc>
          <w:tcPr/>
          <w:p>
            <w:pPr>
              <w:pStyle w:val="Compact"/>
            </w:pPr>
          </w:p>
        </w:tc>
        <w:tc>
          <w:tcPr/>
          <w:p>
            <w:pPr>
              <w:pStyle w:val="Compact"/>
            </w:pPr>
          </w:p>
        </w:tc>
        <w:tc>
          <w:tcPr/>
          <w:p>
            <w:pPr>
              <w:pStyle w:val="Compact"/>
              <w:jc w:val="left"/>
            </w:pPr>
            <w:r>
              <w:t xml:space="preserve">Requirements</w:t>
            </w:r>
          </w:p>
        </w:tc>
        <w:tc>
          <w:tcPr/>
          <w:p>
            <w:pPr>
              <w:pStyle w:val="Compact"/>
            </w:pPr>
          </w:p>
        </w:tc>
      </w:tr>
      <w:tr>
        <w:tc>
          <w:tcPr/>
          <w:p>
            <w:pPr>
              <w:pStyle w:val="Compact"/>
              <w:jc w:val="left"/>
            </w:pPr>
            <w:r>
              <w:t xml:space="preserve">All</w:t>
            </w:r>
          </w:p>
        </w:tc>
        <w:tc>
          <w:tcPr/>
          <w:p>
            <w:pPr>
              <w:pStyle w:val="Compact"/>
            </w:pPr>
          </w:p>
        </w:tc>
        <w:tc>
          <w:tcPr/>
          <w:p>
            <w:pPr>
              <w:pStyle w:val="Compact"/>
            </w:pPr>
          </w:p>
        </w:tc>
        <w:tc>
          <w:tcPr/>
          <w:p>
            <w:pPr>
              <w:pStyle w:val="Compact"/>
              <w:jc w:val="left"/>
            </w:pPr>
            <w:r>
              <w:t xml:space="preserve">ground-mounted solar photovoltaic systems shall follow the procedure and submission</w:t>
            </w:r>
          </w:p>
        </w:tc>
      </w:tr>
      <w:tr>
        <w:tc>
          <w:tcPr/>
          <w:p>
            <w:pPr>
              <w:pStyle w:val="Compact"/>
            </w:pPr>
          </w:p>
        </w:tc>
        <w:tc>
          <w:tcPr/>
          <w:p>
            <w:pPr>
              <w:pStyle w:val="Compact"/>
              <w:jc w:val="left"/>
            </w:pPr>
            <w:r>
              <w:t xml:space="preserve">requirements</w:t>
            </w:r>
          </w:p>
        </w:tc>
        <w:tc>
          <w:tcPr/>
          <w:p>
            <w:pPr>
              <w:pStyle w:val="Compact"/>
            </w:pPr>
          </w:p>
        </w:tc>
        <w:tc>
          <w:tcPr/>
          <w:p>
            <w:pPr>
              <w:pStyle w:val="Compact"/>
              <w:jc w:val="left"/>
            </w:pPr>
            <w:r>
              <w:t xml:space="preserve">herein:</w:t>
            </w:r>
          </w:p>
        </w:tc>
      </w:tr>
      <w:tr>
        <w:tc>
          <w:tcPr/>
          <w:p>
            <w:pPr>
              <w:pStyle w:val="Compact"/>
            </w:pPr>
          </w:p>
        </w:tc>
        <w:tc>
          <w:tcPr/>
          <w:p>
            <w:pPr>
              <w:pStyle w:val="Compact"/>
              <w:jc w:val="left"/>
            </w:pPr>
            <w:r>
              <w:t xml:space="preserve">(a)</w:t>
            </w:r>
          </w:p>
        </w:tc>
        <w:tc>
          <w:tcPr/>
          <w:p>
            <w:pPr>
              <w:pStyle w:val="Compact"/>
              <w:jc w:val="left"/>
            </w:pPr>
            <w:r>
              <w:t xml:space="preserve">Site</w:t>
            </w:r>
          </w:p>
        </w:tc>
        <w:tc>
          <w:tcPr/>
          <w:p>
            <w:pPr>
              <w:pStyle w:val="Compact"/>
              <w:jc w:val="left"/>
            </w:pPr>
            <w:r>
              <w:t xml:space="preserve">Plan Review. The application for solar photovoltaic systems shall be reviewed by</w:t>
            </w:r>
          </w:p>
        </w:tc>
      </w:tr>
      <w:tr>
        <w:tc>
          <w:tcPr/>
          <w:p>
            <w:pPr>
              <w:pStyle w:val="Compact"/>
            </w:pPr>
          </w:p>
        </w:tc>
        <w:tc>
          <w:tcPr/>
          <w:p>
            <w:pPr>
              <w:pStyle w:val="Compact"/>
            </w:pPr>
          </w:p>
        </w:tc>
        <w:tc>
          <w:tcPr/>
          <w:p>
            <w:pPr>
              <w:pStyle w:val="Compact"/>
              <w:jc w:val="left"/>
            </w:pPr>
            <w:r>
              <w:t xml:space="preserve">the</w:t>
            </w:r>
          </w:p>
        </w:tc>
        <w:tc>
          <w:tcPr/>
          <w:p>
            <w:pPr>
              <w:pStyle w:val="Compact"/>
              <w:jc w:val="left"/>
            </w:pPr>
            <w:r>
              <w:t xml:space="preserve">Planning Board under the Site Plan Review regulations, as a minor land development,</w:t>
            </w:r>
          </w:p>
        </w:tc>
      </w:tr>
      <w:tr>
        <w:tc>
          <w:tcPr/>
          <w:p>
            <w:pPr>
              <w:pStyle w:val="Compact"/>
            </w:pPr>
          </w:p>
        </w:tc>
        <w:tc>
          <w:tcPr/>
          <w:p>
            <w:pPr>
              <w:pStyle w:val="Compact"/>
            </w:pPr>
          </w:p>
        </w:tc>
        <w:tc>
          <w:tcPr/>
          <w:p>
            <w:pPr>
              <w:pStyle w:val="Compact"/>
            </w:pPr>
          </w:p>
        </w:tc>
        <w:tc>
          <w:tcPr/>
          <w:p>
            <w:pPr>
              <w:pStyle w:val="Compact"/>
              <w:jc w:val="left"/>
            </w:pPr>
            <w:r>
              <w:t xml:space="preserve">however, with a public hearing and in accordance with R.I. General Laws 45-24-49. The</w:t>
            </w:r>
          </w:p>
        </w:tc>
      </w:tr>
      <w:tr>
        <w:tc>
          <w:tcPr/>
          <w:p>
            <w:pPr>
              <w:pStyle w:val="Compact"/>
            </w:pPr>
          </w:p>
        </w:tc>
        <w:tc>
          <w:tcPr/>
          <w:p>
            <w:pPr>
              <w:pStyle w:val="Compact"/>
            </w:pPr>
          </w:p>
        </w:tc>
        <w:tc>
          <w:tcPr/>
          <w:p>
            <w:pPr>
              <w:pStyle w:val="Compact"/>
            </w:pPr>
          </w:p>
        </w:tc>
        <w:tc>
          <w:tcPr/>
          <w:p>
            <w:pPr>
              <w:pStyle w:val="Compact"/>
              <w:jc w:val="left"/>
            </w:pPr>
            <w:r>
              <w:t xml:space="preserve">Planning Board shall then submit its opinions to the Zoning Board of Review for further</w:t>
            </w:r>
          </w:p>
        </w:tc>
      </w:tr>
      <w:tr>
        <w:tc>
          <w:tcPr/>
          <w:p>
            <w:pPr>
              <w:pStyle w:val="Compact"/>
            </w:pPr>
          </w:p>
        </w:tc>
        <w:tc>
          <w:tcPr/>
          <w:p>
            <w:pPr>
              <w:pStyle w:val="Compact"/>
            </w:pPr>
          </w:p>
        </w:tc>
        <w:tc>
          <w:tcPr/>
          <w:p>
            <w:pPr>
              <w:pStyle w:val="Compact"/>
              <w:jc w:val="left"/>
            </w:pPr>
            <w:r>
              <w:t xml:space="preserve">action</w:t>
            </w:r>
          </w:p>
        </w:tc>
        <w:tc>
          <w:tcPr/>
          <w:p>
            <w:pPr>
              <w:pStyle w:val="Compact"/>
              <w:jc w:val="left"/>
            </w:pPr>
            <w:r>
              <w:t xml:space="preserve">on the application. Such opinions shall be advisory to the Zoning Board of</w:t>
            </w:r>
          </w:p>
        </w:tc>
      </w:tr>
      <w:tr>
        <w:tc>
          <w:tcPr/>
          <w:p>
            <w:pPr>
              <w:pStyle w:val="Compact"/>
            </w:pPr>
          </w:p>
        </w:tc>
        <w:tc>
          <w:tcPr/>
          <w:p>
            <w:pPr>
              <w:pStyle w:val="Compact"/>
            </w:pPr>
          </w:p>
        </w:tc>
        <w:tc>
          <w:tcPr/>
          <w:p>
            <w:pPr>
              <w:pStyle w:val="Compact"/>
            </w:pPr>
          </w:p>
        </w:tc>
        <w:tc>
          <w:tcPr/>
          <w:p>
            <w:pPr>
              <w:pStyle w:val="Compact"/>
              <w:jc w:val="left"/>
            </w:pPr>
            <w:r>
              <w:t xml:space="preserve">Review. The Building/Zoning Official and the Town Planner shall not have the authority</w:t>
            </w:r>
          </w:p>
        </w:tc>
      </w:tr>
      <w:tr>
        <w:tc>
          <w:tcPr/>
          <w:p>
            <w:pPr>
              <w:pStyle w:val="Compact"/>
            </w:pPr>
          </w:p>
        </w:tc>
        <w:tc>
          <w:tcPr/>
          <w:p>
            <w:pPr>
              <w:pStyle w:val="Compact"/>
            </w:pPr>
          </w:p>
        </w:tc>
        <w:tc>
          <w:tcPr/>
          <w:p>
            <w:pPr>
              <w:pStyle w:val="Compact"/>
              <w:jc w:val="left"/>
            </w:pPr>
            <w:r>
              <w:t xml:space="preserve">to</w:t>
            </w:r>
          </w:p>
        </w:tc>
        <w:tc>
          <w:tcPr/>
          <w:p>
            <w:pPr>
              <w:pStyle w:val="Compact"/>
              <w:jc w:val="left"/>
            </w:pPr>
            <w:r>
              <w:t xml:space="preserve">exempt the application from Site Plan Review under Section 17.1.2 or any</w:t>
            </w:r>
          </w:p>
        </w:tc>
      </w:tr>
      <w:tr>
        <w:tc>
          <w:tcPr/>
          <w:p>
            <w:pPr>
              <w:pStyle w:val="Compact"/>
            </w:pPr>
          </w:p>
        </w:tc>
        <w:tc>
          <w:tcPr/>
          <w:p>
            <w:pPr>
              <w:pStyle w:val="Compact"/>
            </w:pPr>
          </w:p>
        </w:tc>
        <w:tc>
          <w:tcPr/>
          <w:p>
            <w:pPr>
              <w:pStyle w:val="Compact"/>
            </w:pPr>
          </w:p>
        </w:tc>
        <w:tc>
          <w:tcPr/>
          <w:p>
            <w:pPr>
              <w:pStyle w:val="Compact"/>
              <w:jc w:val="left"/>
            </w:pPr>
            <w:r>
              <w:t xml:space="preserve">requirements of Section 17 Review Process.</w:t>
            </w:r>
          </w:p>
        </w:tc>
      </w:tr>
      <w:tr>
        <w:tc>
          <w:tcPr/>
          <w:p>
            <w:pPr>
              <w:pStyle w:val="Compact"/>
            </w:pPr>
          </w:p>
        </w:tc>
        <w:tc>
          <w:tcPr/>
          <w:p>
            <w:pPr>
              <w:pStyle w:val="Compact"/>
              <w:jc w:val="left"/>
            </w:pPr>
            <w:r>
              <w:t xml:space="preserve">(b)</w:t>
            </w:r>
          </w:p>
        </w:tc>
        <w:tc>
          <w:tcPr/>
          <w:p>
            <w:pPr>
              <w:pStyle w:val="Compact"/>
              <w:jc w:val="left"/>
            </w:pPr>
            <w:r>
              <w:t xml:space="preserve">The</w:t>
            </w:r>
          </w:p>
        </w:tc>
        <w:tc>
          <w:tcPr/>
          <w:p>
            <w:pPr>
              <w:pStyle w:val="Compact"/>
              <w:jc w:val="left"/>
            </w:pPr>
            <w:r>
              <w:t xml:space="preserve">following information shall be provided to the Planning Board and Zoning Board of</w:t>
            </w:r>
          </w:p>
        </w:tc>
      </w:tr>
      <w:tr>
        <w:tc>
          <w:tcPr/>
          <w:p>
            <w:pPr>
              <w:pStyle w:val="Compact"/>
            </w:pPr>
          </w:p>
        </w:tc>
        <w:tc>
          <w:tcPr/>
          <w:p>
            <w:pPr>
              <w:pStyle w:val="Compact"/>
            </w:pPr>
          </w:p>
        </w:tc>
        <w:tc>
          <w:tcPr/>
          <w:p>
            <w:pPr>
              <w:pStyle w:val="Compact"/>
            </w:pPr>
          </w:p>
        </w:tc>
        <w:tc>
          <w:tcPr/>
          <w:p>
            <w:pPr>
              <w:pStyle w:val="Compact"/>
              <w:jc w:val="left"/>
            </w:pPr>
            <w:r>
              <w:t xml:space="preserve">Review as part of an application for a special-use permit to install a solar photovoltaic</w:t>
            </w:r>
          </w:p>
        </w:tc>
      </w:tr>
      <w:tr>
        <w:tc>
          <w:tcPr/>
          <w:p>
            <w:pPr>
              <w:pStyle w:val="Compact"/>
            </w:pPr>
          </w:p>
        </w:tc>
        <w:tc>
          <w:tcPr/>
          <w:p>
            <w:pPr>
              <w:pStyle w:val="Compact"/>
            </w:pPr>
          </w:p>
        </w:tc>
        <w:tc>
          <w:tcPr/>
          <w:p>
            <w:pPr>
              <w:pStyle w:val="Compact"/>
            </w:pPr>
          </w:p>
        </w:tc>
        <w:tc>
          <w:tcPr/>
          <w:p>
            <w:pPr>
              <w:pStyle w:val="Compact"/>
              <w:jc w:val="left"/>
            </w:pPr>
            <w:r>
              <w:t xml:space="preserve">system:</w:t>
            </w:r>
          </w:p>
        </w:tc>
      </w:tr>
      <w:tr>
        <w:tc>
          <w:tcPr/>
          <w:p>
            <w:pPr>
              <w:pStyle w:val="Compact"/>
            </w:pPr>
          </w:p>
        </w:tc>
        <w:tc>
          <w:tcPr/>
          <w:p>
            <w:pPr>
              <w:pStyle w:val="Compact"/>
            </w:pPr>
          </w:p>
        </w:tc>
        <w:tc>
          <w:tcPr/>
          <w:p>
            <w:pPr>
              <w:pStyle w:val="Compact"/>
              <w:jc w:val="left"/>
            </w:pPr>
            <w:r>
              <w:t xml:space="preserve">(1)</w:t>
            </w:r>
          </w:p>
        </w:tc>
        <w:tc>
          <w:tcPr/>
          <w:p>
            <w:pPr>
              <w:pStyle w:val="Compact"/>
              <w:jc w:val="left"/>
            </w:pPr>
            <w:r>
              <w:t xml:space="preserve">A completed application form including:</w:t>
            </w:r>
          </w:p>
        </w:tc>
      </w:tr>
      <w:tr>
        <w:tc>
          <w:tcPr/>
          <w:p>
            <w:pPr>
              <w:pStyle w:val="Compact"/>
            </w:pPr>
          </w:p>
        </w:tc>
        <w:tc>
          <w:tcPr/>
          <w:p>
            <w:pPr>
              <w:pStyle w:val="Compact"/>
            </w:pPr>
          </w:p>
        </w:tc>
        <w:tc>
          <w:tcPr/>
          <w:p>
            <w:pPr>
              <w:pStyle w:val="Compact"/>
            </w:pPr>
          </w:p>
        </w:tc>
        <w:tc>
          <w:tcPr/>
          <w:p>
            <w:pPr>
              <w:pStyle w:val="Compact"/>
              <w:jc w:val="left"/>
            </w:pPr>
            <w:r>
              <w:t xml:space="preserve">i. Identification of the Participating Land Owner(s), the person(s) or entity(s) that</w:t>
            </w:r>
          </w:p>
        </w:tc>
      </w:tr>
      <w:tr>
        <w:tc>
          <w:tcPr/>
          <w:p>
            <w:pPr>
              <w:pStyle w:val="Compact"/>
            </w:pPr>
          </w:p>
        </w:tc>
        <w:tc>
          <w:tcPr/>
          <w:p>
            <w:pPr>
              <w:pStyle w:val="Compact"/>
            </w:pPr>
          </w:p>
        </w:tc>
        <w:tc>
          <w:tcPr/>
          <w:p>
            <w:pPr>
              <w:pStyle w:val="Compact"/>
            </w:pPr>
          </w:p>
        </w:tc>
        <w:tc>
          <w:tcPr/>
          <w:p>
            <w:pPr>
              <w:pStyle w:val="Compact"/>
              <w:jc w:val="left"/>
            </w:pPr>
            <w:r>
              <w:t xml:space="preserve">will be operating, owning and constructing the solar photovoltaic system, their</w:t>
            </w:r>
          </w:p>
        </w:tc>
      </w:tr>
      <w:tr>
        <w:tc>
          <w:tcPr/>
          <w:p>
            <w:pPr>
              <w:pStyle w:val="Compact"/>
            </w:pPr>
          </w:p>
        </w:tc>
        <w:tc>
          <w:tcPr/>
          <w:p>
            <w:pPr>
              <w:pStyle w:val="Compact"/>
            </w:pPr>
          </w:p>
        </w:tc>
        <w:tc>
          <w:tcPr/>
          <w:p>
            <w:pPr>
              <w:pStyle w:val="Compact"/>
            </w:pPr>
          </w:p>
        </w:tc>
        <w:tc>
          <w:tcPr/>
          <w:p>
            <w:pPr>
              <w:pStyle w:val="Compact"/>
              <w:jc w:val="left"/>
            </w:pPr>
            <w:r>
              <w:t xml:space="preserve">full names, addresses and contact information.</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pPr>
          </w:p>
        </w:tc>
        <w:tc>
          <w:tcPr/>
          <w:p>
            <w:pPr>
              <w:pStyle w:val="Compact"/>
              <w:jc w:val="left"/>
            </w:pPr>
            <w:r>
              <w:t xml:space="preserve">ii. The proposed site address, plat and lot numbers, zone and owners of the proposed</w:t>
            </w:r>
          </w:p>
        </w:tc>
      </w:tr>
      <w:tr>
        <w:tc>
          <w:tcPr/>
          <w:p>
            <w:pPr>
              <w:pStyle w:val="Compact"/>
            </w:pPr>
          </w:p>
        </w:tc>
        <w:tc>
          <w:tcPr/>
          <w:p>
            <w:pPr>
              <w:pStyle w:val="Compact"/>
            </w:pPr>
          </w:p>
        </w:tc>
        <w:tc>
          <w:tcPr/>
          <w:p>
            <w:pPr>
              <w:pStyle w:val="Compact"/>
              <w:jc w:val="left"/>
            </w:pPr>
            <w:r>
              <w:t xml:space="preserve">solar photovoltaic system site and any contiguous parcels owned by the</w:t>
            </w:r>
          </w:p>
        </w:tc>
      </w:tr>
      <w:tr>
        <w:tc>
          <w:tcPr/>
          <w:p>
            <w:pPr>
              <w:pStyle w:val="Compact"/>
            </w:pPr>
          </w:p>
        </w:tc>
        <w:tc>
          <w:tcPr/>
          <w:p>
            <w:pPr>
              <w:pStyle w:val="Compact"/>
            </w:pPr>
          </w:p>
        </w:tc>
        <w:tc>
          <w:tcPr/>
          <w:p>
            <w:pPr>
              <w:pStyle w:val="Compact"/>
              <w:jc w:val="left"/>
            </w:pPr>
            <w:r>
              <w:t xml:space="preserve">Participating Landowners.</w:t>
            </w:r>
          </w:p>
        </w:tc>
      </w:tr>
      <w:tr>
        <w:tc>
          <w:tcPr/>
          <w:p>
            <w:pPr>
              <w:pStyle w:val="Compact"/>
            </w:pPr>
          </w:p>
        </w:tc>
        <w:tc>
          <w:tcPr/>
          <w:p>
            <w:pPr>
              <w:pStyle w:val="Compact"/>
            </w:pPr>
          </w:p>
        </w:tc>
        <w:tc>
          <w:tcPr/>
          <w:p>
            <w:pPr>
              <w:pStyle w:val="Compact"/>
              <w:jc w:val="left"/>
            </w:pPr>
            <w:r>
              <w:t xml:space="preserve">iii. The current use of the land site, owners and addresses of owners of the parcels</w:t>
            </w:r>
          </w:p>
        </w:tc>
      </w:tr>
      <w:tr>
        <w:tc>
          <w:tcPr/>
          <w:p>
            <w:pPr>
              <w:pStyle w:val="Compact"/>
            </w:pPr>
          </w:p>
        </w:tc>
        <w:tc>
          <w:tcPr/>
          <w:p>
            <w:pPr>
              <w:pStyle w:val="Compact"/>
            </w:pPr>
          </w:p>
        </w:tc>
        <w:tc>
          <w:tcPr/>
          <w:p>
            <w:pPr>
              <w:pStyle w:val="Compact"/>
              <w:jc w:val="left"/>
            </w:pPr>
            <w:r>
              <w:t xml:space="preserve">that abut the proposed site or abut parcels of Participating Landowners that are</w:t>
            </w:r>
          </w:p>
        </w:tc>
      </w:tr>
      <w:tr>
        <w:tc>
          <w:tcPr/>
          <w:p>
            <w:pPr>
              <w:pStyle w:val="Compact"/>
            </w:pPr>
          </w:p>
        </w:tc>
        <w:tc>
          <w:tcPr/>
          <w:p>
            <w:pPr>
              <w:pStyle w:val="Compact"/>
            </w:pPr>
          </w:p>
        </w:tc>
        <w:tc>
          <w:tcPr/>
          <w:p>
            <w:pPr>
              <w:pStyle w:val="Compact"/>
              <w:jc w:val="left"/>
            </w:pPr>
            <w:r>
              <w:t xml:space="preserve">contiguous with the proposed site. A view shed analysis and map must be</w:t>
            </w:r>
          </w:p>
        </w:tc>
      </w:tr>
      <w:tr>
        <w:tc>
          <w:tcPr/>
          <w:p>
            <w:pPr>
              <w:pStyle w:val="Compact"/>
            </w:pPr>
          </w:p>
        </w:tc>
        <w:tc>
          <w:tcPr/>
          <w:p>
            <w:pPr>
              <w:pStyle w:val="Compact"/>
            </w:pPr>
          </w:p>
        </w:tc>
        <w:tc>
          <w:tcPr/>
          <w:p>
            <w:pPr>
              <w:pStyle w:val="Compact"/>
              <w:jc w:val="left"/>
            </w:pPr>
            <w:r>
              <w:t xml:space="preserve">provided.</w:t>
            </w:r>
          </w:p>
        </w:tc>
      </w:tr>
      <w:tr>
        <w:tc>
          <w:tcPr/>
          <w:p>
            <w:pPr>
              <w:pStyle w:val="Compact"/>
            </w:pPr>
          </w:p>
        </w:tc>
        <w:tc>
          <w:tcPr/>
          <w:p>
            <w:pPr>
              <w:pStyle w:val="Compact"/>
            </w:pPr>
          </w:p>
        </w:tc>
        <w:tc>
          <w:tcPr/>
          <w:p>
            <w:pPr>
              <w:pStyle w:val="Compact"/>
              <w:jc w:val="left"/>
            </w:pPr>
            <w:r>
              <w:t xml:space="preserve">iv. A plan, signed and stamped by an Engineer, drawn to scale, showing where the</w:t>
            </w:r>
          </w:p>
        </w:tc>
      </w:tr>
      <w:tr>
        <w:tc>
          <w:tcPr/>
          <w:p>
            <w:pPr>
              <w:pStyle w:val="Compact"/>
            </w:pPr>
          </w:p>
        </w:tc>
        <w:tc>
          <w:tcPr/>
          <w:p>
            <w:pPr>
              <w:pStyle w:val="Compact"/>
            </w:pPr>
          </w:p>
        </w:tc>
        <w:tc>
          <w:tcPr/>
          <w:p>
            <w:pPr>
              <w:pStyle w:val="Compact"/>
              <w:jc w:val="left"/>
            </w:pPr>
            <w:r>
              <w:t xml:space="preserve">solar photovoltaic systems will be located on the lot.</w:t>
            </w:r>
          </w:p>
        </w:tc>
      </w:tr>
      <w:tr>
        <w:tc>
          <w:tcPr/>
          <w:p>
            <w:pPr>
              <w:pStyle w:val="Compact"/>
              <w:jc w:val="left"/>
            </w:pPr>
            <w:r>
              <w:t xml:space="preserve">(c)</w:t>
            </w:r>
          </w:p>
        </w:tc>
        <w:tc>
          <w:tcPr/>
          <w:p>
            <w:pPr>
              <w:pStyle w:val="Compact"/>
              <w:jc w:val="left"/>
            </w:pPr>
            <w:r>
              <w:t xml:space="preserve">In</w:t>
            </w:r>
          </w:p>
        </w:tc>
        <w:tc>
          <w:tcPr/>
          <w:p>
            <w:pPr>
              <w:pStyle w:val="Compact"/>
              <w:jc w:val="left"/>
            </w:pPr>
            <w:r>
              <w:t xml:space="preserve">addition to the information required under Section 5.7.5 and 5.7.6, the following</w:t>
            </w:r>
          </w:p>
        </w:tc>
      </w:tr>
      <w:tr>
        <w:tc>
          <w:tcPr/>
          <w:p>
            <w:pPr>
              <w:pStyle w:val="Compact"/>
            </w:pPr>
          </w:p>
        </w:tc>
        <w:tc>
          <w:tcPr/>
          <w:p>
            <w:pPr>
              <w:pStyle w:val="Compact"/>
            </w:pPr>
          </w:p>
        </w:tc>
        <w:tc>
          <w:tcPr/>
          <w:p>
            <w:pPr>
              <w:pStyle w:val="Compact"/>
              <w:jc w:val="left"/>
            </w:pPr>
            <w:r>
              <w:t xml:space="preserve">information shall be provided with an application for a solar photovoltaic system:</w:t>
            </w:r>
          </w:p>
        </w:tc>
      </w:tr>
      <w:tr>
        <w:tc>
          <w:tcPr/>
          <w:p>
            <w:pPr>
              <w:pStyle w:val="Compact"/>
            </w:pPr>
          </w:p>
        </w:tc>
        <w:tc>
          <w:tcPr/>
          <w:p>
            <w:pPr>
              <w:pStyle w:val="Compact"/>
              <w:jc w:val="left"/>
            </w:pPr>
            <w:r>
              <w:t xml:space="preserve">(1)</w:t>
            </w:r>
          </w:p>
        </w:tc>
        <w:tc>
          <w:tcPr/>
          <w:p>
            <w:pPr>
              <w:pStyle w:val="Compact"/>
              <w:jc w:val="left"/>
            </w:pPr>
            <w:r>
              <w:t xml:space="preserve">All drawings submitted shall be signed and stamped by an Rhode Island licensed</w:t>
            </w:r>
          </w:p>
        </w:tc>
      </w:tr>
      <w:tr>
        <w:tc>
          <w:tcPr/>
          <w:p>
            <w:pPr>
              <w:pStyle w:val="Compact"/>
            </w:pPr>
          </w:p>
        </w:tc>
        <w:tc>
          <w:tcPr/>
          <w:p>
            <w:pPr>
              <w:pStyle w:val="Compact"/>
            </w:pPr>
          </w:p>
        </w:tc>
        <w:tc>
          <w:tcPr/>
          <w:p>
            <w:pPr>
              <w:pStyle w:val="Compact"/>
              <w:jc w:val="left"/>
            </w:pPr>
            <w:r>
              <w:t xml:space="preserve">Engineer. At least one original copy of each drawing shall be provided at each</w:t>
            </w:r>
          </w:p>
        </w:tc>
      </w:tr>
      <w:tr>
        <w:tc>
          <w:tcPr/>
          <w:p>
            <w:pPr>
              <w:pStyle w:val="Compact"/>
            </w:pPr>
          </w:p>
        </w:tc>
        <w:tc>
          <w:tcPr/>
          <w:p>
            <w:pPr>
              <w:pStyle w:val="Compact"/>
            </w:pPr>
          </w:p>
        </w:tc>
        <w:tc>
          <w:tcPr/>
          <w:p>
            <w:pPr>
              <w:pStyle w:val="Compact"/>
              <w:jc w:val="left"/>
            </w:pPr>
            <w:r>
              <w:t xml:space="preserve">review.</w:t>
            </w:r>
          </w:p>
        </w:tc>
      </w:tr>
      <w:tr>
        <w:tc>
          <w:tcPr/>
          <w:p>
            <w:pPr>
              <w:pStyle w:val="Compact"/>
            </w:pPr>
          </w:p>
        </w:tc>
        <w:tc>
          <w:tcPr/>
          <w:p>
            <w:pPr>
              <w:pStyle w:val="Compact"/>
              <w:jc w:val="left"/>
            </w:pPr>
            <w:r>
              <w:t xml:space="preserve">(2)</w:t>
            </w:r>
          </w:p>
        </w:tc>
        <w:tc>
          <w:tcPr/>
          <w:p>
            <w:pPr>
              <w:pStyle w:val="Compact"/>
              <w:jc w:val="left"/>
            </w:pPr>
            <w:r>
              <w:t xml:space="preserve">Description. A description of the proposed solar photovoltaic system that includes the</w:t>
            </w:r>
          </w:p>
        </w:tc>
      </w:tr>
      <w:tr>
        <w:tc>
          <w:tcPr/>
          <w:p>
            <w:pPr>
              <w:pStyle w:val="Compact"/>
            </w:pPr>
          </w:p>
        </w:tc>
        <w:tc>
          <w:tcPr/>
          <w:p>
            <w:pPr>
              <w:pStyle w:val="Compact"/>
            </w:pPr>
          </w:p>
        </w:tc>
        <w:tc>
          <w:tcPr/>
          <w:p>
            <w:pPr>
              <w:pStyle w:val="Compact"/>
              <w:jc w:val="left"/>
            </w:pPr>
            <w:r>
              <w:t xml:space="preserve">aggregate generating capacity of all proposed solar photovoltaic systems,</w:t>
            </w:r>
          </w:p>
        </w:tc>
      </w:tr>
      <w:tr>
        <w:tc>
          <w:tcPr/>
          <w:p>
            <w:pPr>
              <w:pStyle w:val="Compact"/>
            </w:pPr>
          </w:p>
        </w:tc>
        <w:tc>
          <w:tcPr/>
          <w:p>
            <w:pPr>
              <w:pStyle w:val="Compact"/>
            </w:pPr>
          </w:p>
        </w:tc>
        <w:tc>
          <w:tcPr/>
          <w:p>
            <w:pPr>
              <w:pStyle w:val="Compact"/>
              <w:jc w:val="left"/>
            </w:pPr>
            <w:r>
              <w:t xml:space="preserve">manufacturer’s specifications for solar panels, mounting systems, inverters,</w:t>
            </w:r>
          </w:p>
        </w:tc>
      </w:tr>
      <w:tr>
        <w:tc>
          <w:tcPr/>
          <w:p>
            <w:pPr>
              <w:pStyle w:val="Compact"/>
            </w:pPr>
          </w:p>
        </w:tc>
        <w:tc>
          <w:tcPr/>
          <w:p>
            <w:pPr>
              <w:pStyle w:val="Compact"/>
            </w:pPr>
          </w:p>
        </w:tc>
        <w:tc>
          <w:tcPr/>
          <w:p>
            <w:pPr>
              <w:pStyle w:val="Compact"/>
              <w:jc w:val="left"/>
            </w:pPr>
            <w:r>
              <w:t xml:space="preserve">transformers and other noise generating equipment (including but not limited to the</w:t>
            </w:r>
          </w:p>
        </w:tc>
      </w:tr>
      <w:tr>
        <w:tc>
          <w:tcPr/>
          <w:p>
            <w:pPr>
              <w:pStyle w:val="Compact"/>
            </w:pPr>
          </w:p>
        </w:tc>
        <w:tc>
          <w:tcPr/>
          <w:p>
            <w:pPr>
              <w:pStyle w:val="Compact"/>
            </w:pPr>
          </w:p>
        </w:tc>
        <w:tc>
          <w:tcPr/>
          <w:p>
            <w:pPr>
              <w:pStyle w:val="Compact"/>
              <w:jc w:val="left"/>
            </w:pPr>
            <w:r>
              <w:t xml:space="preserve">make, model, capacity, sound emission levels) and a description of the associated</w:t>
            </w:r>
          </w:p>
        </w:tc>
      </w:tr>
      <w:tr>
        <w:tc>
          <w:tcPr/>
          <w:p>
            <w:pPr>
              <w:pStyle w:val="Compact"/>
            </w:pPr>
          </w:p>
        </w:tc>
        <w:tc>
          <w:tcPr/>
          <w:p>
            <w:pPr>
              <w:pStyle w:val="Compact"/>
            </w:pPr>
          </w:p>
        </w:tc>
        <w:tc>
          <w:tcPr/>
          <w:p>
            <w:pPr>
              <w:pStyle w:val="Compact"/>
              <w:jc w:val="left"/>
            </w:pPr>
            <w:r>
              <w:t xml:space="preserve">facilities.</w:t>
            </w:r>
          </w:p>
        </w:tc>
      </w:tr>
      <w:tr>
        <w:tc>
          <w:tcPr/>
          <w:p>
            <w:pPr>
              <w:pStyle w:val="Compact"/>
            </w:pPr>
          </w:p>
        </w:tc>
        <w:tc>
          <w:tcPr/>
          <w:p>
            <w:pPr>
              <w:pStyle w:val="Compact"/>
              <w:jc w:val="left"/>
            </w:pPr>
            <w:r>
              <w:t xml:space="preserve">(3)</w:t>
            </w:r>
          </w:p>
        </w:tc>
        <w:tc>
          <w:tcPr/>
          <w:p>
            <w:pPr>
              <w:pStyle w:val="Compact"/>
              <w:jc w:val="left"/>
            </w:pPr>
            <w:r>
              <w:t xml:space="preserve">Site Plan. Plan shall show the proposed location of each solar photovoltaic system</w:t>
            </w:r>
          </w:p>
        </w:tc>
      </w:tr>
      <w:tr>
        <w:tc>
          <w:tcPr/>
          <w:p>
            <w:pPr>
              <w:pStyle w:val="Compact"/>
            </w:pPr>
          </w:p>
        </w:tc>
        <w:tc>
          <w:tcPr/>
          <w:p>
            <w:pPr>
              <w:pStyle w:val="Compact"/>
            </w:pPr>
          </w:p>
        </w:tc>
        <w:tc>
          <w:tcPr/>
          <w:p>
            <w:pPr>
              <w:pStyle w:val="Compact"/>
              <w:jc w:val="left"/>
            </w:pPr>
            <w:r>
              <w:t xml:space="preserve">and associated facilities.</w:t>
            </w:r>
          </w:p>
        </w:tc>
      </w:tr>
      <w:tr>
        <w:tc>
          <w:tcPr/>
          <w:p>
            <w:pPr>
              <w:pStyle w:val="Compact"/>
            </w:pPr>
          </w:p>
        </w:tc>
        <w:tc>
          <w:tcPr/>
          <w:p>
            <w:pPr>
              <w:pStyle w:val="Compact"/>
              <w:jc w:val="left"/>
            </w:pPr>
            <w:r>
              <w:t xml:space="preserve">(4)</w:t>
            </w:r>
          </w:p>
        </w:tc>
        <w:tc>
          <w:tcPr/>
          <w:p>
            <w:pPr>
              <w:pStyle w:val="Compact"/>
              <w:jc w:val="left"/>
            </w:pPr>
            <w:r>
              <w:t xml:space="preserve">Electrical Design. One or three-line electrical diagram detailing the solar photovoltaic</w:t>
            </w:r>
          </w:p>
        </w:tc>
      </w:tr>
      <w:tr>
        <w:tc>
          <w:tcPr/>
          <w:p>
            <w:pPr>
              <w:pStyle w:val="Compact"/>
            </w:pPr>
          </w:p>
        </w:tc>
        <w:tc>
          <w:tcPr/>
          <w:p>
            <w:pPr>
              <w:pStyle w:val="Compact"/>
            </w:pPr>
          </w:p>
        </w:tc>
        <w:tc>
          <w:tcPr/>
          <w:p>
            <w:pPr>
              <w:pStyle w:val="Compact"/>
              <w:jc w:val="left"/>
            </w:pPr>
            <w:r>
              <w:t xml:space="preserve">installation, associated components and electrical interconnection methods, with all</w:t>
            </w:r>
          </w:p>
        </w:tc>
      </w:tr>
      <w:tr>
        <w:tc>
          <w:tcPr/>
          <w:p>
            <w:pPr>
              <w:pStyle w:val="Compact"/>
            </w:pPr>
          </w:p>
        </w:tc>
        <w:tc>
          <w:tcPr/>
          <w:p>
            <w:pPr>
              <w:pStyle w:val="Compact"/>
            </w:pPr>
          </w:p>
        </w:tc>
        <w:tc>
          <w:tcPr/>
          <w:p>
            <w:pPr>
              <w:pStyle w:val="Compact"/>
              <w:jc w:val="left"/>
            </w:pPr>
            <w:r>
              <w:t xml:space="preserve">current state electrical code compliant disconnects and over current devices.</w:t>
            </w:r>
          </w:p>
        </w:tc>
      </w:tr>
      <w:tr>
        <w:tc>
          <w:tcPr/>
          <w:p>
            <w:pPr>
              <w:pStyle w:val="Compact"/>
            </w:pPr>
          </w:p>
        </w:tc>
        <w:tc>
          <w:tcPr/>
          <w:p>
            <w:pPr>
              <w:pStyle w:val="Compact"/>
              <w:jc w:val="left"/>
            </w:pPr>
            <w:r>
              <w:t xml:space="preserve">(5)</w:t>
            </w:r>
          </w:p>
        </w:tc>
        <w:tc>
          <w:tcPr/>
          <w:p>
            <w:pPr>
              <w:pStyle w:val="Compact"/>
              <w:jc w:val="left"/>
            </w:pPr>
            <w:r>
              <w:t xml:space="preserve">Written evidence that the provider of the electrical service to the property has</w:t>
            </w:r>
          </w:p>
        </w:tc>
      </w:tr>
      <w:tr>
        <w:tc>
          <w:tcPr/>
          <w:p>
            <w:pPr>
              <w:pStyle w:val="Compact"/>
            </w:pPr>
          </w:p>
        </w:tc>
        <w:tc>
          <w:tcPr/>
          <w:p>
            <w:pPr>
              <w:pStyle w:val="Compact"/>
            </w:pPr>
          </w:p>
        </w:tc>
        <w:tc>
          <w:tcPr/>
          <w:p>
            <w:pPr>
              <w:pStyle w:val="Compact"/>
              <w:jc w:val="left"/>
            </w:pPr>
            <w:r>
              <w:t xml:space="preserve">approved connection of an electric generation facility to the electricity grid, if such</w:t>
            </w:r>
          </w:p>
        </w:tc>
      </w:tr>
      <w:tr>
        <w:tc>
          <w:tcPr/>
          <w:p>
            <w:pPr>
              <w:pStyle w:val="Compact"/>
            </w:pPr>
          </w:p>
        </w:tc>
        <w:tc>
          <w:tcPr/>
          <w:p>
            <w:pPr>
              <w:pStyle w:val="Compact"/>
            </w:pPr>
          </w:p>
        </w:tc>
        <w:tc>
          <w:tcPr/>
          <w:p>
            <w:pPr>
              <w:pStyle w:val="Compact"/>
              <w:jc w:val="left"/>
            </w:pPr>
            <w:r>
              <w:t xml:space="preserve">connection is proposed.</w:t>
            </w:r>
          </w:p>
        </w:tc>
      </w:tr>
      <w:tr>
        <w:tc>
          <w:tcPr/>
          <w:p>
            <w:pPr>
              <w:pStyle w:val="Compact"/>
            </w:pPr>
          </w:p>
        </w:tc>
        <w:tc>
          <w:tcPr/>
          <w:p>
            <w:pPr>
              <w:pStyle w:val="Compact"/>
              <w:jc w:val="left"/>
            </w:pPr>
            <w:r>
              <w:t xml:space="preserve">(6)</w:t>
            </w:r>
          </w:p>
        </w:tc>
        <w:tc>
          <w:tcPr/>
          <w:p>
            <w:pPr>
              <w:pStyle w:val="Compact"/>
              <w:jc w:val="left"/>
            </w:pPr>
            <w:r>
              <w:t xml:space="preserve">Complete description of emergency and normal shutdown procedures.</w:t>
            </w:r>
          </w:p>
        </w:tc>
      </w:tr>
      <w:tr>
        <w:tc>
          <w:tcPr/>
          <w:p>
            <w:pPr>
              <w:pStyle w:val="Compact"/>
            </w:pPr>
          </w:p>
        </w:tc>
        <w:tc>
          <w:tcPr/>
          <w:p>
            <w:pPr>
              <w:pStyle w:val="Compact"/>
              <w:jc w:val="left"/>
            </w:pPr>
            <w:r>
              <w:t xml:space="preserve">(7)</w:t>
            </w:r>
          </w:p>
        </w:tc>
        <w:tc>
          <w:tcPr/>
          <w:p>
            <w:pPr>
              <w:pStyle w:val="Compact"/>
              <w:jc w:val="left"/>
            </w:pPr>
            <w:r>
              <w:t xml:space="preserve">Soil analysis confirming that the soil conditions are suitable for the designed</w:t>
            </w:r>
          </w:p>
        </w:tc>
      </w:tr>
      <w:tr>
        <w:tc>
          <w:tcPr/>
          <w:p>
            <w:pPr>
              <w:pStyle w:val="Compact"/>
            </w:pPr>
          </w:p>
        </w:tc>
        <w:tc>
          <w:tcPr/>
          <w:p>
            <w:pPr>
              <w:pStyle w:val="Compact"/>
            </w:pPr>
          </w:p>
        </w:tc>
        <w:tc>
          <w:tcPr/>
          <w:p>
            <w:pPr>
              <w:pStyle w:val="Compact"/>
              <w:jc w:val="left"/>
            </w:pPr>
            <w:r>
              <w:t xml:space="preserve">mounting system signed and stamped by an Engineer.</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(8)</w:t>
            </w:r>
          </w:p>
        </w:tc>
        <w:tc>
          <w:tcPr/>
          <w:p>
            <w:pPr>
              <w:pStyle w:val="Compact"/>
              <w:jc w:val="left"/>
            </w:pPr>
            <w:r>
              <w:t xml:space="preserve">Environmental Factors. The environmental impact of the proposed solar photovoltaic</w:t>
            </w:r>
          </w:p>
        </w:tc>
      </w:tr>
      <w:tr>
        <w:tc>
          <w:tcPr/>
          <w:p>
            <w:pPr>
              <w:pStyle w:val="Compact"/>
            </w:pPr>
          </w:p>
        </w:tc>
        <w:tc>
          <w:tcPr/>
          <w:p>
            <w:pPr>
              <w:pStyle w:val="Compact"/>
            </w:pPr>
          </w:p>
        </w:tc>
        <w:tc>
          <w:tcPr/>
          <w:p>
            <w:pPr>
              <w:pStyle w:val="Compact"/>
              <w:jc w:val="left"/>
            </w:pPr>
            <w:r>
              <w:t xml:space="preserve">system shall be analyzed by a professional environmental company. The impact</w:t>
            </w:r>
          </w:p>
        </w:tc>
      </w:tr>
      <w:tr>
        <w:tc>
          <w:tcPr/>
          <w:p>
            <w:pPr>
              <w:pStyle w:val="Compact"/>
            </w:pPr>
          </w:p>
        </w:tc>
        <w:tc>
          <w:tcPr/>
          <w:p>
            <w:pPr>
              <w:pStyle w:val="Compact"/>
            </w:pPr>
          </w:p>
        </w:tc>
        <w:tc>
          <w:tcPr/>
          <w:p>
            <w:pPr>
              <w:pStyle w:val="Compact"/>
              <w:jc w:val="left"/>
            </w:pPr>
            <w:r>
              <w:t xml:space="preserve">analysis shall be performed and paid for by the Applicant. The analysis shall be</w:t>
            </w:r>
          </w:p>
        </w:tc>
      </w:tr>
      <w:tr>
        <w:tc>
          <w:tcPr/>
          <w:p>
            <w:pPr>
              <w:pStyle w:val="Compact"/>
            </w:pPr>
          </w:p>
        </w:tc>
        <w:tc>
          <w:tcPr/>
          <w:p>
            <w:pPr>
              <w:pStyle w:val="Compact"/>
            </w:pPr>
          </w:p>
        </w:tc>
        <w:tc>
          <w:tcPr/>
          <w:p>
            <w:pPr>
              <w:pStyle w:val="Compact"/>
              <w:jc w:val="left"/>
            </w:pPr>
            <w:r>
              <w:t xml:space="preserve">specific to the site in terms of at risk species of concern and their habitats. The</w:t>
            </w:r>
          </w:p>
        </w:tc>
      </w:tr>
      <w:tr>
        <w:tc>
          <w:tcPr/>
          <w:p>
            <w:pPr>
              <w:pStyle w:val="Compact"/>
            </w:pPr>
          </w:p>
        </w:tc>
        <w:tc>
          <w:tcPr/>
          <w:p>
            <w:pPr>
              <w:pStyle w:val="Compact"/>
            </w:pPr>
          </w:p>
        </w:tc>
        <w:tc>
          <w:tcPr/>
          <w:p>
            <w:pPr>
              <w:pStyle w:val="Compact"/>
              <w:jc w:val="left"/>
            </w:pPr>
            <w:r>
              <w:t xml:space="preserve">following shall be addressed:</w:t>
            </w:r>
          </w:p>
        </w:tc>
      </w:tr>
      <w:tr>
        <w:tc>
          <w:tcPr/>
          <w:p>
            <w:pPr>
              <w:pStyle w:val="Compact"/>
            </w:pPr>
          </w:p>
        </w:tc>
        <w:tc>
          <w:tcPr/>
          <w:p>
            <w:pPr>
              <w:pStyle w:val="Compact"/>
            </w:pPr>
          </w:p>
        </w:tc>
        <w:tc>
          <w:tcPr/>
          <w:p>
            <w:pPr>
              <w:pStyle w:val="Compact"/>
              <w:jc w:val="left"/>
            </w:pPr>
            <w:r>
              <w:t xml:space="preserve">i. Constraints imposed by environmental and archeological regulations.</w:t>
            </w:r>
          </w:p>
        </w:tc>
      </w:tr>
      <w:tr>
        <w:tc>
          <w:tcPr/>
          <w:p>
            <w:pPr>
              <w:pStyle w:val="Compact"/>
            </w:pPr>
          </w:p>
        </w:tc>
        <w:tc>
          <w:tcPr/>
          <w:p>
            <w:pPr>
              <w:pStyle w:val="Compact"/>
            </w:pPr>
          </w:p>
        </w:tc>
        <w:tc>
          <w:tcPr/>
          <w:p>
            <w:pPr>
              <w:pStyle w:val="Compact"/>
              <w:jc w:val="left"/>
            </w:pPr>
            <w:r>
              <w:t xml:space="preserve">ii. The presence of animal species of concern and/or critical habitat for these species.</w:t>
            </w:r>
          </w:p>
        </w:tc>
      </w:tr>
      <w:tr>
        <w:tc>
          <w:tcPr/>
          <w:p>
            <w:pPr>
              <w:pStyle w:val="Compact"/>
            </w:pPr>
          </w:p>
        </w:tc>
        <w:tc>
          <w:tcPr/>
          <w:p>
            <w:pPr>
              <w:pStyle w:val="Compact"/>
            </w:pPr>
          </w:p>
        </w:tc>
        <w:tc>
          <w:tcPr/>
          <w:p>
            <w:pPr>
              <w:pStyle w:val="Compact"/>
              <w:jc w:val="left"/>
            </w:pPr>
            <w:r>
              <w:t xml:space="preserve">iii. The impact on access ways for fauna transit and access to</w:t>
            </w:r>
          </w:p>
        </w:tc>
      </w:tr>
      <w:tr>
        <w:tc>
          <w:tcPr/>
          <w:p>
            <w:pPr>
              <w:pStyle w:val="Compact"/>
            </w:pPr>
          </w:p>
        </w:tc>
        <w:tc>
          <w:tcPr/>
          <w:p>
            <w:pPr>
              <w:pStyle w:val="Compact"/>
            </w:pPr>
          </w:p>
        </w:tc>
        <w:tc>
          <w:tcPr/>
          <w:p>
            <w:pPr>
              <w:pStyle w:val="Compact"/>
              <w:jc w:val="left"/>
            </w:pPr>
            <w:r>
              <w:t xml:space="preserve">feeding/nesting/watering areas.</w:t>
            </w:r>
          </w:p>
        </w:tc>
      </w:tr>
      <w:tr>
        <w:tc>
          <w:tcPr/>
          <w:p>
            <w:pPr>
              <w:pStyle w:val="Compact"/>
            </w:pPr>
          </w:p>
        </w:tc>
        <w:tc>
          <w:tcPr/>
          <w:p>
            <w:pPr>
              <w:pStyle w:val="Compact"/>
            </w:pPr>
          </w:p>
        </w:tc>
        <w:tc>
          <w:tcPr/>
          <w:p>
            <w:pPr>
              <w:pStyle w:val="Compact"/>
              <w:jc w:val="left"/>
            </w:pPr>
            <w:r>
              <w:t xml:space="preserve">iv. Presence of plant communities of concern.</w:t>
            </w:r>
          </w:p>
        </w:tc>
      </w:tr>
      <w:tr>
        <w:tc>
          <w:tcPr/>
          <w:p>
            <w:pPr>
              <w:pStyle w:val="Compact"/>
            </w:pPr>
          </w:p>
        </w:tc>
        <w:tc>
          <w:tcPr/>
          <w:p>
            <w:pPr>
              <w:pStyle w:val="Compact"/>
            </w:pPr>
          </w:p>
        </w:tc>
        <w:tc>
          <w:tcPr/>
          <w:p>
            <w:pPr>
              <w:pStyle w:val="Compact"/>
              <w:jc w:val="left"/>
            </w:pPr>
            <w:r>
              <w:t xml:space="preserve">v. Presence of critical areas of species congregation, such as; maternity roosts,</w:t>
            </w:r>
          </w:p>
        </w:tc>
      </w:tr>
      <w:tr>
        <w:tc>
          <w:tcPr/>
          <w:p>
            <w:pPr>
              <w:pStyle w:val="Compact"/>
            </w:pPr>
          </w:p>
        </w:tc>
        <w:tc>
          <w:tcPr/>
          <w:p>
            <w:pPr>
              <w:pStyle w:val="Compact"/>
            </w:pPr>
          </w:p>
        </w:tc>
        <w:tc>
          <w:tcPr/>
          <w:p>
            <w:pPr>
              <w:pStyle w:val="Compact"/>
              <w:jc w:val="left"/>
            </w:pPr>
            <w:r>
              <w:t xml:space="preserve">hibernation sites, staging areas, winter ranges, nesting sites, and migration</w:t>
            </w:r>
          </w:p>
        </w:tc>
      </w:tr>
      <w:tr>
        <w:tc>
          <w:tcPr/>
          <w:p>
            <w:pPr>
              <w:pStyle w:val="Compact"/>
            </w:pPr>
          </w:p>
        </w:tc>
        <w:tc>
          <w:tcPr/>
          <w:p>
            <w:pPr>
              <w:pStyle w:val="Compact"/>
            </w:pPr>
          </w:p>
        </w:tc>
        <w:tc>
          <w:tcPr/>
          <w:p>
            <w:pPr>
              <w:pStyle w:val="Compact"/>
              <w:jc w:val="left"/>
            </w:pPr>
            <w:r>
              <w:t xml:space="preserve">stopovers.</w:t>
            </w:r>
          </w:p>
        </w:tc>
      </w:tr>
      <w:tr>
        <w:tc>
          <w:tcPr/>
          <w:p>
            <w:pPr>
              <w:pStyle w:val="Compact"/>
            </w:pPr>
          </w:p>
        </w:tc>
        <w:tc>
          <w:tcPr/>
          <w:p>
            <w:pPr>
              <w:pStyle w:val="Compact"/>
            </w:pPr>
          </w:p>
        </w:tc>
        <w:tc>
          <w:tcPr/>
          <w:p>
            <w:pPr>
              <w:pStyle w:val="Compact"/>
              <w:jc w:val="left"/>
            </w:pPr>
            <w:r>
              <w:t xml:space="preserve">vi. The potential impact of habitat fragmentation.</w:t>
            </w:r>
          </w:p>
        </w:tc>
      </w:tr>
      <w:tr>
        <w:tc>
          <w:tcPr/>
          <w:p>
            <w:pPr>
              <w:pStyle w:val="Compact"/>
            </w:pPr>
          </w:p>
        </w:tc>
        <w:tc>
          <w:tcPr/>
          <w:p>
            <w:pPr>
              <w:pStyle w:val="Compact"/>
            </w:pPr>
          </w:p>
        </w:tc>
        <w:tc>
          <w:tcPr/>
          <w:p>
            <w:pPr>
              <w:pStyle w:val="Compact"/>
              <w:jc w:val="left"/>
            </w:pPr>
            <w:r>
              <w:t xml:space="preserve">vii. For projects requesting dimensional relief for size, a 1-to-1 tree replacement of</w:t>
            </w:r>
          </w:p>
        </w:tc>
      </w:tr>
      <w:tr>
        <w:tc>
          <w:tcPr/>
          <w:p>
            <w:pPr>
              <w:pStyle w:val="Compact"/>
            </w:pPr>
          </w:p>
        </w:tc>
        <w:tc>
          <w:tcPr/>
          <w:p>
            <w:pPr>
              <w:pStyle w:val="Compact"/>
            </w:pPr>
          </w:p>
        </w:tc>
        <w:tc>
          <w:tcPr/>
          <w:p>
            <w:pPr>
              <w:pStyle w:val="Compact"/>
              <w:jc w:val="left"/>
            </w:pPr>
            <w:r>
              <w:t xml:space="preserve">only those existing, native trees that are to be compromised which are of 20-inch</w:t>
            </w:r>
          </w:p>
        </w:tc>
      </w:tr>
      <w:tr>
        <w:tc>
          <w:tcPr/>
          <w:p>
            <w:pPr>
              <w:pStyle w:val="Compact"/>
            </w:pPr>
          </w:p>
        </w:tc>
        <w:tc>
          <w:tcPr/>
          <w:p>
            <w:pPr>
              <w:pStyle w:val="Compact"/>
            </w:pPr>
          </w:p>
        </w:tc>
        <w:tc>
          <w:tcPr/>
          <w:p>
            <w:pPr>
              <w:pStyle w:val="Compact"/>
              <w:jc w:val="left"/>
            </w:pPr>
            <w:r>
              <w:t xml:space="preserve">diameter or greater. Said trees may be replaced by newly-planted trees of 3-inch</w:t>
            </w:r>
          </w:p>
        </w:tc>
      </w:tr>
      <w:tr>
        <w:tc>
          <w:tcPr/>
          <w:p>
            <w:pPr>
              <w:pStyle w:val="Compact"/>
            </w:pPr>
          </w:p>
        </w:tc>
        <w:tc>
          <w:tcPr/>
          <w:p>
            <w:pPr>
              <w:pStyle w:val="Compact"/>
            </w:pPr>
          </w:p>
        </w:tc>
        <w:tc>
          <w:tcPr/>
          <w:p>
            <w:pPr>
              <w:pStyle w:val="Compact"/>
              <w:jc w:val="left"/>
            </w:pPr>
            <w:r>
              <w:t xml:space="preserve">diameter caliper at breast height anywhere in Town.</w:t>
            </w:r>
          </w:p>
        </w:tc>
      </w:tr>
      <w:tr>
        <w:tc>
          <w:tcPr/>
          <w:p>
            <w:pPr>
              <w:pStyle w:val="Compact"/>
            </w:pPr>
          </w:p>
        </w:tc>
        <w:tc>
          <w:tcPr/>
          <w:p>
            <w:pPr>
              <w:pStyle w:val="Compact"/>
              <w:jc w:val="left"/>
            </w:pPr>
            <w:r>
              <w:t xml:space="preserve">(9)</w:t>
            </w:r>
          </w:p>
        </w:tc>
        <w:tc>
          <w:tcPr/>
          <w:p>
            <w:pPr>
              <w:pStyle w:val="Compact"/>
              <w:jc w:val="left"/>
            </w:pPr>
            <w:r>
              <w:t xml:space="preserve">An operation and maintenance plan, describing the general procedures for operational</w:t>
            </w:r>
          </w:p>
        </w:tc>
      </w:tr>
      <w:tr>
        <w:tc>
          <w:tcPr/>
          <w:p>
            <w:pPr>
              <w:pStyle w:val="Compact"/>
            </w:pPr>
          </w:p>
        </w:tc>
        <w:tc>
          <w:tcPr/>
          <w:p>
            <w:pPr>
              <w:pStyle w:val="Compact"/>
            </w:pPr>
          </w:p>
        </w:tc>
        <w:tc>
          <w:tcPr/>
          <w:p>
            <w:pPr>
              <w:pStyle w:val="Compact"/>
              <w:jc w:val="left"/>
            </w:pPr>
            <w:r>
              <w:t xml:space="preserve">maintenance of the solar photovoltaic system or maintenance of access roads and</w:t>
            </w:r>
          </w:p>
        </w:tc>
      </w:tr>
      <w:tr>
        <w:tc>
          <w:tcPr/>
          <w:p>
            <w:pPr>
              <w:pStyle w:val="Compact"/>
            </w:pPr>
          </w:p>
        </w:tc>
        <w:tc>
          <w:tcPr/>
          <w:p>
            <w:pPr>
              <w:pStyle w:val="Compact"/>
            </w:pPr>
          </w:p>
        </w:tc>
        <w:tc>
          <w:tcPr/>
          <w:p>
            <w:pPr>
              <w:pStyle w:val="Compact"/>
              <w:jc w:val="left"/>
            </w:pPr>
            <w:r>
              <w:t xml:space="preserve">storm water controls. If applicable, the plan shall also describe the provisions for</w:t>
            </w:r>
          </w:p>
        </w:tc>
      </w:tr>
      <w:tr>
        <w:tc>
          <w:tcPr/>
          <w:p>
            <w:pPr>
              <w:pStyle w:val="Compact"/>
            </w:pPr>
          </w:p>
        </w:tc>
        <w:tc>
          <w:tcPr/>
          <w:p>
            <w:pPr>
              <w:pStyle w:val="Compact"/>
            </w:pPr>
          </w:p>
        </w:tc>
        <w:tc>
          <w:tcPr/>
          <w:p>
            <w:pPr>
              <w:pStyle w:val="Compact"/>
              <w:jc w:val="left"/>
            </w:pPr>
            <w:r>
              <w:t xml:space="preserve">remote monitoring in the proposed maintenance and inspection schedule.</w:t>
            </w:r>
          </w:p>
        </w:tc>
      </w:tr>
      <w:tr>
        <w:tc>
          <w:tcPr/>
          <w:p>
            <w:pPr>
              <w:pStyle w:val="Compact"/>
            </w:pPr>
          </w:p>
        </w:tc>
        <w:tc>
          <w:tcPr/>
          <w:p>
            <w:pPr>
              <w:pStyle w:val="Compact"/>
              <w:jc w:val="left"/>
            </w:pPr>
            <w:r>
              <w:t xml:space="preserve">(10)</w:t>
            </w:r>
          </w:p>
        </w:tc>
        <w:tc>
          <w:tcPr/>
          <w:p>
            <w:pPr>
              <w:pStyle w:val="Compact"/>
              <w:jc w:val="left"/>
            </w:pPr>
            <w:r>
              <w:t xml:space="preserve">Decommissioning Plan, as a condition of approval, the landowner shall grant a</w:t>
            </w:r>
          </w:p>
        </w:tc>
      </w:tr>
      <w:tr>
        <w:tc>
          <w:tcPr/>
          <w:p>
            <w:pPr>
              <w:pStyle w:val="Compact"/>
            </w:pPr>
          </w:p>
        </w:tc>
        <w:tc>
          <w:tcPr/>
          <w:p>
            <w:pPr>
              <w:pStyle w:val="Compact"/>
            </w:pPr>
          </w:p>
        </w:tc>
        <w:tc>
          <w:tcPr/>
          <w:p>
            <w:pPr>
              <w:pStyle w:val="Compact"/>
              <w:jc w:val="left"/>
            </w:pPr>
            <w:r>
              <w:t xml:space="preserve">municipal lien for all costs necessary to remove the entire solar array including all</w:t>
            </w:r>
          </w:p>
        </w:tc>
      </w:tr>
      <w:tr>
        <w:tc>
          <w:tcPr/>
          <w:p>
            <w:pPr>
              <w:pStyle w:val="Compact"/>
            </w:pPr>
          </w:p>
        </w:tc>
        <w:tc>
          <w:tcPr/>
          <w:p>
            <w:pPr>
              <w:pStyle w:val="Compact"/>
            </w:pPr>
          </w:p>
        </w:tc>
        <w:tc>
          <w:tcPr/>
          <w:p>
            <w:pPr>
              <w:pStyle w:val="Compact"/>
              <w:jc w:val="left"/>
            </w:pPr>
            <w:r>
              <w:t xml:space="preserve">appurtenance structures along with costs related to landscaping to pre-existing</w:t>
            </w:r>
          </w:p>
        </w:tc>
      </w:tr>
      <w:tr>
        <w:tc>
          <w:tcPr/>
          <w:p>
            <w:pPr>
              <w:pStyle w:val="Compact"/>
            </w:pPr>
          </w:p>
        </w:tc>
        <w:tc>
          <w:tcPr/>
          <w:p>
            <w:pPr>
              <w:pStyle w:val="Compact"/>
            </w:pPr>
          </w:p>
        </w:tc>
        <w:tc>
          <w:tcPr/>
          <w:p>
            <w:pPr>
              <w:pStyle w:val="Compact"/>
              <w:jc w:val="left"/>
            </w:pPr>
            <w:r>
              <w:t xml:space="preserve">conditions. As a condition of approval, the landowner shall also be named as the</w:t>
            </w:r>
          </w:p>
        </w:tc>
      </w:tr>
      <w:tr>
        <w:tc>
          <w:tcPr/>
          <w:p>
            <w:pPr>
              <w:pStyle w:val="Compact"/>
            </w:pPr>
          </w:p>
        </w:tc>
        <w:tc>
          <w:tcPr/>
          <w:p>
            <w:pPr>
              <w:pStyle w:val="Compact"/>
            </w:pPr>
          </w:p>
        </w:tc>
        <w:tc>
          <w:tcPr/>
          <w:p>
            <w:pPr>
              <w:pStyle w:val="Compact"/>
              <w:jc w:val="left"/>
            </w:pPr>
            <w:r>
              <w:t xml:space="preserve">responsible party, along with the developer, for the removal and restoration of the</w:t>
            </w:r>
          </w:p>
        </w:tc>
      </w:tr>
      <w:tr>
        <w:tc>
          <w:tcPr/>
          <w:p>
            <w:pPr>
              <w:pStyle w:val="Compact"/>
            </w:pPr>
          </w:p>
        </w:tc>
        <w:tc>
          <w:tcPr/>
          <w:p>
            <w:pPr>
              <w:pStyle w:val="Compact"/>
            </w:pPr>
          </w:p>
        </w:tc>
        <w:tc>
          <w:tcPr/>
          <w:p>
            <w:pPr>
              <w:pStyle w:val="Compact"/>
              <w:jc w:val="left"/>
            </w:pPr>
            <w:r>
              <w:t xml:space="preserve">property.</w:t>
            </w:r>
          </w:p>
        </w:tc>
      </w:tr>
      <w:tr>
        <w:tc>
          <w:tcPr/>
          <w:p>
            <w:pPr>
              <w:pStyle w:val="Compact"/>
              <w:jc w:val="left"/>
            </w:pPr>
            <w:r>
              <w:t xml:space="preserve">Section</w:t>
            </w:r>
          </w:p>
        </w:tc>
        <w:tc>
          <w:tcPr/>
          <w:p>
            <w:pPr>
              <w:pStyle w:val="Compact"/>
              <w:jc w:val="left"/>
            </w:pPr>
            <w:r>
              <w:t xml:space="preserve">5.7.7</w:t>
            </w:r>
          </w:p>
        </w:tc>
        <w:tc>
          <w:tcPr/>
          <w:p>
            <w:pPr>
              <w:pStyle w:val="Compact"/>
              <w:jc w:val="left"/>
            </w:pPr>
            <w:r>
              <w:t xml:space="preserve">Improvement Guarantees for Ground-Mounted Solar Photovoltaic Systems</w:t>
            </w:r>
          </w:p>
        </w:tc>
      </w:tr>
      <w:tr>
        <w:tc>
          <w:tcPr/>
          <w:p>
            <w:pPr>
              <w:pStyle w:val="Compact"/>
              <w:jc w:val="left"/>
            </w:pPr>
            <w:r>
              <w:t xml:space="preserve">(a)</w:t>
            </w:r>
          </w:p>
        </w:tc>
        <w:tc>
          <w:tcPr/>
          <w:p>
            <w:pPr>
              <w:pStyle w:val="Compact"/>
            </w:pPr>
          </w:p>
        </w:tc>
        <w:tc>
          <w:tcPr/>
          <w:p>
            <w:pPr>
              <w:pStyle w:val="Compact"/>
              <w:jc w:val="left"/>
            </w:pPr>
            <w:r>
              <w:t xml:space="preserve">Definition and Purpose</w:t>
            </w:r>
          </w:p>
        </w:tc>
      </w:tr>
    </w:tbl>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pPr>
          </w:p>
        </w:tc>
        <w:tc>
          <w:tcPr/>
          <w:p>
            <w:pPr>
              <w:pStyle w:val="Compact"/>
              <w:jc w:val="left"/>
            </w:pPr>
            <w:r>
              <w:t xml:space="preserve">(1) A “Public Improvement” includes any installations, alterations, maintenance and</w:t>
            </w:r>
          </w:p>
        </w:tc>
      </w:tr>
      <w:tr>
        <w:tc>
          <w:tcPr/>
          <w:p>
            <w:pPr>
              <w:pStyle w:val="Compact"/>
            </w:pPr>
          </w:p>
        </w:tc>
        <w:tc>
          <w:tcPr/>
          <w:p>
            <w:pPr>
              <w:pStyle w:val="Compact"/>
            </w:pPr>
          </w:p>
        </w:tc>
        <w:tc>
          <w:tcPr/>
          <w:p>
            <w:pPr>
              <w:pStyle w:val="Compact"/>
              <w:jc w:val="left"/>
            </w:pPr>
            <w:r>
              <w:t xml:space="preserve">repair of utilities and of town infrastructure including public roads and rights of way</w:t>
            </w:r>
          </w:p>
        </w:tc>
      </w:tr>
      <w:tr>
        <w:tc>
          <w:tcPr/>
          <w:p>
            <w:pPr>
              <w:pStyle w:val="Compact"/>
            </w:pPr>
          </w:p>
        </w:tc>
        <w:tc>
          <w:tcPr/>
          <w:p>
            <w:pPr>
              <w:pStyle w:val="Compact"/>
            </w:pPr>
          </w:p>
        </w:tc>
        <w:tc>
          <w:tcPr/>
          <w:p>
            <w:pPr>
              <w:pStyle w:val="Compact"/>
              <w:jc w:val="left"/>
            </w:pPr>
            <w:r>
              <w:t xml:space="preserve">that must be utilized to access the site. This term includes all requirements of the</w:t>
            </w:r>
          </w:p>
        </w:tc>
      </w:tr>
      <w:tr>
        <w:tc>
          <w:tcPr/>
          <w:p>
            <w:pPr>
              <w:pStyle w:val="Compact"/>
            </w:pPr>
          </w:p>
        </w:tc>
        <w:tc>
          <w:tcPr/>
          <w:p>
            <w:pPr>
              <w:pStyle w:val="Compact"/>
            </w:pPr>
          </w:p>
        </w:tc>
        <w:tc>
          <w:tcPr/>
          <w:p>
            <w:pPr>
              <w:pStyle w:val="Compact"/>
              <w:jc w:val="left"/>
            </w:pPr>
            <w:r>
              <w:t xml:space="preserve">transportation plan. An “Improvement Guarantee” is a security instrument or cash</w:t>
            </w:r>
          </w:p>
        </w:tc>
      </w:tr>
      <w:tr>
        <w:tc>
          <w:tcPr/>
          <w:p>
            <w:pPr>
              <w:pStyle w:val="Compact"/>
            </w:pPr>
          </w:p>
        </w:tc>
        <w:tc>
          <w:tcPr/>
          <w:p>
            <w:pPr>
              <w:pStyle w:val="Compact"/>
            </w:pPr>
          </w:p>
        </w:tc>
        <w:tc>
          <w:tcPr/>
          <w:p>
            <w:pPr>
              <w:pStyle w:val="Compact"/>
              <w:jc w:val="left"/>
            </w:pPr>
            <w:r>
              <w:t xml:space="preserve">accepted by the Town to ensure that all public improvements, are properly protected..</w:t>
            </w:r>
          </w:p>
        </w:tc>
      </w:tr>
      <w:tr>
        <w:tc>
          <w:tcPr/>
          <w:p>
            <w:pPr>
              <w:pStyle w:val="Compact"/>
            </w:pPr>
          </w:p>
        </w:tc>
        <w:tc>
          <w:tcPr/>
          <w:p>
            <w:pPr>
              <w:pStyle w:val="Compact"/>
              <w:jc w:val="left"/>
            </w:pPr>
            <w:r>
              <w:t xml:space="preserve">(b)</w:t>
            </w:r>
          </w:p>
        </w:tc>
        <w:tc>
          <w:tcPr/>
          <w:p>
            <w:pPr>
              <w:pStyle w:val="Compact"/>
              <w:jc w:val="left"/>
            </w:pPr>
            <w:r>
              <w:t xml:space="preserve">General Procedures</w:t>
            </w:r>
          </w:p>
        </w:tc>
      </w:tr>
      <w:tr>
        <w:tc>
          <w:tcPr/>
          <w:p>
            <w:pPr>
              <w:pStyle w:val="Compact"/>
              <w:jc w:val="left"/>
            </w:pPr>
            <w:r>
              <w:t xml:space="preserve">Prior</w:t>
            </w:r>
          </w:p>
        </w:tc>
        <w:tc>
          <w:tcPr/>
          <w:p>
            <w:pPr>
              <w:pStyle w:val="Compact"/>
              <w:jc w:val="left"/>
            </w:pPr>
            <w:r>
              <w:t xml:space="preserve">to</w:t>
            </w:r>
          </w:p>
        </w:tc>
        <w:tc>
          <w:tcPr/>
          <w:p>
            <w:pPr>
              <w:pStyle w:val="Compact"/>
              <w:jc w:val="left"/>
            </w:pPr>
            <w:r>
              <w:t xml:space="preserve">issuing a certificate of occupancy for the solar photovoltaic system, the Town shall</w:t>
            </w:r>
          </w:p>
        </w:tc>
      </w:tr>
      <w:tr>
        <w:tc>
          <w:tcPr/>
          <w:p>
            <w:pPr>
              <w:pStyle w:val="Compact"/>
            </w:pPr>
          </w:p>
        </w:tc>
        <w:tc>
          <w:tcPr/>
          <w:p>
            <w:pPr>
              <w:pStyle w:val="Compact"/>
              <w:jc w:val="left"/>
            </w:pPr>
            <w:r>
              <w:t xml:space="preserve">inspect</w:t>
            </w:r>
          </w:p>
        </w:tc>
        <w:tc>
          <w:tcPr/>
          <w:p>
            <w:pPr>
              <w:pStyle w:val="Compact"/>
              <w:jc w:val="left"/>
            </w:pPr>
            <w:r>
              <w:t xml:space="preserve">public improvements used to access the construction site and require the Applicant to</w:t>
            </w:r>
          </w:p>
        </w:tc>
      </w:tr>
      <w:tr>
        <w:tc>
          <w:tcPr/>
          <w:p>
            <w:pPr>
              <w:pStyle w:val="Compact"/>
              <w:jc w:val="left"/>
            </w:pPr>
            <w:r>
              <w:t xml:space="preserve">repair</w:t>
            </w:r>
          </w:p>
        </w:tc>
        <w:tc>
          <w:tcPr/>
          <w:p>
            <w:pPr>
              <w:pStyle w:val="Compact"/>
            </w:pPr>
          </w:p>
        </w:tc>
        <w:tc>
          <w:tcPr/>
          <w:p>
            <w:pPr>
              <w:pStyle w:val="Compact"/>
              <w:jc w:val="left"/>
            </w:pPr>
            <w:r>
              <w:t xml:space="preserve">any improvements as requested by the Town. The Town reserves the right to require an</w:t>
            </w:r>
          </w:p>
        </w:tc>
      </w:tr>
      <w:tr>
        <w:tc>
          <w:tcPr/>
          <w:p>
            <w:pPr>
              <w:pStyle w:val="Compact"/>
            </w:pPr>
          </w:p>
        </w:tc>
        <w:tc>
          <w:tcPr/>
          <w:p>
            <w:pPr>
              <w:pStyle w:val="Compact"/>
              <w:jc w:val="left"/>
            </w:pPr>
            <w:r>
              <w:t xml:space="preserve">improvement</w:t>
            </w:r>
          </w:p>
        </w:tc>
        <w:tc>
          <w:tcPr/>
          <w:p>
            <w:pPr>
              <w:pStyle w:val="Compact"/>
              <w:jc w:val="left"/>
            </w:pPr>
            <w:r>
              <w:t xml:space="preserve">guarantee as defined by RIGL 45-23-32 and the Town’s Land Development and</w:t>
            </w:r>
          </w:p>
        </w:tc>
      </w:tr>
      <w:tr>
        <w:tc>
          <w:tcPr/>
          <w:p>
            <w:pPr>
              <w:pStyle w:val="Compact"/>
            </w:pPr>
          </w:p>
        </w:tc>
        <w:tc>
          <w:tcPr/>
          <w:p>
            <w:pPr>
              <w:pStyle w:val="Compact"/>
              <w:jc w:val="left"/>
            </w:pPr>
            <w:r>
              <w:t xml:space="preserve">Subdivision</w:t>
            </w:r>
          </w:p>
        </w:tc>
        <w:tc>
          <w:tcPr/>
          <w:p>
            <w:pPr>
              <w:pStyle w:val="Compact"/>
              <w:jc w:val="left"/>
            </w:pPr>
            <w:r>
              <w:t xml:space="preserve">Regulations which derive authority from RIGL 45-23-46.</w:t>
            </w:r>
          </w:p>
        </w:tc>
      </w:tr>
      <w:tr>
        <w:tc>
          <w:tcPr/>
          <w:p>
            <w:pPr>
              <w:pStyle w:val="Compact"/>
            </w:pPr>
          </w:p>
        </w:tc>
        <w:tc>
          <w:tcPr/>
          <w:p>
            <w:pPr>
              <w:pStyle w:val="Compact"/>
              <w:jc w:val="left"/>
            </w:pPr>
            <w:r>
              <w:t xml:space="preserve">Section</w:t>
            </w:r>
          </w:p>
        </w:tc>
        <w:tc>
          <w:tcPr/>
          <w:p>
            <w:pPr>
              <w:pStyle w:val="Compact"/>
              <w:jc w:val="left"/>
            </w:pPr>
            <w:r>
              <w:t xml:space="preserve">5.7.8 Security cash bond for the decommissioning of Unused or Abandoned</w:t>
            </w:r>
          </w:p>
        </w:tc>
      </w:tr>
      <w:tr>
        <w:tc>
          <w:tcPr/>
          <w:p>
            <w:pPr>
              <w:pStyle w:val="Compact"/>
            </w:pPr>
          </w:p>
        </w:tc>
        <w:tc>
          <w:tcPr/>
          <w:p>
            <w:pPr>
              <w:pStyle w:val="Compact"/>
            </w:pPr>
          </w:p>
        </w:tc>
        <w:tc>
          <w:tcPr/>
          <w:p>
            <w:pPr>
              <w:pStyle w:val="Compact"/>
              <w:jc w:val="left"/>
            </w:pPr>
            <w:r>
              <w:t xml:space="preserve">Ground-Mounted Solar Photovoltaic Systems</w:t>
            </w:r>
          </w:p>
        </w:tc>
      </w:tr>
      <w:tr>
        <w:tc>
          <w:tcPr/>
          <w:p>
            <w:pPr>
              <w:pStyle w:val="Compact"/>
            </w:pPr>
          </w:p>
        </w:tc>
        <w:tc>
          <w:tcPr/>
          <w:p>
            <w:pPr>
              <w:pStyle w:val="Compact"/>
              <w:jc w:val="left"/>
            </w:pPr>
            <w:r>
              <w:t xml:space="preserve">(a)</w:t>
            </w:r>
          </w:p>
        </w:tc>
        <w:tc>
          <w:tcPr/>
          <w:p>
            <w:pPr>
              <w:pStyle w:val="Compact"/>
              <w:jc w:val="left"/>
            </w:pPr>
            <w:r>
              <w:t xml:space="preserve">Prior to the issuance of a permit under this Ordinance, the Applicant shall deposit in the</w:t>
            </w:r>
          </w:p>
        </w:tc>
      </w:tr>
      <w:tr>
        <w:tc>
          <w:tcPr/>
          <w:p>
            <w:pPr>
              <w:pStyle w:val="Compact"/>
            </w:pPr>
          </w:p>
        </w:tc>
        <w:tc>
          <w:tcPr/>
          <w:p>
            <w:pPr>
              <w:pStyle w:val="Compact"/>
            </w:pPr>
          </w:p>
        </w:tc>
        <w:tc>
          <w:tcPr/>
          <w:p>
            <w:pPr>
              <w:pStyle w:val="Compact"/>
              <w:jc w:val="left"/>
            </w:pPr>
            <w:r>
              <w:t xml:space="preserve">form of cash with the municipality, the full estimated cost of dismantling and removal of</w:t>
            </w:r>
          </w:p>
        </w:tc>
      </w:tr>
      <w:tr>
        <w:tc>
          <w:tcPr/>
          <w:p>
            <w:pPr>
              <w:pStyle w:val="Compact"/>
            </w:pPr>
          </w:p>
        </w:tc>
        <w:tc>
          <w:tcPr/>
          <w:p>
            <w:pPr>
              <w:pStyle w:val="Compact"/>
            </w:pPr>
          </w:p>
        </w:tc>
        <w:tc>
          <w:tcPr/>
          <w:p>
            <w:pPr>
              <w:pStyle w:val="Compact"/>
              <w:jc w:val="left"/>
            </w:pPr>
            <w:r>
              <w:t xml:space="preserve">the solar photovoltaic system, including the cost necessary to return the property to its</w:t>
            </w:r>
          </w:p>
        </w:tc>
      </w:tr>
      <w:tr>
        <w:tc>
          <w:tcPr/>
          <w:p>
            <w:pPr>
              <w:pStyle w:val="Compact"/>
            </w:pPr>
          </w:p>
        </w:tc>
        <w:tc>
          <w:tcPr/>
          <w:p>
            <w:pPr>
              <w:pStyle w:val="Compact"/>
            </w:pPr>
          </w:p>
        </w:tc>
        <w:tc>
          <w:tcPr/>
          <w:p>
            <w:pPr>
              <w:pStyle w:val="Compact"/>
              <w:jc w:val="left"/>
            </w:pPr>
            <w:r>
              <w:t xml:space="preserve">pre-siting condition, which the municipality shall place in an interest-bearing escrow</w:t>
            </w:r>
          </w:p>
        </w:tc>
      </w:tr>
      <w:tr>
        <w:tc>
          <w:tcPr/>
          <w:p>
            <w:pPr>
              <w:pStyle w:val="Compact"/>
            </w:pPr>
          </w:p>
        </w:tc>
        <w:tc>
          <w:tcPr/>
          <w:p>
            <w:pPr>
              <w:pStyle w:val="Compact"/>
            </w:pPr>
          </w:p>
        </w:tc>
        <w:tc>
          <w:tcPr/>
          <w:p>
            <w:pPr>
              <w:pStyle w:val="Compact"/>
              <w:jc w:val="left"/>
            </w:pPr>
            <w:r>
              <w:t xml:space="preserve">account. A solar photovoltaic system that is not generating electricity for six (6)</w:t>
            </w:r>
          </w:p>
        </w:tc>
      </w:tr>
      <w:tr>
        <w:tc>
          <w:tcPr/>
          <w:p>
            <w:pPr>
              <w:pStyle w:val="Compact"/>
            </w:pPr>
          </w:p>
        </w:tc>
        <w:tc>
          <w:tcPr/>
          <w:p>
            <w:pPr>
              <w:pStyle w:val="Compact"/>
            </w:pPr>
          </w:p>
        </w:tc>
        <w:tc>
          <w:tcPr/>
          <w:p>
            <w:pPr>
              <w:pStyle w:val="Compact"/>
              <w:jc w:val="left"/>
            </w:pPr>
            <w:r>
              <w:t xml:space="preserve">consecutive months shall be deemed discontinued. In the event the solar photovoltaic</w:t>
            </w:r>
          </w:p>
        </w:tc>
      </w:tr>
      <w:tr>
        <w:tc>
          <w:tcPr/>
          <w:p>
            <w:pPr>
              <w:pStyle w:val="Compact"/>
            </w:pPr>
          </w:p>
        </w:tc>
        <w:tc>
          <w:tcPr/>
          <w:p>
            <w:pPr>
              <w:pStyle w:val="Compact"/>
            </w:pPr>
          </w:p>
        </w:tc>
        <w:tc>
          <w:tcPr/>
          <w:p>
            <w:pPr>
              <w:pStyle w:val="Compact"/>
              <w:jc w:val="left"/>
            </w:pPr>
            <w:r>
              <w:t xml:space="preserve">system has not generated electricity for a period of 6 months, the Building/Zoning</w:t>
            </w:r>
          </w:p>
        </w:tc>
      </w:tr>
      <w:tr>
        <w:tc>
          <w:tcPr/>
          <w:p>
            <w:pPr>
              <w:pStyle w:val="Compact"/>
            </w:pPr>
          </w:p>
        </w:tc>
        <w:tc>
          <w:tcPr/>
          <w:p>
            <w:pPr>
              <w:pStyle w:val="Compact"/>
            </w:pPr>
          </w:p>
        </w:tc>
        <w:tc>
          <w:tcPr/>
          <w:p>
            <w:pPr>
              <w:pStyle w:val="Compact"/>
              <w:jc w:val="left"/>
            </w:pPr>
            <w:r>
              <w:t xml:space="preserve">Official shall notify the Owner-Operator of the solar photovoltaic system that the solar</w:t>
            </w:r>
          </w:p>
        </w:tc>
      </w:tr>
      <w:tr>
        <w:tc>
          <w:tcPr/>
          <w:p>
            <w:pPr>
              <w:pStyle w:val="Compact"/>
            </w:pPr>
          </w:p>
        </w:tc>
        <w:tc>
          <w:tcPr/>
          <w:p>
            <w:pPr>
              <w:pStyle w:val="Compact"/>
            </w:pPr>
          </w:p>
        </w:tc>
        <w:tc>
          <w:tcPr/>
          <w:p>
            <w:pPr>
              <w:pStyle w:val="Compact"/>
              <w:jc w:val="left"/>
            </w:pPr>
            <w:r>
              <w:t xml:space="preserve">photovoltaic system has been deemed abandoned. The solar photovoltaic system shall</w:t>
            </w:r>
          </w:p>
        </w:tc>
      </w:tr>
      <w:tr>
        <w:tc>
          <w:tcPr/>
          <w:p>
            <w:pPr>
              <w:pStyle w:val="Compact"/>
            </w:pPr>
          </w:p>
        </w:tc>
        <w:tc>
          <w:tcPr/>
          <w:p>
            <w:pPr>
              <w:pStyle w:val="Compact"/>
            </w:pPr>
          </w:p>
        </w:tc>
        <w:tc>
          <w:tcPr/>
          <w:p>
            <w:pPr>
              <w:pStyle w:val="Compact"/>
              <w:jc w:val="left"/>
            </w:pPr>
            <w:r>
              <w:t xml:space="preserve">be removed from the property by the Applicant/Owner-Operator within 120 days of</w:t>
            </w:r>
          </w:p>
        </w:tc>
      </w:tr>
      <w:tr>
        <w:tc>
          <w:tcPr/>
          <w:p>
            <w:pPr>
              <w:pStyle w:val="Compact"/>
            </w:pPr>
          </w:p>
        </w:tc>
        <w:tc>
          <w:tcPr/>
          <w:p>
            <w:pPr>
              <w:pStyle w:val="Compact"/>
            </w:pPr>
          </w:p>
        </w:tc>
        <w:tc>
          <w:tcPr/>
          <w:p>
            <w:pPr>
              <w:pStyle w:val="Compact"/>
              <w:jc w:val="left"/>
            </w:pPr>
            <w:r>
              <w:t xml:space="preserve">receipt of notice from the Building/Zoning Official unless an appeal has been filed. If,</w:t>
            </w:r>
          </w:p>
        </w:tc>
      </w:tr>
      <w:tr>
        <w:tc>
          <w:tcPr/>
          <w:p>
            <w:pPr>
              <w:pStyle w:val="Compact"/>
            </w:pPr>
          </w:p>
        </w:tc>
        <w:tc>
          <w:tcPr/>
          <w:p>
            <w:pPr>
              <w:pStyle w:val="Compact"/>
            </w:pPr>
          </w:p>
        </w:tc>
        <w:tc>
          <w:tcPr/>
          <w:p>
            <w:pPr>
              <w:pStyle w:val="Compact"/>
              <w:jc w:val="left"/>
            </w:pPr>
            <w:r>
              <w:t xml:space="preserve">however, the solar photovoltaic system is not removed within this time period, the</w:t>
            </w:r>
          </w:p>
        </w:tc>
      </w:tr>
      <w:tr>
        <w:tc>
          <w:tcPr/>
          <w:p>
            <w:pPr>
              <w:pStyle w:val="Compact"/>
            </w:pPr>
          </w:p>
        </w:tc>
        <w:tc>
          <w:tcPr/>
          <w:p>
            <w:pPr>
              <w:pStyle w:val="Compact"/>
            </w:pPr>
          </w:p>
        </w:tc>
        <w:tc>
          <w:tcPr/>
          <w:p>
            <w:pPr>
              <w:pStyle w:val="Compact"/>
              <w:jc w:val="left"/>
            </w:pPr>
            <w:r>
              <w:t xml:space="preserve">municipality shall withhold the escrowed funds. These funds shall be used to pay all site</w:t>
            </w:r>
          </w:p>
        </w:tc>
      </w:tr>
      <w:tr>
        <w:tc>
          <w:tcPr/>
          <w:p>
            <w:pPr>
              <w:pStyle w:val="Compact"/>
            </w:pPr>
          </w:p>
        </w:tc>
        <w:tc>
          <w:tcPr/>
          <w:p>
            <w:pPr>
              <w:pStyle w:val="Compact"/>
            </w:pPr>
          </w:p>
        </w:tc>
        <w:tc>
          <w:tcPr/>
          <w:p>
            <w:pPr>
              <w:pStyle w:val="Compact"/>
              <w:jc w:val="left"/>
            </w:pPr>
            <w:r>
              <w:t xml:space="preserve">reclamation costs deemed necessary and reasonable to return the site to its pre-</w:t>
            </w:r>
          </w:p>
        </w:tc>
      </w:tr>
      <w:tr>
        <w:tc>
          <w:tcPr/>
          <w:p>
            <w:pPr>
              <w:pStyle w:val="Compact"/>
            </w:pPr>
          </w:p>
        </w:tc>
        <w:tc>
          <w:tcPr/>
          <w:p>
            <w:pPr>
              <w:pStyle w:val="Compact"/>
            </w:pPr>
          </w:p>
        </w:tc>
        <w:tc>
          <w:tcPr/>
          <w:p>
            <w:pPr>
              <w:pStyle w:val="Compact"/>
              <w:jc w:val="left"/>
            </w:pPr>
            <w:r>
              <w:t xml:space="preserve">construction condition, including the removal of roads and reestablishment of vegetation.</w:t>
            </w:r>
          </w:p>
        </w:tc>
      </w:tr>
      <w:tr>
        <w:tc>
          <w:tcPr/>
          <w:p>
            <w:pPr>
              <w:pStyle w:val="Compact"/>
            </w:pPr>
          </w:p>
        </w:tc>
        <w:tc>
          <w:tcPr/>
          <w:p>
            <w:pPr>
              <w:pStyle w:val="Compact"/>
            </w:pPr>
          </w:p>
        </w:tc>
        <w:tc>
          <w:tcPr/>
          <w:p>
            <w:pPr>
              <w:pStyle w:val="Compact"/>
              <w:jc w:val="left"/>
            </w:pPr>
            <w:r>
              <w:t xml:space="preserve">If funds remain after the necessary expenditures, the municipality shall reimburse the</w:t>
            </w:r>
          </w:p>
        </w:tc>
      </w:tr>
      <w:tr>
        <w:tc>
          <w:tcPr/>
          <w:p>
            <w:pPr>
              <w:pStyle w:val="Compact"/>
            </w:pPr>
          </w:p>
        </w:tc>
        <w:tc>
          <w:tcPr/>
          <w:p>
            <w:pPr>
              <w:pStyle w:val="Compact"/>
            </w:pPr>
          </w:p>
        </w:tc>
        <w:tc>
          <w:tcPr/>
          <w:p>
            <w:pPr>
              <w:pStyle w:val="Compact"/>
              <w:jc w:val="left"/>
            </w:pPr>
            <w:r>
              <w:t xml:space="preserve">Applicant, owner, successor, or assigned. If additional funds are required, the Town</w:t>
            </w:r>
          </w:p>
        </w:tc>
      </w:tr>
      <w:tr>
        <w:tc>
          <w:tcPr/>
          <w:p>
            <w:pPr>
              <w:pStyle w:val="Compact"/>
            </w:pPr>
          </w:p>
        </w:tc>
        <w:tc>
          <w:tcPr/>
          <w:p>
            <w:pPr>
              <w:pStyle w:val="Compact"/>
            </w:pPr>
          </w:p>
        </w:tc>
        <w:tc>
          <w:tcPr/>
          <w:p>
            <w:pPr>
              <w:pStyle w:val="Compact"/>
              <w:jc w:val="left"/>
            </w:pPr>
            <w:r>
              <w:t xml:space="preserve">reserves its right to pursue funds through a recorded municipal lien against the</w:t>
            </w:r>
          </w:p>
        </w:tc>
      </w:tr>
      <w:tr>
        <w:tc>
          <w:tcPr/>
          <w:p>
            <w:pPr>
              <w:pStyle w:val="Compact"/>
            </w:pPr>
          </w:p>
        </w:tc>
        <w:tc>
          <w:tcPr/>
          <w:p>
            <w:pPr>
              <w:pStyle w:val="Compact"/>
            </w:pPr>
          </w:p>
        </w:tc>
        <w:tc>
          <w:tcPr/>
          <w:p>
            <w:pPr>
              <w:pStyle w:val="Compact"/>
              <w:jc w:val="left"/>
            </w:pPr>
            <w:r>
              <w:t xml:space="preserve">landowner’s property, as required as a condition of approval, in section 5.7.6.c.10.</w:t>
            </w:r>
          </w:p>
        </w:tc>
      </w:tr>
    </w:tbl>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(b)</w:t>
            </w:r>
          </w:p>
        </w:tc>
        <w:tc>
          <w:tcPr/>
          <w:p>
            <w:pPr>
              <w:pStyle w:val="Compact"/>
              <w:jc w:val="left"/>
            </w:pPr>
            <w:r>
              <w:t xml:space="preserve">Decommissioning shall be overseen and certified by the Town’s peer review engineer</w:t>
            </w:r>
          </w:p>
        </w:tc>
      </w:tr>
      <w:tr>
        <w:tc>
          <w:tcPr/>
          <w:p>
            <w:pPr>
              <w:pStyle w:val="Compact"/>
              <w:jc w:val="left"/>
            </w:pPr>
            <w:r>
              <w:t xml:space="preserve">before</w:t>
            </w:r>
          </w:p>
        </w:tc>
        <w:tc>
          <w:tcPr/>
          <w:p>
            <w:pPr>
              <w:pStyle w:val="Compact"/>
              <w:jc w:val="left"/>
            </w:pPr>
            <w:r>
              <w:t xml:space="preserve">funds are released at the applicant’s and or owner’s cost and expense.</w:t>
            </w:r>
          </w:p>
        </w:tc>
      </w:tr>
      <w:tr>
        <w:tc>
          <w:tcPr/>
          <w:p>
            <w:pPr>
              <w:pStyle w:val="Compact"/>
              <w:jc w:val="left"/>
            </w:pPr>
            <w:r>
              <w:t xml:space="preserve">(c) The</w:t>
            </w:r>
          </w:p>
        </w:tc>
        <w:tc>
          <w:tcPr/>
          <w:p>
            <w:pPr>
              <w:pStyle w:val="Compact"/>
              <w:jc w:val="left"/>
            </w:pPr>
            <w:r>
              <w:t xml:space="preserve">Town’s peer review engineer shall determine a cost per megawatt for each</w:t>
            </w:r>
          </w:p>
        </w:tc>
      </w:tr>
      <w:tr>
        <w:tc>
          <w:tcPr/>
          <w:p>
            <w:pPr>
              <w:pStyle w:val="Compact"/>
              <w:jc w:val="left"/>
            </w:pPr>
            <w:r>
              <w:t xml:space="preserve">application</w:t>
            </w:r>
          </w:p>
        </w:tc>
        <w:tc>
          <w:tcPr/>
          <w:p>
            <w:pPr>
              <w:pStyle w:val="Compact"/>
              <w:jc w:val="left"/>
            </w:pPr>
            <w:r>
              <w:t xml:space="preserve">that is inclusive of consumer price index trends established by the Federal</w:t>
            </w:r>
          </w:p>
        </w:tc>
      </w:tr>
      <w:tr>
        <w:tc>
          <w:tcPr/>
          <w:p>
            <w:pPr>
              <w:pStyle w:val="Compact"/>
              <w:jc w:val="left"/>
            </w:pPr>
            <w:r>
              <w:t xml:space="preserve">Bureau</w:t>
            </w:r>
          </w:p>
        </w:tc>
        <w:tc>
          <w:tcPr/>
          <w:p>
            <w:pPr>
              <w:pStyle w:val="Compact"/>
              <w:jc w:val="left"/>
            </w:pPr>
            <w:r>
              <w:t xml:space="preserve">of Labor Statistics in effort to predict construction cost escalation to support said</w:t>
            </w:r>
          </w:p>
        </w:tc>
      </w:tr>
      <w:tr>
        <w:tc>
          <w:tcPr/>
          <w:p>
            <w:pPr>
              <w:pStyle w:val="Compact"/>
            </w:pPr>
          </w:p>
        </w:tc>
        <w:tc>
          <w:tcPr/>
          <w:p>
            <w:pPr>
              <w:pStyle w:val="Compact"/>
              <w:jc w:val="left"/>
            </w:pPr>
            <w:r>
              <w:t xml:space="preserve">decommissioning in future years. The cost of this peer review shall be borne by the</w:t>
            </w:r>
          </w:p>
        </w:tc>
      </w:tr>
      <w:tr>
        <w:tc>
          <w:tcPr/>
          <w:p>
            <w:pPr>
              <w:pStyle w:val="Compact"/>
              <w:jc w:val="left"/>
            </w:pPr>
            <w:r>
              <w:t xml:space="preserve">Applicant..</w:t>
            </w:r>
          </w:p>
        </w:tc>
        <w:tc>
          <w:tcPr/>
          <w:p>
            <w:pPr>
              <w:pStyle w:val="Compact"/>
            </w:pPr>
          </w:p>
        </w:tc>
      </w:tr>
      <w:tr>
        <w:tc>
          <w:tcPr/>
          <w:p>
            <w:pPr>
              <w:pStyle w:val="Compact"/>
              <w:jc w:val="left"/>
            </w:pPr>
            <w:r>
              <w:t xml:space="preserve">(d) At least</w:t>
            </w:r>
          </w:p>
        </w:tc>
        <w:tc>
          <w:tcPr/>
          <w:p>
            <w:pPr>
              <w:pStyle w:val="Compact"/>
              <w:jc w:val="left"/>
            </w:pPr>
            <w:r>
              <w:t xml:space="preserve">30 days before a solar photovoltaic system is scheduled to be decommissioned,</w:t>
            </w:r>
          </w:p>
        </w:tc>
      </w:tr>
      <w:tr>
        <w:tc>
          <w:tcPr/>
          <w:p>
            <w:pPr>
              <w:pStyle w:val="Compact"/>
              <w:jc w:val="left"/>
            </w:pPr>
            <w:r>
              <w:t xml:space="preserve">the</w:t>
            </w:r>
          </w:p>
        </w:tc>
        <w:tc>
          <w:tcPr/>
          <w:p>
            <w:pPr>
              <w:pStyle w:val="Compact"/>
              <w:jc w:val="left"/>
            </w:pPr>
            <w:r>
              <w:t xml:space="preserve">Owner-Operator shall notify the Building/Zoning Official by certified mail of the</w:t>
            </w:r>
          </w:p>
        </w:tc>
      </w:tr>
      <w:tr>
        <w:tc>
          <w:tcPr/>
          <w:p>
            <w:pPr>
              <w:pStyle w:val="Compact"/>
              <w:jc w:val="left"/>
            </w:pPr>
            <w:r>
              <w:t xml:space="preserve">proposed</w:t>
            </w:r>
          </w:p>
        </w:tc>
        <w:tc>
          <w:tcPr/>
          <w:p>
            <w:pPr>
              <w:pStyle w:val="Compact"/>
              <w:jc w:val="left"/>
            </w:pPr>
            <w:r>
              <w:t xml:space="preserve">date of discontinued operations in plans for removal. The Owner-Operator is</w:t>
            </w:r>
          </w:p>
        </w:tc>
      </w:tr>
      <w:tr>
        <w:tc>
          <w:tcPr/>
          <w:p>
            <w:pPr>
              <w:pStyle w:val="Compact"/>
              <w:jc w:val="left"/>
            </w:pPr>
            <w:r>
              <w:t xml:space="preserve">responsible</w:t>
            </w:r>
          </w:p>
        </w:tc>
        <w:tc>
          <w:tcPr/>
          <w:p>
            <w:pPr>
              <w:pStyle w:val="Compact"/>
              <w:jc w:val="left"/>
            </w:pPr>
            <w:r>
              <w:t xml:space="preserve">for securing any necessary state and local permits prior to the dismantling of</w:t>
            </w:r>
          </w:p>
        </w:tc>
      </w:tr>
      <w:tr>
        <w:tc>
          <w:tcPr/>
          <w:p>
            <w:pPr>
              <w:pStyle w:val="Compact"/>
              <w:jc w:val="left"/>
            </w:pPr>
            <w:r>
              <w:t xml:space="preserve">a solar</w:t>
            </w:r>
          </w:p>
        </w:tc>
        <w:tc>
          <w:tcPr/>
          <w:p>
            <w:pPr>
              <w:pStyle w:val="Compact"/>
              <w:jc w:val="left"/>
            </w:pPr>
            <w:r>
              <w:t xml:space="preserve">photovoltaic system.</w:t>
            </w:r>
          </w:p>
        </w:tc>
      </w:tr>
      <w:tr>
        <w:tc>
          <w:tcPr/>
          <w:p>
            <w:pPr>
              <w:pStyle w:val="Compact"/>
              <w:jc w:val="left"/>
            </w:pPr>
            <w:r>
              <w:t xml:space="preserve">Section 5.7.9</w:t>
            </w:r>
          </w:p>
        </w:tc>
        <w:tc>
          <w:tcPr/>
          <w:p>
            <w:pPr>
              <w:pStyle w:val="Compact"/>
              <w:jc w:val="left"/>
            </w:pPr>
            <w:r>
              <w:t xml:space="preserve">Enforcement</w:t>
            </w:r>
          </w:p>
        </w:tc>
      </w:tr>
      <w:tr>
        <w:tc>
          <w:tcPr/>
          <w:p>
            <w:pPr>
              <w:pStyle w:val="Compact"/>
              <w:jc w:val="left"/>
            </w:pPr>
            <w:r>
              <w:t xml:space="preserve">Violations of</w:t>
            </w:r>
          </w:p>
        </w:tc>
        <w:tc>
          <w:tcPr/>
          <w:p>
            <w:pPr>
              <w:pStyle w:val="Compact"/>
              <w:jc w:val="left"/>
            </w:pPr>
            <w:r>
              <w:t xml:space="preserve">this Section shall be enforced by the Building/Zoning Official.</w:t>
            </w:r>
          </w:p>
        </w:tc>
      </w:tr>
      <w:tr>
        <w:tc>
          <w:tcPr/>
          <w:p>
            <w:pPr>
              <w:pStyle w:val="Compact"/>
              <w:jc w:val="left"/>
            </w:pPr>
            <w:r>
              <w:t xml:space="preserve">Section 5.7.10</w:t>
            </w:r>
          </w:p>
        </w:tc>
        <w:tc>
          <w:tcPr/>
          <w:p>
            <w:pPr>
              <w:pStyle w:val="Compact"/>
              <w:jc w:val="left"/>
            </w:pPr>
            <w:r>
              <w:t xml:space="preserve">Conflict and Severability</w:t>
            </w:r>
          </w:p>
        </w:tc>
      </w:tr>
      <w:tr>
        <w:tc>
          <w:tcPr/>
          <w:p>
            <w:pPr>
              <w:pStyle w:val="Compact"/>
              <w:jc w:val="left"/>
            </w:pPr>
            <w:r>
              <w:t xml:space="preserve">(a) If there</w:t>
            </w:r>
          </w:p>
        </w:tc>
        <w:tc>
          <w:tcPr/>
          <w:p>
            <w:pPr>
              <w:pStyle w:val="Compact"/>
              <w:jc w:val="left"/>
            </w:pPr>
            <w:r>
              <w:t xml:space="preserve">is a conflict between the provisions of this Ordinance and any other state or local</w:t>
            </w:r>
          </w:p>
        </w:tc>
      </w:tr>
      <w:tr>
        <w:tc>
          <w:tcPr/>
          <w:p>
            <w:pPr>
              <w:pStyle w:val="Compact"/>
              <w:jc w:val="left"/>
            </w:pPr>
            <w:r>
              <w:t xml:space="preserve">ordinance,</w:t>
            </w:r>
          </w:p>
        </w:tc>
        <w:tc>
          <w:tcPr/>
          <w:p>
            <w:pPr>
              <w:pStyle w:val="Compact"/>
              <w:jc w:val="left"/>
            </w:pPr>
            <w:r>
              <w:t xml:space="preserve">the more stringent provision shall apply. If there is a conflict between a</w:t>
            </w:r>
          </w:p>
        </w:tc>
      </w:tr>
      <w:tr>
        <w:tc>
          <w:tcPr/>
          <w:p>
            <w:pPr>
              <w:pStyle w:val="Compact"/>
              <w:jc w:val="left"/>
            </w:pPr>
            <w:r>
              <w:t xml:space="preserve">provision</w:t>
            </w:r>
          </w:p>
        </w:tc>
        <w:tc>
          <w:tcPr/>
          <w:p>
            <w:pPr>
              <w:pStyle w:val="Compact"/>
              <w:jc w:val="left"/>
            </w:pPr>
            <w:r>
              <w:t xml:space="preserve">of this Ordinance and that of another provision of the Zoning or Subdivision</w:t>
            </w:r>
          </w:p>
        </w:tc>
      </w:tr>
      <w:tr>
        <w:tc>
          <w:tcPr/>
          <w:p>
            <w:pPr>
              <w:pStyle w:val="Compact"/>
              <w:jc w:val="left"/>
            </w:pPr>
            <w:r>
              <w:t xml:space="preserve">Ordinance,</w:t>
            </w:r>
          </w:p>
        </w:tc>
        <w:tc>
          <w:tcPr/>
          <w:p>
            <w:pPr>
              <w:pStyle w:val="Compact"/>
              <w:jc w:val="left"/>
            </w:pPr>
            <w:r>
              <w:t xml:space="preserve">the provision of this Ordinance shall apply</w:t>
            </w:r>
          </w:p>
        </w:tc>
      </w:tr>
      <w:tr>
        <w:tc>
          <w:tcPr/>
          <w:p>
            <w:pPr>
              <w:pStyle w:val="Compact"/>
              <w:jc w:val="left"/>
            </w:pPr>
            <w:r>
              <w:t xml:space="preserve">(b) The</w:t>
            </w:r>
          </w:p>
        </w:tc>
        <w:tc>
          <w:tcPr/>
          <w:p>
            <w:pPr>
              <w:pStyle w:val="Compact"/>
              <w:jc w:val="left"/>
            </w:pPr>
            <w:r>
              <w:t xml:space="preserve">invalidity of any part of this Ordinance shall not invalidate any other part of this</w:t>
            </w:r>
          </w:p>
        </w:tc>
      </w:tr>
      <w:tr>
        <w:tc>
          <w:tcPr/>
          <w:p>
            <w:pPr>
              <w:pStyle w:val="Compact"/>
              <w:jc w:val="left"/>
            </w:pPr>
            <w:r>
              <w:t xml:space="preserve">Ordinance</w:t>
            </w:r>
          </w:p>
        </w:tc>
        <w:tc>
          <w:tcPr/>
          <w:p>
            <w:pPr>
              <w:pStyle w:val="Compact"/>
              <w:jc w:val="left"/>
            </w:pPr>
            <w:r>
              <w:t xml:space="preserve">provision.</w:t>
            </w:r>
          </w:p>
        </w:tc>
      </w:tr>
      <w:tr>
        <w:tc>
          <w:tcPr/>
          <w:p>
            <w:pPr>
              <w:pStyle w:val="Compact"/>
              <w:jc w:val="left"/>
            </w:pPr>
            <w:r>
              <w:t xml:space="preserve">Section 5.7.11.</w:t>
            </w:r>
          </w:p>
        </w:tc>
        <w:tc>
          <w:tcPr/>
          <w:p>
            <w:pPr>
              <w:pStyle w:val="Compact"/>
              <w:jc w:val="left"/>
            </w:pPr>
            <w:r>
              <w:t xml:space="preserve">Solar Photovoltaic Overlay District:</w:t>
            </w:r>
          </w:p>
        </w:tc>
      </w:tr>
    </w:tbl>
    <w:p>
      <w:pPr>
        <w:pStyle w:val="BodyText"/>
      </w:pPr>
      <w:r>
        <w:t xml:space="preserve">a. Purpose: The purpose of this section is to create an overlay district in which a large scale solar photovoltaic system may be installed by right and governed in a coordinated manner with the Town’s existing regulations and comprehensive plan, including the implementation of special land use controls, proper rural planning, development tools and the implementation and administration of the Town’s Code of Ordinances. Based on the Comprehensive Plan Land Use element, the areas and large tracts of rural land designated within this overlay district may be better preserved with a lesser impact on the community as a whole or immediate surrounding neighborhoods if permitted to be utilized for renewable energy rather than be left to private development or redevelopment. It is recognized that renewable energy is encouraged and deemed desirable within the Town provided that appropriate standards for installation and design are incorporated and applied. For these reasons the Town has determined it appropriate to created certain overlay districts to permit, govern and monitor the installation and design of large scale solar photovoltaic systems.</w:t>
      </w:r>
    </w:p>
    <w:p>
      <w:pPr>
        <w:numPr>
          <w:ilvl w:val="0"/>
          <w:numId w:val="1748"/>
        </w:numPr>
      </w:pPr>
      <w:r>
        <w:t xml:space="preserve">b. Definition: For the purpose of this section, large scale solar photovoltaic systems shall consist of the following 1. A utility-scale Ground-Mounted Solar Photovoltaic System for the purpose of selling energy and energy credits to an electric utility company, a municipality, or any other third party consumers of energy, which area size exceeds six (6) acres and thirty (30%) percent of the gross lot area.</w:t>
      </w:r>
    </w:p>
    <w:p>
      <w:pPr>
        <w:numPr>
          <w:ilvl w:val="0"/>
          <w:numId w:val="1749"/>
        </w:numPr>
      </w:pPr>
      <w:r>
        <w:t xml:space="preserve">c. Overlay district: The Solar Photovoltaic Overlay District (SPOD) is hereby established and constructed as an overlay district. Expansion of the overlay district, whether by administrative, minor or major subdivision, shall be considered an amendment to the Town’s zoning code and subject to review by the Town Council and Planning Board in accordance with RIGL 45-24-51. Within the areas identified herein and construed and considered as part of this overlay district, large scale solar photovoltaic systems shall be permitted as a use by right. This overlay district shall be limited to the following area as shown on Map 1, Large scale solar overlay zone. The area is generally bound by three electrical utility rights of way to the east, west and north, and bounded southerly by Iron Mine Hill Rd. Said zone shall be set back 100’ from utility rights of way and maintain a 500’ setback from Iron Mine Hill Rd.</w:t>
      </w:r>
    </w:p>
    <w:p>
      <w:pPr>
        <w:numPr>
          <w:ilvl w:val="0"/>
          <w:numId w:val="1750"/>
        </w:numPr>
      </w:pPr>
      <w:r>
        <w:t xml:space="preserve">i. If any portion of a lot overlaps into the overlay zone, only that portion within the overlay zone is eligible for solar array.</w:t>
      </w:r>
    </w:p>
    <w:p>
      <w:pPr>
        <w:numPr>
          <w:ilvl w:val="0"/>
          <w:numId w:val="1751"/>
        </w:numPr>
      </w:pPr>
      <w:r>
        <w:t xml:space="preserve">ii. Notwithstanding any other dimensional provision to the contrary, a setback of 100 feet shall apply and be measured from the overlay zone line as depicted on Map 1.</w:t>
      </w:r>
    </w:p>
    <w:p>
      <w:pPr>
        <w:numPr>
          <w:ilvl w:val="0"/>
          <w:numId w:val="1752"/>
        </w:numPr>
      </w:pPr>
      <w:r>
        <w:t xml:space="preserve">iii. The following Maps and lots, either in part or entirety, fall within the overlay zone: 012-132 012-136-B 017-175 013-107-A 017-130 016-097 016-005 016-006 012-137 013-052 013-051 012-156-A 012-270 013-012 013-010-A 012-306 012-326</w:t>
      </w:r>
    </w:p>
    <w:p>
      <w:pPr>
        <w:numPr>
          <w:ilvl w:val="0"/>
          <w:numId w:val="1753"/>
        </w:numPr>
      </w:pPr>
      <w:r>
        <w:t xml:space="preserve">d. Schedule. A large scale solar photovoltaic system development approved pursuant to this ordinance shall expire unless construction is started within twelve (12) months and completed within thirty-six (36) months of final plan approval unless a longer period and/or phased period for development is agreed to by the town council and the applicant.</w:t>
      </w:r>
    </w:p>
    <w:p>
      <w:pPr>
        <w:numPr>
          <w:ilvl w:val="0"/>
          <w:numId w:val="1754"/>
        </w:numPr>
      </w:pPr>
      <w:r>
        <w:t xml:space="preserve">e. Development Incentives to the Town. All requests for development of large scale solar photovoltaic systems should be designed to foster and promote compatibility with the general character of the Town and be consistent with the comprehensive plan. The development shall ensure that a primary concern will be buffering for the surrounding residential land uses; proposed development should not materially increase the light impact on the nearby neighborhoods; the proposed development should not materially increase noise impact on the nearby neighborhoods; and the development should be of the most benefit to the Town in terms of tax revenue and preservation of rural areas. In doing so, the proposed development shall provide the Town with an incentive proposal, above the minimum rates established by RIGL 44-5-3 that will contribute to the Town financially and/or enhance the services the Town provides as well as negate any expenses or costs the Town incurs because of the installation and development of a large scale Solar Photovoltaic system.</w:t>
      </w:r>
    </w:p>
    <w:p>
      <w:pPr>
        <w:numPr>
          <w:ilvl w:val="0"/>
          <w:numId w:val="1755"/>
        </w:numPr>
      </w:pPr>
      <w:r>
        <w:t xml:space="preserve">i. Request for approval from the Town Council for a tax agreement (e.g.</w:t>
      </w:r>
    </w:p>
    <w:p>
      <w:pPr>
        <w:numPr>
          <w:ilvl w:val="0"/>
          <w:numId w:val="1756"/>
        </w:numPr>
      </w:pPr>
      <w:r>
        <w:t xml:space="preserve">PILOT and any other impact fees and development incentives etc.) shall be included as part of the Preliminary Plan Application, pursuant to R.I.</w:t>
      </w:r>
    </w:p>
    <w:p>
      <w:pPr>
        <w:numPr>
          <w:ilvl w:val="0"/>
          <w:numId w:val="1757"/>
        </w:numPr>
      </w:pPr>
      <w:r>
        <w:t xml:space="preserve">Gen. Laws §§45-23-50.1, if applicable, and 45-23-41.</w:t>
      </w:r>
    </w:p>
    <w:p>
      <w:pPr>
        <w:numPr>
          <w:ilvl w:val="0"/>
          <w:numId w:val="1758"/>
        </w:numPr>
      </w:pPr>
      <w:r>
        <w:t xml:space="preserve">f. Designs and General Standards of Applicability: For purposes of the Solar Photovoltaic Overlay District (SPOD), the design and general standards of this Sections 5.7.5; 5.7.6; 5.7.7; shall be applicable to any large scale Solar Photovoltaic System developed and installed in the SPOD overlay district, as provided for herein. Within the SPOD all regulations of the underlying district shall continue to be in full force and effect, except where the regulations herein supersede such underlying requirements or provide alternatives to such requirements.</w:t>
      </w:r>
    </w:p>
    <w:p>
      <w:pPr>
        <w:numPr>
          <w:ilvl w:val="0"/>
          <w:numId w:val="1759"/>
        </w:numPr>
      </w:pPr>
      <w:r>
        <w:t xml:space="preserve">g. Development Review: For purposes of the Solar Photovoltaic Overlay District (SPOD), any proposed large scale solar photovoltaic system shall be reviewed by the Town of North Smithfield Planning Board as a Major Land Development as provided for in R.I.</w:t>
      </w:r>
    </w:p>
    <w:p>
      <w:pPr>
        <w:numPr>
          <w:ilvl w:val="0"/>
          <w:numId w:val="1760"/>
        </w:numPr>
      </w:pPr>
      <w:r>
        <w:t xml:space="preserve">Gen. Laws § 45-23-39 and the Town’s subdivision regulations, with the understanding that the proposed project has already been deemed to be consistent with the Town of North Smithfield Comprehensive Plan, and a permitted use by the enactment of this ordinance; thereby, not requiring a special use permit from the Town of North Smithfield Zoning Board of Review, as set forth in Section 5.7.6(d). For purpose of the SPOD, the first sentence of 5.7.5 (a) shall not apply. Section 5.7.5 (c) shall not apply. Section 5.7.5 (e)(2) shall not apply, except in areas in which the large scale solar photovoltaic system abuts residential property, in those instances “pre-application acoustical testing” shall not apply rather ambient sound testing shall be conducted after all site preparation and before installation of the solar array panels. Section 5.7.5 (d) (1) and the first sentence of 5.7.5 (g) shall not be applicable to internal property lines of a utility-scale Ground-Mounted Solar Photovoltaic System that includes multiple properties. For purpose of the SPOD, Section 5.7.8, Decommissioning, shall require approval by the Town Council as part of the Preliminary Plan Application to the Planning Board. Surety shall be in the form of either a combination of bond, cash, and/or property liens, to ensure adequate financial protection exists to support dismantling of an abandoned system. The Planning Board may provide a waiver of the requirements of Section 5.7, as requested.</w:t>
      </w:r>
    </w:p>
    <w:p>
      <w:pPr>
        <w:numPr>
          <w:ilvl w:val="0"/>
          <w:numId w:val="1761"/>
        </w:numPr>
      </w:pPr>
      <w:r>
        <w:t xml:space="preserve">h. Conflict of Laws: If there is a conflict between the provisions of this amendment and any other local ordinance, the provisions of this amendment shall apply. In the event there is a conflict between a provision of this amendment and that of any other provision of the Town’s Subdivision Regulations and/or Zoning Ordinances, the provisions of this amendment shall apply.</w:t>
      </w:r>
    </w:p>
    <w:p>
      <w:pPr>
        <w:numPr>
          <w:ilvl w:val="0"/>
          <w:numId w:val="1762"/>
        </w:numPr>
      </w:pPr>
      <w:r>
        <w:t xml:space="preserve">i. Effective Date: This Ordinance shall take effect upon passage. (Ord. of 12-16-2019)</w:t>
      </w:r>
    </w:p>
    <w:bookmarkEnd w:id="43"/>
    <w:bookmarkStart w:id="44" w:name="supplementary-district-regulations"/>
    <w:p>
      <w:pPr>
        <w:pStyle w:val="Heading1"/>
      </w:pPr>
      <w:r>
        <w:t xml:space="preserve">§ 6. Supplementary District Regulations</w:t>
      </w:r>
    </w:p>
    <w:p>
      <w:pPr>
        <w:pStyle w:val="FirstParagraph"/>
      </w:pPr>
      <w:r>
        <w:t xml:space="preserve">SECTION 6. Supplementary District Regulations SUPPLEMENTARY DISTRICT REGULATIONS</w:t>
      </w:r>
    </w:p>
    <w:bookmarkEnd w:id="44"/>
    <w:bookmarkStart w:id="45" w:name="fresh-water-wetlands"/>
    <w:p>
      <w:pPr>
        <w:pStyle w:val="Heading2"/>
      </w:pPr>
      <w:r>
        <w:t xml:space="preserve">§ 6.1. Fresh water wetlands</w:t>
      </w:r>
    </w:p>
    <w:p>
      <w:pPr>
        <w:pStyle w:val="FirstParagraph"/>
      </w:pPr>
      <w:r>
        <w:t xml:space="preserve">Sec. 6.1. Fresh water wetlands.</w:t>
      </w:r>
    </w:p>
    <w:p>
      <w:pPr>
        <w:pStyle w:val="BodyText"/>
      </w:pPr>
      <w:r>
        <w:t xml:space="preserve">No fresh water wetland, as defined in Chapter 213 of the Public Laws of 1971 relating to fresh water wetlands, shall be excavated, drained or filled nor shall any extraneous materials be placed into these wetlands or water flow diverted onto or out of, or of any other change be made to the natural condition of any fresh water wetland without the prior approval of the Director of the Rhode Island Department of Environmental Management-Division of Freshwater Wetlands in accordance with the provisions of said chapter.</w:t>
      </w:r>
    </w:p>
    <w:bookmarkEnd w:id="45"/>
    <w:bookmarkStart w:id="46" w:name="street-access-to-buildings"/>
    <w:p>
      <w:pPr>
        <w:pStyle w:val="Heading2"/>
      </w:pPr>
      <w:r>
        <w:t xml:space="preserve">§ 6.2. Street access to buildings</w:t>
      </w:r>
    </w:p>
    <w:p>
      <w:pPr>
        <w:pStyle w:val="FirstParagraph"/>
      </w:pPr>
      <w:r>
        <w:t xml:space="preserve">Sec. 6.2. Street access to buildings.</w:t>
      </w:r>
    </w:p>
    <w:p>
      <w:pPr>
        <w:pStyle w:val="BodyText"/>
      </w:pPr>
      <w:r>
        <w:t xml:space="preserve">Every building hereafter erected or moved shall be on a lot abutting an improved public street, . All structures shall be so located on lots so as to provide safe and convenient access for servicing, public safety, and required off-street parking. On any corner lot, no driveway or access way shall be constructed within seventy-five (75) feet of the intersection of two (2) street lines.</w:t>
      </w:r>
    </w:p>
    <w:bookmarkEnd w:id="46"/>
    <w:bookmarkStart w:id="47" w:name="number-of-residential-structures-per-lot"/>
    <w:p>
      <w:pPr>
        <w:pStyle w:val="Heading2"/>
      </w:pPr>
      <w:r>
        <w:t xml:space="preserve">§ 6.3. Number of residential structures per lot</w:t>
      </w:r>
    </w:p>
    <w:p>
      <w:pPr>
        <w:pStyle w:val="FirstParagraph"/>
      </w:pPr>
      <w:r>
        <w:t xml:space="preserve">Sec. 6.3. Number of residential structures per lot.</w:t>
      </w:r>
    </w:p>
    <w:p>
      <w:pPr>
        <w:pStyle w:val="BodyText"/>
      </w:pPr>
      <w:r>
        <w:t xml:space="preserve">Not more than one (1) principal single-family or two-family residential structure shall be permitted on a lot.</w:t>
      </w:r>
    </w:p>
    <w:bookmarkEnd w:id="47"/>
    <w:bookmarkStart w:id="48" w:name="visibility-at-intersections"/>
    <w:p>
      <w:pPr>
        <w:pStyle w:val="Heading2"/>
      </w:pPr>
      <w:r>
        <w:t xml:space="preserve">§ 6.4. Visibility at intersections</w:t>
      </w:r>
    </w:p>
    <w:p>
      <w:pPr>
        <w:pStyle w:val="FirstParagraph"/>
      </w:pPr>
      <w:r>
        <w:t xml:space="preserve">Sec. 6.4. Visibility at intersections.</w:t>
      </w:r>
    </w:p>
    <w:p>
      <w:pPr>
        <w:pStyle w:val="BodyText"/>
      </w:pPr>
      <w:r>
        <w:t xml:space="preserve">On a corner lot, nothing shall be erected, placed, planted, or allowed to grow in such a manner as to materially impede vision between a height of two and one-half (2 1/2) feet and ten feet above the centerline grades of the intersecting streets in the triangle formed by the street lines of such corner lots and a line joining points along said street lines;</w:t>
      </w:r>
    </w:p>
    <w:p>
      <w:pPr>
        <w:numPr>
          <w:ilvl w:val="0"/>
          <w:numId w:val="1763"/>
        </w:numPr>
      </w:pPr>
      <w:r>
        <w:t xml:space="preserve">(a) Forty (40) feet from the point of intersection in residential districts.</w:t>
      </w:r>
    </w:p>
    <w:p>
      <w:pPr>
        <w:numPr>
          <w:ilvl w:val="0"/>
          <w:numId w:val="1764"/>
        </w:numPr>
      </w:pPr>
      <w:r>
        <w:t xml:space="preserve">(b) Twenty-five (25) feet from the point of intersection in all other districts.</w:t>
      </w:r>
    </w:p>
    <w:p>
      <w:pPr>
        <w:numPr>
          <w:ilvl w:val="0"/>
          <w:numId w:val="1765"/>
        </w:numPr>
      </w:pPr>
      <w:r>
        <w:t xml:space="preserve">Poles not exceeding six (6) inches in diameter are exempted from this regulation.</w:t>
      </w:r>
    </w:p>
    <w:bookmarkEnd w:id="48"/>
    <w:bookmarkStart w:id="49" w:name="Xf4fa1aa081dd8f77750327ad629aefd5cd36ee3"/>
    <w:p>
      <w:pPr>
        <w:pStyle w:val="Heading2"/>
      </w:pPr>
      <w:r>
        <w:t xml:space="preserve">§ 6.5. Fences, walls, and hedges in residential districts</w:t>
      </w:r>
    </w:p>
    <w:p>
      <w:pPr>
        <w:pStyle w:val="FirstParagraph"/>
      </w:pPr>
      <w:r>
        <w:t xml:space="preserve">Sec. 6.5. Fences, walls, and hedges in residential districts.</w:t>
      </w:r>
    </w:p>
    <w:p>
      <w:pPr>
        <w:pStyle w:val="BodyText"/>
      </w:pPr>
      <w:r>
        <w:t xml:space="preserve">Notwithstanding other provisions of this ordinance, fences, walls, and hedges in residential districts may be permitted in any required yard, or along the edge of any yard, provided that all opaque fences, walls, or hedges over two and one-half (2 1/2) feet that screen open areas which may provide access to the street, shall be set back a minimum of 25 feet from the front lot line. 6-1</w:t>
      </w:r>
    </w:p>
    <w:bookmarkEnd w:id="49"/>
    <w:bookmarkStart w:id="50" w:name="landscape-features-and-structures"/>
    <w:p>
      <w:pPr>
        <w:pStyle w:val="Heading2"/>
      </w:pPr>
      <w:r>
        <w:t xml:space="preserve">§ 6.6. Landscape features and structures</w:t>
      </w:r>
    </w:p>
    <w:p>
      <w:pPr>
        <w:pStyle w:val="FirstParagraph"/>
      </w:pPr>
      <w:r>
        <w:t xml:space="preserve">Sec. 6.6. Landscape features and structures.</w:t>
      </w:r>
    </w:p>
    <w:p>
      <w:pPr>
        <w:pStyle w:val="BodyText"/>
      </w:pPr>
      <w:r>
        <w:t xml:space="preserve">With the exception of swimming pools, such landscape features and structures as trees, shrubs, fences, terraces, driveways and walkways may be placed within any yard providing that such features conform to the visibility requirements of sections 6.4 and 6.5.</w:t>
      </w:r>
    </w:p>
    <w:p>
      <w:pPr>
        <w:numPr>
          <w:ilvl w:val="0"/>
          <w:numId w:val="1766"/>
        </w:numPr>
      </w:pPr>
      <w:r>
        <w:t xml:space="preserve">(1) Stump disposal areas: Only stumps and boulders native to the site may be buried. All dumping and landfilling of tree stumps must be approved as a site plan review by the Planning Board if the stump disposal area is not part of a subdivision approved by the Board.</w:t>
      </w:r>
    </w:p>
    <w:bookmarkEnd w:id="50"/>
    <w:bookmarkStart w:id="51" w:name="swimming-pools"/>
    <w:p>
      <w:pPr>
        <w:pStyle w:val="Heading2"/>
      </w:pPr>
      <w:r>
        <w:t xml:space="preserve">§ 6.7. Swimming pools</w:t>
      </w:r>
    </w:p>
    <w:p>
      <w:pPr>
        <w:pStyle w:val="FirstParagraph"/>
      </w:pPr>
      <w:r>
        <w:t xml:space="preserve">Sec. 6.7. Swimming pools.</w:t>
      </w:r>
    </w:p>
    <w:p>
      <w:pPr>
        <w:pStyle w:val="BodyText"/>
      </w:pPr>
      <w:r>
        <w:t xml:space="preserve">A swimming pool, including portable pools capable of containing a depth of thirty (30) inches of water, shall:</w:t>
      </w:r>
    </w:p>
    <w:p>
      <w:pPr>
        <w:numPr>
          <w:ilvl w:val="0"/>
          <w:numId w:val="1767"/>
        </w:numPr>
      </w:pPr>
      <w:r>
        <w:t xml:space="preserve">(a) Be enclosed by a fence, five to six feet in height, capable of restricting access.</w:t>
      </w:r>
    </w:p>
    <w:p>
      <w:pPr>
        <w:numPr>
          <w:ilvl w:val="0"/>
          <w:numId w:val="1768"/>
        </w:numPr>
      </w:pPr>
      <w:r>
        <w:t xml:space="preserve">(b) Have apron no less than four (4) feet in width.</w:t>
      </w:r>
    </w:p>
    <w:p>
      <w:pPr>
        <w:numPr>
          <w:ilvl w:val="0"/>
          <w:numId w:val="1769"/>
        </w:numPr>
      </w:pPr>
      <w:r>
        <w:t xml:space="preserve">(c) Be limited to side and rear yards only.</w:t>
      </w:r>
    </w:p>
    <w:bookmarkEnd w:id="51"/>
    <w:bookmarkStart w:id="52" w:name="accessory-buildings-and-structures"/>
    <w:p>
      <w:pPr>
        <w:pStyle w:val="Heading2"/>
      </w:pPr>
      <w:r>
        <w:t xml:space="preserve">§ 6.8. Accessory buildings and structures</w:t>
      </w:r>
    </w:p>
    <w:p>
      <w:pPr>
        <w:pStyle w:val="FirstParagraph"/>
      </w:pPr>
      <w:r>
        <w:t xml:space="preserve">Sec. 6.8. Accessory buildings and structures.</w:t>
      </w:r>
    </w:p>
    <w:p>
      <w:pPr>
        <w:pStyle w:val="BodyText"/>
      </w:pPr>
      <w:r>
        <w:t xml:space="preserve">A permitted accessory building may cover up to 25 percent of a side or rear yard but may not be placed within ten (10) feet of a lot line. No accessory buildings or structures shall be located nearer than ten (10) feet to a principal building unless such accessory building or structures are attached to the principal building.</w:t>
      </w:r>
    </w:p>
    <w:bookmarkEnd w:id="52"/>
    <w:bookmarkStart w:id="53" w:name="other-yard-modifications"/>
    <w:p>
      <w:pPr>
        <w:pStyle w:val="Heading2"/>
      </w:pPr>
      <w:r>
        <w:t xml:space="preserve">§ 6.9. Other yard modifications</w:t>
      </w:r>
    </w:p>
    <w:p>
      <w:pPr>
        <w:pStyle w:val="FirstParagraph"/>
      </w:pPr>
      <w:r>
        <w:t xml:space="preserve">Sec. 6.9. Other yard modifications.</w:t>
      </w:r>
    </w:p>
    <w:p>
      <w:pPr>
        <w:pStyle w:val="BodyText"/>
      </w:pPr>
      <w:r>
        <w:t xml:space="preserve">Yard regulations in section 5 may be modified as follows:</w:t>
      </w:r>
    </w:p>
    <w:p>
      <w:pPr>
        <w:numPr>
          <w:ilvl w:val="0"/>
          <w:numId w:val="1770"/>
        </w:numPr>
      </w:pPr>
      <w:r>
        <w:t xml:space="preserve">6.9.1. Where the yard regulations cannot reasonably be complied with or their application determined on lots of peculiar shape, location or topography, such regulations may be modified or determined by the Board, as provided for in section 9.3, Variances.</w:t>
      </w:r>
    </w:p>
    <w:p>
      <w:pPr>
        <w:numPr>
          <w:ilvl w:val="0"/>
          <w:numId w:val="1771"/>
        </w:numPr>
      </w:pPr>
      <w:r>
        <w:t xml:space="preserve">6.9.2. The rear yard and side yard requirements may be modified as provided in section 9.2, Special- Use Permits, by the Board in cases where freight rail facilities are adjacent to said yard and lot lines.</w:t>
      </w:r>
    </w:p>
    <w:p>
      <w:pPr>
        <w:numPr>
          <w:ilvl w:val="0"/>
          <w:numId w:val="1772"/>
        </w:numPr>
      </w:pPr>
      <w:r>
        <w:t xml:space="preserve">6.9.3. A carport, where attached to the main building, may be erected over a driveway in a side yard provided such structure is not over twenty four (24) feet in length and shall be no closer than ten (10) feet from side lot line and is entirely open on three sides, except for necessary supporting columns and customary architectural features.</w:t>
      </w:r>
    </w:p>
    <w:p>
      <w:pPr>
        <w:numPr>
          <w:ilvl w:val="0"/>
          <w:numId w:val="1773"/>
        </w:numPr>
      </w:pPr>
      <w:r>
        <w:t xml:space="preserve">6.9.4. An unenclosed porch may extend up to ten (10) feet into a side or rear yard but shall not extend to within ten (10) feet of a lot line. 6-2 6.9.5. Ordinary projections of window sills, cornices and other ornamental features may extend up to two (2) feet into the required minimum yard.</w:t>
      </w:r>
    </w:p>
    <w:p>
      <w:pPr>
        <w:numPr>
          <w:ilvl w:val="0"/>
          <w:numId w:val="1774"/>
        </w:numPr>
      </w:pPr>
      <w:r>
        <w:t xml:space="preserve">6.9.6. Only one shelter per dwelling unit for a family house pet is allowable within forty (40) feet of a property line. All other animal shelters, excluding wild bird shelters, must be kept a minimum of forty (40) feet from a property line.</w:t>
      </w:r>
    </w:p>
    <w:p>
      <w:pPr>
        <w:numPr>
          <w:ilvl w:val="0"/>
          <w:numId w:val="1775"/>
        </w:numPr>
      </w:pPr>
      <w:r>
        <w:t xml:space="preserve">6.9.7. An outdoor telephone booth may be located in a front yard in nonresidential districts provided it is adjacent to a permitted curb parking area or an off-street parking facility.</w:t>
      </w:r>
    </w:p>
    <w:p>
      <w:pPr>
        <w:numPr>
          <w:ilvl w:val="0"/>
          <w:numId w:val="1776"/>
        </w:numPr>
      </w:pPr>
      <w:r>
        <w:t xml:space="preserve">6.9.8. Front yard requirements on a lot situated between two lots, each of which has a main building (within 25 feet of its side lot line) which projects beyond the established front yard line and was so maintained when this ordinance became effective, may be the average of the front yards of said existing buildings, provided, however, the front yard of such lot shall not be less than fifteen (15) feet.</w:t>
      </w:r>
    </w:p>
    <w:p>
      <w:pPr>
        <w:numPr>
          <w:ilvl w:val="0"/>
          <w:numId w:val="1777"/>
        </w:numPr>
      </w:pPr>
      <w:r>
        <w:t xml:space="preserve">6.9.9. For the purpose of side yard regulations, residential dwellings with common party walls shall be considered as one building occupying one lot. Such dwellings shall include but not be restricted to apartments, townhouses, row dwellings, duplexes, and double dwellings.</w:t>
      </w:r>
    </w:p>
    <w:bookmarkEnd w:id="53"/>
    <w:bookmarkStart w:id="54" w:name="height-modifications"/>
    <w:p>
      <w:pPr>
        <w:pStyle w:val="Heading2"/>
      </w:pPr>
      <w:r>
        <w:t xml:space="preserve">§ 6.10. Height modifications</w:t>
      </w:r>
    </w:p>
    <w:p>
      <w:pPr>
        <w:pStyle w:val="FirstParagraph"/>
      </w:pPr>
      <w:r>
        <w:t xml:space="preserve">Sec. 6.10. Height modifications.</w:t>
      </w:r>
    </w:p>
    <w:p>
      <w:pPr>
        <w:pStyle w:val="BodyText"/>
      </w:pPr>
      <w:r>
        <w:t xml:space="preserve">Height regulations in section 5 may be modified as follows:</w:t>
      </w:r>
    </w:p>
    <w:p>
      <w:pPr>
        <w:numPr>
          <w:ilvl w:val="0"/>
          <w:numId w:val="1778"/>
        </w:numPr>
      </w:pPr>
      <w:r>
        <w:t xml:space="preserve">6.10.1. Accessory structures permitted above height requirements include roof structures for housing of elevators, stairways, tanks, ventilating fans or similar equipment required to operate and maintain the building, fire or parapet walls, skylights, towers, steeples, flagpoles, chimneys, smokestacks, wireless masts and water tanks, provided that no roof structure or any space above the height limit shall be allowed for the purpose of providing additional floor space for residential, business or manufacturing use. Such structures shall require a special-use permit if intended to be utilized as a principal structure on a lot.</w:t>
      </w:r>
    </w:p>
    <w:p>
      <w:pPr>
        <w:numPr>
          <w:ilvl w:val="0"/>
          <w:numId w:val="1779"/>
        </w:numPr>
      </w:pPr>
      <w:r>
        <w:t xml:space="preserve">6.10.2. Structures permitted above the maximum height requirements shall be set back from any lot line one additional foot by which it exceeds the maximum height limit for the district.</w:t>
      </w:r>
    </w:p>
    <w:bookmarkEnd w:id="54"/>
    <w:bookmarkStart w:id="55" w:name="street-frontage-on-cul-de-sacs-reduced"/>
    <w:p>
      <w:pPr>
        <w:pStyle w:val="Heading2"/>
      </w:pPr>
      <w:r>
        <w:t xml:space="preserve">§ 6.11. Street frontage on cul-de-sacs reduced</w:t>
      </w:r>
    </w:p>
    <w:p>
      <w:pPr>
        <w:pStyle w:val="FirstParagraph"/>
      </w:pPr>
      <w:r>
        <w:t xml:space="preserve">Sec. 6.11. Street frontage on cul-de-sacs reduced.</w:t>
      </w:r>
    </w:p>
    <w:p>
      <w:pPr>
        <w:pStyle w:val="BodyText"/>
      </w:pPr>
      <w:r>
        <w:t xml:space="preserve">In a residential district, street frontage for lots fronting entirely on cul-de-sacs may be reduced 20 percent below the frontage requirement of section 5.5; provided however that lot frontage shall not be reduced below a minimum of one hundred (100) feet in the REA-120, RA-65 and RS-40 zones and not less than 85 feet in the RU-2- zone. 6-3</w:t>
      </w:r>
    </w:p>
    <w:bookmarkEnd w:id="55"/>
    <w:bookmarkStart w:id="56" w:name="X9eeb921c8d28c6e85dd2df7a01e069ffdd8cff0"/>
    <w:p>
      <w:pPr>
        <w:pStyle w:val="Heading2"/>
      </w:pPr>
      <w:r>
        <w:t xml:space="preserve">§ 6.12. Wetland Setbacks for Onsite Waste Water Treatment Systems, OWTS, Buildings</w:t>
      </w:r>
    </w:p>
    <w:p>
      <w:pPr>
        <w:pStyle w:val="FirstParagraph"/>
      </w:pPr>
      <w:r>
        <w:t xml:space="preserve">Sec. 6.12. Wetland Setbacks for Onsite Waste Water Treatment Systems, OWTS, Buildings.</w:t>
      </w:r>
    </w:p>
    <w:p>
      <w:pPr>
        <w:pStyle w:val="BodyText"/>
      </w:pPr>
      <w:r>
        <w:t xml:space="preserve">and Impervious Surfaces. Section 6.12.1 Purpose and Authority (1) Purpose. The standards and provisions in this section are intended to protect the health, safety and general welfare of the Town’s residents, property owners and businesses, to prevent nuisance, to prevent degradation of North Smithfield’s surface or ground waters, and to maintain and enhance the water quality function of wetlands and associated wetland buffers, in accordance with goals of the North Smithfield Comprehensive Plan. It establishes standards and procedures for the use of wetland buffers, including the location and design of OWTS, buildings, impervious cover and other land development, and use of best management practices to minimize pollution sources, ensure proper management of storm water runoff, and adequate treatment of pathogen and nutrient inputs to wells, groundwater and surface waters from onsite wastewater treatment systems.</w:t>
      </w:r>
    </w:p>
    <w:p>
      <w:pPr>
        <w:pStyle w:val="BodyText"/>
      </w:pPr>
      <w:r>
        <w:t xml:space="preserve">As per RIGL 45-24-30 the methods of protection recognize: 1) The natural characteristics of the land, including its suitability for use based on soil characteristics, topography and susceptibly to surface and groundwater pollution; 2) The values of unique or valuable natural resources and features; 3) The availability and capacity of existing and planned public and/or private services and facilities; 4) The goals and patterns of land use contained in the North Smithfield Comprehensive Plan.</w:t>
      </w:r>
    </w:p>
    <w:p>
      <w:pPr>
        <w:numPr>
          <w:ilvl w:val="0"/>
          <w:numId w:val="1780"/>
        </w:numPr>
      </w:pPr>
      <w:r>
        <w:t xml:space="preserve">(2) Authority. The Town of North Smithfield recognizes its authority to adopt requirements that are more restrictive than State minimum standards to address the combined impacts of land use, storm water runoff and wastewater effluent to locally important water resources. These State standards include: the Rules Establishing Minimum Standards Relating to Location, Design, Construction and Maintenance of Onsite Wastewater Treatment Systems (OWTS Regulations); the Rules and Regulations Governing the Administration and Enforcement of the Freshwater Wetlands Act (Rules); and the Rhode Island Storm water Design and Installation Standards Manual, as promulgated by the Rhode Island Department of Environmental Management (RIDEM). The following requirements are hereby established in accordance with The RI Zoning Enabling Act RIGL 45-24. These requirements shall be considered an addition to, and not a replacement for, the referenced regulations and any subsequent amendments thereto.</w:t>
      </w:r>
    </w:p>
    <w:p>
      <w:pPr>
        <w:numPr>
          <w:ilvl w:val="0"/>
          <w:numId w:val="1781"/>
        </w:numPr>
      </w:pPr>
      <w:r>
        <w:t xml:space="preserve">(3) Wetlands and water bodies covered under this ordinance include: Wetland, freshwater are defined as in G.L. 1956, 2-1-20 as follows: Marshes; swamps; bogs; ponds; rivers; river and stream floodplains and 6-4 banks; areas subject to flooding or storm flowage; emergent and sub emergent plant communities in any body of fresh water including rivers and streams and that area of land within 50 feet of the edge of any bog, marsh, swamp, or pond.</w:t>
      </w:r>
    </w:p>
    <w:p>
      <w:pPr>
        <w:numPr>
          <w:ilvl w:val="0"/>
          <w:numId w:val="1782"/>
        </w:numPr>
      </w:pPr>
      <w:r>
        <w:t xml:space="preserve">(4) Scientific findings. There is ample and defensible scientific justification for increased buffer width benefiting water quality (EPA 2006; Wenger, 1999; Vermont Agency of Natural Resources, 2005). The EPA (2006) notes that nitrogen removal efficiencies of 80-90% are obtained for wetland buffers overall that are 30m or approximately 100ft wide. In contrast, only 65-75% of nitrogen is removed for buffers 15m, or approximately 45 ft. wide. Grass buffers alone are only 75% effective at 28m; and only 50% effective at 16m. Water bodies with little or no riparian buffer zones are found to have two to three times the annual nitrate concentration of streams with buffers. Wenger (1999) reviewed 140 scientific studies and notes, “Reduction of various forms of nitrogen in surface runoff is reasonably well correlated with buffer width.” Studies of sediment in surface runoff show that the most efficient width for sediment removal is 82 feet. The Vermont Agency of Natural Resources summarized 22 scientific studies recommending buffer widths for riparian ecosystem function. Eighty percent of the studies recommended a mean width of 100 feet. Wenger (1999) writes that a 100 ft option, including adjacent wetlands “provides the greatest level of protection for stream corridors, including good control of sediment and other contaminants, maintenance of quality aquatic habitat, and some minimal terrestrial wildlife habitat.”</w:t>
      </w:r>
    </w:p>
    <w:p>
      <w:pPr>
        <w:numPr>
          <w:ilvl w:val="0"/>
          <w:numId w:val="1783"/>
        </w:numPr>
      </w:pPr>
      <w:r>
        <w:t xml:space="preserve">6.12.2. Onsite Wastewater Treatment (OWTS) setback.</w:t>
      </w:r>
    </w:p>
    <w:p>
      <w:pPr>
        <w:pStyle w:val="Compact"/>
        <w:numPr>
          <w:ilvl w:val="0"/>
          <w:numId w:val="1784"/>
        </w:numPr>
      </w:pPr>
    </w:p>
    <w:p>
      <w:pPr>
        <w:numPr>
          <w:ilvl w:val="1"/>
          <w:numId w:val="1785"/>
        </w:numPr>
      </w:pPr>
      <w:r>
        <w:t xml:space="preserve">(1) This section applies only to properties located within any surface water supply basins in town, including the surface water supply basins for Woonsocket’s Reservoirs 1, 2 and 3, and to school well-head protection areas, as delineated in the North Smithfield, RI Zoning Ordinance Map:</w:t>
      </w:r>
    </w:p>
    <w:p>
      <w:pPr>
        <w:pStyle w:val="Compact"/>
        <w:numPr>
          <w:ilvl w:val="0"/>
          <w:numId w:val="1786"/>
        </w:numPr>
      </w:pPr>
    </w:p>
    <w:p>
      <w:pPr>
        <w:numPr>
          <w:ilvl w:val="1"/>
          <w:numId w:val="1787"/>
        </w:numPr>
      </w:pPr>
      <w:r>
        <w:t xml:space="preserve">Water Supply Protection Overlay District. Except as provided in subsections (2), (3), (4) and (5) of this section, no component of an onsite wastewater treatment system (OWTS) facility designed to leach liquid wastes into the soil shall be located within 150 feet of the defined edge or channel of any Freshwater Wetland as defined in the Rules. This section shall not be interpreted to require a 150-foot setback from a riverbank wetland, areas of land within fifty feet 50’ of wetlands (perimeter wetlands) or area(s) subject to storm flowage as defined in the Rules.</w:t>
      </w:r>
    </w:p>
    <w:p>
      <w:pPr>
        <w:pStyle w:val="Compact"/>
        <w:numPr>
          <w:ilvl w:val="0"/>
          <w:numId w:val="1788"/>
        </w:numPr>
      </w:pPr>
    </w:p>
    <w:p>
      <w:pPr>
        <w:numPr>
          <w:ilvl w:val="1"/>
          <w:numId w:val="1789"/>
        </w:numPr>
      </w:pPr>
      <w:r>
        <w:t xml:space="preserve">(2) No part of an OWTS or other facility designed to leach liquid wastes into the soil shall be located within 200 feet of any drinking water supply impoundment or tributary that directly discharges to a drinking water supply, including storm and subsurface drains that directly discharge to a tributary stream surface water body.</w:t>
      </w:r>
    </w:p>
    <w:p>
      <w:pPr>
        <w:pStyle w:val="Compact"/>
        <w:numPr>
          <w:ilvl w:val="0"/>
          <w:numId w:val="1790"/>
        </w:numPr>
      </w:pPr>
    </w:p>
    <w:p>
      <w:pPr>
        <w:numPr>
          <w:ilvl w:val="1"/>
          <w:numId w:val="1791"/>
        </w:numPr>
      </w:pPr>
      <w:r>
        <w:t xml:space="preserve">(3) Subsection (1) of this section shall not apply to any replacement, major repair, alteration or modification of a system or facility which exists 20 days after the Date of Passage of this Section provided that the replacement, repair, alteration or modification meets the Minimum Requirements for Advanced OWTS Treatment as defined herein. 6-5</w:t>
      </w:r>
    </w:p>
    <w:p>
      <w:pPr>
        <w:numPr>
          <w:ilvl w:val="1"/>
          <w:numId w:val="1000"/>
        </w:numPr>
      </w:pPr>
      <w:r>
        <w:t xml:space="preserve">(4) Subsection (1) of this section shall not apply to the location of such a system on a residential lot located in a subdivision which received final approval from the Planning Board or from RIDEM prior to the adoption of this section provided that the replacement, major repair, alteration or modification meets the Minimum Requirements for Advanced OWTS Treatment as defined herein.</w:t>
      </w:r>
    </w:p>
    <w:p>
      <w:pPr>
        <w:pStyle w:val="Compact"/>
        <w:numPr>
          <w:ilvl w:val="0"/>
          <w:numId w:val="1792"/>
        </w:numPr>
      </w:pPr>
    </w:p>
    <w:p>
      <w:pPr>
        <w:numPr>
          <w:ilvl w:val="1"/>
          <w:numId w:val="1793"/>
        </w:numPr>
      </w:pPr>
      <w:r>
        <w:t xml:space="preserve">(5) Administrative review: Development within the areas required to have an OWTS system shall comply with the development standards listed below. Development proposals that meet these standards will be reviewed administratively by the zoning enforcement officer and/or his her designee after review with the town planner. The town may engage professional assistance to assist with the professional review of applications and advise with the applicant responsible for such cost. Applications failing to meet one or more of the development standards listed below shall require a special use permit per section 6.12.2.(5).</w:t>
      </w:r>
    </w:p>
    <w:p>
      <w:pPr>
        <w:pStyle w:val="Compact"/>
        <w:numPr>
          <w:ilvl w:val="0"/>
          <w:numId w:val="1794"/>
        </w:numPr>
      </w:pPr>
    </w:p>
    <w:p>
      <w:pPr>
        <w:numPr>
          <w:ilvl w:val="1"/>
          <w:numId w:val="1795"/>
        </w:numPr>
      </w:pPr>
      <w:r>
        <w:t xml:space="preserve">The administrative review shall apply the following criteria:</w:t>
      </w:r>
    </w:p>
    <w:p>
      <w:pPr>
        <w:numPr>
          <w:ilvl w:val="0"/>
          <w:numId w:val="1796"/>
        </w:numPr>
      </w:pPr>
      <w:r>
        <w:t xml:space="preserve">a. The design of the OWTS and layout of the building site in general shall minimize or mitigate the potential for ground and surface water contamination to the greatest extent possible.</w:t>
      </w:r>
    </w:p>
    <w:p>
      <w:pPr>
        <w:numPr>
          <w:ilvl w:val="0"/>
          <w:numId w:val="1797"/>
        </w:numPr>
      </w:pPr>
      <w:r>
        <w:t xml:space="preserve">b. The system, once in use, will not pose a threat to public health and safety or cause any degradation of ground or and surface water quality, including adverse effects due to cumulative impact.</w:t>
      </w:r>
    </w:p>
    <w:p>
      <w:pPr>
        <w:numPr>
          <w:ilvl w:val="0"/>
          <w:numId w:val="1798"/>
        </w:numPr>
      </w:pPr>
      <w:r>
        <w:t xml:space="preserve">c. The foundation not including pilings/footings of a dwelling shall have a 12-inch separation between the bottom elevation of the structure and the seasonal high groundwater table. All foundation elements below the seasonal high-groundwater table shall be engineered to allow for free passage of water.</w:t>
      </w:r>
    </w:p>
    <w:p>
      <w:pPr>
        <w:numPr>
          <w:ilvl w:val="0"/>
          <w:numId w:val="1799"/>
        </w:numPr>
      </w:pPr>
      <w:r>
        <w:t xml:space="preserve">d. All new OWTSs and OWTSs requiring major repair shall have been approved by RIDEM and provide for either denitrification or enhanced pathogen removal.</w:t>
      </w:r>
    </w:p>
    <w:p>
      <w:pPr>
        <w:numPr>
          <w:ilvl w:val="0"/>
          <w:numId w:val="1800"/>
        </w:numPr>
      </w:pPr>
      <w:r>
        <w:t xml:space="preserve">e. If the setback does not meet the standard in Section 6.12.2(1), the applicant shall demonstrate that the OWTS and associated building have been sited as far as possible from the wetland edge.</w:t>
      </w:r>
    </w:p>
    <w:p>
      <w:pPr>
        <w:pStyle w:val="Compact"/>
        <w:numPr>
          <w:ilvl w:val="0"/>
          <w:numId w:val="1801"/>
        </w:numPr>
      </w:pPr>
    </w:p>
    <w:p>
      <w:pPr>
        <w:numPr>
          <w:ilvl w:val="1"/>
          <w:numId w:val="1802"/>
        </w:numPr>
      </w:pPr>
      <w:r>
        <w:t xml:space="preserve">(6) Special Use Permit Criteria. The Zoning Board of Review may grant a Special Use Permit for construction of an OWTS not less than 100’ from Freshwater Wetlands as defined in the Rules provided that the applicant submits a site plan meeting the requirements of Section 7(I) 6-6 demonstrating that the buffer provided is sufficient to substantially attenuate pollutants from the OWTS and associated land disturbance, and:</w:t>
      </w:r>
    </w:p>
    <w:p>
      <w:pPr>
        <w:numPr>
          <w:ilvl w:val="0"/>
          <w:numId w:val="1803"/>
        </w:numPr>
      </w:pPr>
      <w:r>
        <w:t xml:space="preserve">1. Advanced OWTS Treatment meeting the performance standards of section (7) and approved by RIDEM are used.</w:t>
      </w:r>
    </w:p>
    <w:p>
      <w:pPr>
        <w:numPr>
          <w:ilvl w:val="0"/>
          <w:numId w:val="1804"/>
        </w:numPr>
      </w:pPr>
      <w:r>
        <w:t xml:space="preserve">2. Will not degrade the quality of groundwater or any wetland or surface water body, either directly or indirectly, on site or off site; 3. Will result in the least site disturbance and removal of vegetation as possible, every attempt shall be made to site the wastewater treatment system and the associated dwelling as far as possible from the wetland edge;</w:t>
      </w:r>
    </w:p>
    <w:p>
      <w:pPr>
        <w:numPr>
          <w:ilvl w:val="0"/>
          <w:numId w:val="1805"/>
        </w:numPr>
      </w:pPr>
      <w:r>
        <w:t xml:space="preserve">4. Will not obstruct floodways or reduce the net capacity of the site to retain floodwaters;</w:t>
      </w:r>
    </w:p>
    <w:p>
      <w:pPr>
        <w:numPr>
          <w:ilvl w:val="0"/>
          <w:numId w:val="1806"/>
        </w:numPr>
      </w:pPr>
      <w:r>
        <w:t xml:space="preserve">5. Will not cause any sedimentation of wetlands, and will include all necessary erosion and sediment control measures; plans for erosion and sediment control and storm water management shall be completed which meets standard requirements for such plans and also includes:</w:t>
      </w:r>
    </w:p>
    <w:p>
      <w:pPr>
        <w:pStyle w:val="Compact"/>
        <w:numPr>
          <w:ilvl w:val="0"/>
          <w:numId w:val="1807"/>
        </w:numPr>
      </w:pPr>
    </w:p>
    <w:p>
      <w:pPr>
        <w:numPr>
          <w:ilvl w:val="1"/>
          <w:numId w:val="1808"/>
        </w:numPr>
      </w:pPr>
      <w:r>
        <w:t xml:space="preserve">a. The limits of disturbance during construction including areas to be cleared and/or graded, construction easements, temporary stockpiles and material/equipment storage areas, and protection of individual trees and groups of trees to avoid construction injury by fencing off trees at the drip line. In critical areas the limits of disturbance will be fenced off in the field.</w:t>
      </w:r>
    </w:p>
    <w:p>
      <w:pPr>
        <w:pStyle w:val="Compact"/>
        <w:numPr>
          <w:ilvl w:val="0"/>
          <w:numId w:val="1809"/>
        </w:numPr>
      </w:pPr>
    </w:p>
    <w:p>
      <w:pPr>
        <w:numPr>
          <w:ilvl w:val="1"/>
          <w:numId w:val="1810"/>
        </w:numPr>
      </w:pPr>
      <w:r>
        <w:t xml:space="preserve">b. A plan for re-vegetation, stamped by a landscape architect of wetland buffers, slopes and erodible areas.</w:t>
      </w:r>
    </w:p>
    <w:p>
      <w:pPr>
        <w:numPr>
          <w:ilvl w:val="0"/>
          <w:numId w:val="1811"/>
        </w:numPr>
      </w:pPr>
      <w:r>
        <w:t xml:space="preserve">6. Will not reduce the capacity of any wetland to absorb pollutants;</w:t>
      </w:r>
    </w:p>
    <w:p>
      <w:pPr>
        <w:numPr>
          <w:ilvl w:val="0"/>
          <w:numId w:val="1812"/>
        </w:numPr>
      </w:pPr>
      <w:r>
        <w:t xml:space="preserve">7. Will not degrade the recreational or educational value of any wetland or water body;</w:t>
      </w:r>
    </w:p>
    <w:p>
      <w:pPr>
        <w:numPr>
          <w:ilvl w:val="0"/>
          <w:numId w:val="1813"/>
        </w:numPr>
      </w:pPr>
      <w:r>
        <w:t xml:space="preserve">8. Will not reduce the capacity of any wetland to recharge groundwater; and</w:t>
      </w:r>
    </w:p>
    <w:p>
      <w:pPr>
        <w:numPr>
          <w:ilvl w:val="0"/>
          <w:numId w:val="1000"/>
        </w:numPr>
      </w:pPr>
      <w:r>
        <w:t xml:space="preserve">9. The potential for wetland impact based on the type of development, soil type, potential for future disturbance of the buffer and size of the wooded swamp or pond to be buffered is determined to be minimal.</w:t>
      </w:r>
    </w:p>
    <w:p>
      <w:pPr>
        <w:pStyle w:val="Compact"/>
        <w:numPr>
          <w:ilvl w:val="0"/>
          <w:numId w:val="1814"/>
        </w:numPr>
      </w:pPr>
    </w:p>
    <w:p>
      <w:pPr>
        <w:numPr>
          <w:ilvl w:val="1"/>
          <w:numId w:val="1815"/>
        </w:numPr>
      </w:pPr>
      <w:r>
        <w:t xml:space="preserve">(7) Performance Standards: Applications for a Special Permit under provisions of this Section shall meet the following minimum performance standards:</w:t>
      </w:r>
    </w:p>
    <w:p>
      <w:pPr>
        <w:pStyle w:val="Compact"/>
        <w:numPr>
          <w:ilvl w:val="0"/>
          <w:numId w:val="1816"/>
        </w:numPr>
      </w:pPr>
    </w:p>
    <w:p>
      <w:pPr>
        <w:numPr>
          <w:ilvl w:val="1"/>
          <w:numId w:val="1817"/>
        </w:numPr>
      </w:pPr>
      <w:r>
        <w:t xml:space="preserve">A. Minimum Requirements for Advanced OWTS Treatment. All new, replacement and alterations for OWTS that do not meet the dimensional requirements set forth in Section 6-7 6.12.2. (1) and (2) above shall be approved by RIDEM and provide advanced treatment to achieve the following levels, as measured at the outlet of the treatment unit prior to discharge to a drain field, and to achieve the following performance based on siting.</w:t>
      </w:r>
    </w:p>
    <w:p>
      <w:pPr>
        <w:numPr>
          <w:ilvl w:val="0"/>
          <w:numId w:val="1818"/>
        </w:numPr>
      </w:pPr>
      <w:r>
        <w:t xml:space="preserve">1. System Type - Category 1 Alternative and innovative system as defined by RIDEM Use of a Category 1 Alternative and Innovative system shall be required in the watersheds of drinking water supplies, other phosphorus-sensitive surface waters, and areas where maximum pathogen and nutrient removal is required for either protection of surface or ground waters.</w:t>
      </w:r>
    </w:p>
    <w:p>
      <w:pPr>
        <w:numPr>
          <w:ilvl w:val="0"/>
          <w:numId w:val="1819"/>
        </w:numPr>
      </w:pPr>
      <w:r>
        <w:t xml:space="preserve">2. System Type - Category 2 Alternative and innovative system as defined by RIDEM Use of a Category 2 Alternative and innovative system may be permitted in watersheds of non-critical water resources.</w:t>
      </w:r>
    </w:p>
    <w:p>
      <w:pPr>
        <w:numPr>
          <w:ilvl w:val="0"/>
          <w:numId w:val="1820"/>
        </w:numPr>
      </w:pPr>
      <w:r>
        <w:t xml:space="preserve">3. Permitted OWTS Technologies. Installation of Advanced OWTS treatment technologies permitted shall be those technologies certified by RIDEM pursuant to their procedures and regulations. Innovative or alternative OWTS technologies shall have documented the ability to achieve the minimum treatment requirements set forth in this Ordinance.</w:t>
      </w:r>
    </w:p>
    <w:p>
      <w:pPr>
        <w:numPr>
          <w:ilvl w:val="0"/>
          <w:numId w:val="1821"/>
        </w:numPr>
      </w:pPr>
      <w:r>
        <w:t xml:space="preserve">4. Seasonal High Water Table Determinations. For the purpose of determining the seasonal high water table, detailed soil morphological data to a depth of four feet shall be prepared and submitted by a professional soil scientist recognized by the Soil Science Society, Southern New England Chapter, or ARCPAC certified, professional soil scientist or licensed Class IV Soil Evaluator.</w:t>
      </w:r>
    </w:p>
    <w:p>
      <w:pPr>
        <w:numPr>
          <w:ilvl w:val="0"/>
          <w:numId w:val="1822"/>
        </w:numPr>
      </w:pPr>
      <w:r>
        <w:t xml:space="preserve">5. Operation and Maintenance. All installations of Advanced OWTS Treatment technologies, or any other OWTS with mechanical components, shall include a continuous Operation and Maintenance (O &amp; M) agreement with the property owner that shall be duly recorded in Land Evidence Records.</w:t>
      </w:r>
    </w:p>
    <w:p>
      <w:pPr>
        <w:pStyle w:val="Compact"/>
        <w:numPr>
          <w:ilvl w:val="0"/>
          <w:numId w:val="1823"/>
        </w:numPr>
      </w:pPr>
    </w:p>
    <w:p>
      <w:pPr>
        <w:numPr>
          <w:ilvl w:val="1"/>
          <w:numId w:val="1824"/>
        </w:numPr>
      </w:pPr>
      <w:r>
        <w:t xml:space="preserve">B. Minimum Requirements for Storm Water Management. 1) Total impervious cover shall be reduced to the maximum extent practicable using Low Impact Development (LID) methods as specified in the RI Storm water Design and Installation Standards Manual and supporting guidance documents (as amended), and shall not exceed the maximum allowed within a given district. Elevated structures with roofs allowing for groundwater infiltration that are less than 120 square feet in size are exempt when calculating this percentage. Impervious cover shall be calculated based on the area of the parcel suitable for development, excluding wetlands, hydric soils, high flood zone, and other lands identified as unsuitable for development. The use of permeable pavements is encouraged where the risk of groundwater contamination is low. 6-8 2) Storm water control measures shall be designed to ensure that no net increase between pre and post development site conditions in volume or rate of storm water runoff for a 25 year frequency rainfall occurs onto adjacent properties or roadways from the proposed individual residential lot.</w:t>
      </w:r>
    </w:p>
    <w:p>
      <w:pPr>
        <w:pStyle w:val="Compact"/>
        <w:numPr>
          <w:ilvl w:val="0"/>
          <w:numId w:val="1825"/>
        </w:numPr>
      </w:pPr>
    </w:p>
    <w:p>
      <w:pPr>
        <w:numPr>
          <w:ilvl w:val="1"/>
          <w:numId w:val="1826"/>
        </w:numPr>
      </w:pPr>
      <w:r>
        <w:t xml:space="preserve">C. Storm water Management Plan. A detailed storm water management plan shall be submitted to the Town that includes a drainage plan and drainage calculations prepared by a Rhode Island Registered Professional Engineer. Proposed grading shall maintain existing natural drainage patterns to the degree feasible. Use of small scale “low impact development” storm water controls designed to disperse, store, filter and infiltrate storm water runoff at points close to where runoff is generated, with minimal site alteration and filing shall be required.</w:t>
      </w:r>
    </w:p>
    <w:p>
      <w:pPr>
        <w:pStyle w:val="Compact"/>
        <w:numPr>
          <w:ilvl w:val="0"/>
          <w:numId w:val="1827"/>
        </w:numPr>
      </w:pPr>
    </w:p>
    <w:p>
      <w:pPr>
        <w:numPr>
          <w:ilvl w:val="1"/>
          <w:numId w:val="1828"/>
        </w:numPr>
      </w:pPr>
      <w:r>
        <w:t xml:space="preserve">D. Storm Water Controls and OWTS Location. Storm water runoff shall be diverted from any OWTS. Also, there shall be a minimum fifteen foot horizontal separation distance between any OWTS drain field and the edge of any storm water infiltration system, or as otherwise required by the RI Stormwater Design and Installation Standards Manual and supporting guidance documents as amended.</w:t>
      </w:r>
    </w:p>
    <w:p>
      <w:pPr>
        <w:pStyle w:val="Compact"/>
        <w:numPr>
          <w:ilvl w:val="0"/>
          <w:numId w:val="1829"/>
        </w:numPr>
      </w:pPr>
    </w:p>
    <w:p>
      <w:pPr>
        <w:numPr>
          <w:ilvl w:val="1"/>
          <w:numId w:val="1830"/>
        </w:numPr>
      </w:pPr>
      <w:r>
        <w:t xml:space="preserve">E. Required Information. A development plan shall be filed with the Building Official’s Office and the Planning Department to show the following information:</w:t>
      </w:r>
    </w:p>
    <w:p>
      <w:pPr>
        <w:numPr>
          <w:ilvl w:val="0"/>
          <w:numId w:val="1831"/>
        </w:numPr>
      </w:pPr>
      <w:r>
        <w:t xml:space="preserve">1. Property boundary lines with area and dimensions of property to be developed;</w:t>
      </w:r>
    </w:p>
    <w:p>
      <w:pPr>
        <w:numPr>
          <w:ilvl w:val="0"/>
          <w:numId w:val="1832"/>
        </w:numPr>
      </w:pPr>
      <w:r>
        <w:t xml:space="preserve">2. Vicinity plan showing adjacent or nearby properties, uses, OWTS, wells, wetlands, streams, or surface water reservoirs within a 500 foot radius;</w:t>
      </w:r>
    </w:p>
    <w:p>
      <w:pPr>
        <w:numPr>
          <w:ilvl w:val="0"/>
          <w:numId w:val="1833"/>
        </w:numPr>
      </w:pPr>
      <w:r>
        <w:t xml:space="preserve">3. Topographic map of property showing existing and proposed two foot contours;</w:t>
      </w:r>
    </w:p>
    <w:p>
      <w:pPr>
        <w:numPr>
          <w:ilvl w:val="0"/>
          <w:numId w:val="1834"/>
        </w:numPr>
      </w:pPr>
      <w:r>
        <w:t xml:space="preserve">4. Site specific soils map of property prepared by a professional soil scientist recognized by the Soil Science Society, Southern New England Chapter, or ARCPAC certified.</w:t>
      </w:r>
    </w:p>
    <w:p>
      <w:pPr>
        <w:numPr>
          <w:ilvl w:val="0"/>
          <w:numId w:val="1835"/>
        </w:numPr>
      </w:pPr>
      <w:r>
        <w:t xml:space="preserve">5. Storm water management plan;</w:t>
      </w:r>
    </w:p>
    <w:p>
      <w:pPr>
        <w:numPr>
          <w:ilvl w:val="0"/>
          <w:numId w:val="1836"/>
        </w:numPr>
      </w:pPr>
      <w:r>
        <w:t xml:space="preserve">6. Soil erosion and sediment control plan, and;</w:t>
      </w:r>
    </w:p>
    <w:p>
      <w:pPr>
        <w:numPr>
          <w:ilvl w:val="0"/>
          <w:numId w:val="1837"/>
        </w:numPr>
      </w:pPr>
      <w:r>
        <w:t xml:space="preserve">7. Wetlands delineation map as field verified by DEM for new OWTS construction or alteration.</w:t>
      </w:r>
    </w:p>
    <w:p>
      <w:pPr>
        <w:numPr>
          <w:ilvl w:val="0"/>
          <w:numId w:val="1838"/>
        </w:numPr>
      </w:pPr>
      <w:r>
        <w:t xml:space="preserve">8. A plan for re-vegetation of the buffer following constructing using native shrubs and trees for maximum water quality protection benefit and habitat value.</w:t>
      </w:r>
    </w:p>
    <w:p>
      <w:pPr>
        <w:numPr>
          <w:ilvl w:val="0"/>
          <w:numId w:val="1839"/>
        </w:numPr>
      </w:pPr>
      <w:r>
        <w:t xml:space="preserve">6.12.3. Structure and Impervious Surface setback. 6-9 (1) Except as provided in subsections (2)-(7) of this section, no part of a residential, commercial or industrial structure (including accessory structures such as garages or sheds) or impervious surface shall be located within 100 feet of Freshwater Wetlands as defined in the “The Rules” and in “Definitions”, Section 20 of this Zoning Ordinance. This section shall not be interpreted to require a 100-foot set back from a riverbank wetland or land within fifty feet 50’ of wetlands (perimeter wetlands) or area(s) subject to storm flowage as defined in the Freshwater Wetlands Act.</w:t>
      </w:r>
    </w:p>
    <w:p>
      <w:pPr>
        <w:pStyle w:val="Compact"/>
        <w:numPr>
          <w:ilvl w:val="0"/>
          <w:numId w:val="1840"/>
        </w:numPr>
      </w:pPr>
    </w:p>
    <w:p>
      <w:pPr>
        <w:numPr>
          <w:ilvl w:val="1"/>
          <w:numId w:val="1841"/>
        </w:numPr>
      </w:pPr>
      <w:r>
        <w:t xml:space="preserve">(2) Subsection (1) of this section shall not apply to the location of such a structure which received final approval from the Planning Board prior to the adoption of this section.</w:t>
      </w:r>
    </w:p>
    <w:p>
      <w:pPr>
        <w:pStyle w:val="Compact"/>
        <w:numPr>
          <w:ilvl w:val="0"/>
          <w:numId w:val="1842"/>
        </w:numPr>
      </w:pPr>
    </w:p>
    <w:p>
      <w:pPr>
        <w:numPr>
          <w:ilvl w:val="1"/>
          <w:numId w:val="1843"/>
        </w:numPr>
      </w:pPr>
      <w:r>
        <w:t xml:space="preserve">(3) Subsection (1) of this section shall not apply to: 1) areas where the wetland buffer area is already substantially developed and retains none of the natural features necessary to support native flora or fauna and where the volume of storm water runoff has been maintained at predevelopment levels, or restored to the extent possible.</w:t>
      </w:r>
    </w:p>
    <w:p>
      <w:pPr>
        <w:pStyle w:val="Compact"/>
        <w:numPr>
          <w:ilvl w:val="0"/>
          <w:numId w:val="1844"/>
        </w:numPr>
      </w:pPr>
    </w:p>
    <w:p>
      <w:pPr>
        <w:numPr>
          <w:ilvl w:val="1"/>
          <w:numId w:val="1845"/>
        </w:numPr>
      </w:pPr>
      <w:r>
        <w:t xml:space="preserve">(4) Subsection (1) of this section shall not apply to the location of elevated structures with roofs allowing for groundwater infiltration that are less than 120 square feet in size.</w:t>
      </w:r>
    </w:p>
    <w:p>
      <w:pPr>
        <w:pStyle w:val="Compact"/>
        <w:numPr>
          <w:ilvl w:val="0"/>
          <w:numId w:val="1846"/>
        </w:numPr>
      </w:pPr>
    </w:p>
    <w:p>
      <w:pPr>
        <w:numPr>
          <w:ilvl w:val="1"/>
          <w:numId w:val="1847"/>
        </w:numPr>
      </w:pPr>
      <w:r>
        <w:t xml:space="preserve">(5) Subsection (1) of this section shall not apply to the following accessory structures to existing households: Decks, porches, gazebos, patios, above-ground swimming pools, in-ground swimming pools, fences, signs, and permitted accessory residential and/or non-residential structures under two hundred (200) square feet</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jc w:val="left"/>
            </w:pPr>
            <w:r>
              <w:t xml:space="preserve">(6)</w:t>
            </w:r>
          </w:p>
        </w:tc>
        <w:tc>
          <w:tcPr/>
          <w:p>
            <w:pPr>
              <w:pStyle w:val="Compact"/>
              <w:jc w:val="left"/>
            </w:pPr>
            <w:r>
              <w:t xml:space="preserve">Any</w:t>
            </w:r>
          </w:p>
        </w:tc>
        <w:tc>
          <w:tcPr/>
          <w:p>
            <w:pPr>
              <w:pStyle w:val="Compact"/>
              <w:jc w:val="left"/>
            </w:pPr>
            <w:r>
              <w:t xml:space="preserve">proposed construction which is no closer to the wetland than the</w:t>
            </w:r>
          </w:p>
        </w:tc>
        <w:tc>
          <w:tcPr/>
          <w:p>
            <w:pPr>
              <w:pStyle w:val="Compact"/>
              <w:jc w:val="left"/>
            </w:pPr>
            <w:r>
              <w:t xml:space="preserve">existing</w:t>
            </w:r>
          </w:p>
        </w:tc>
        <w:tc>
          <w:tcPr/>
          <w:p>
            <w:pPr>
              <w:pStyle w:val="Compact"/>
              <w:jc w:val="left"/>
            </w:pPr>
            <w:r>
              <w:t xml:space="preserve">construction</w:t>
            </w:r>
          </w:p>
        </w:tc>
      </w:tr>
      <w:tr>
        <w:tc>
          <w:tcPr/>
          <w:p>
            <w:pPr>
              <w:pStyle w:val="Compact"/>
            </w:pPr>
          </w:p>
        </w:tc>
        <w:tc>
          <w:tcPr/>
          <w:p>
            <w:pPr>
              <w:pStyle w:val="Compact"/>
              <w:jc w:val="left"/>
            </w:pPr>
            <w:r>
              <w:t xml:space="preserve">on</w:t>
            </w:r>
          </w:p>
        </w:tc>
        <w:tc>
          <w:tcPr/>
          <w:p>
            <w:pPr>
              <w:pStyle w:val="Compact"/>
              <w:jc w:val="left"/>
            </w:pPr>
            <w:r>
              <w:t xml:space="preserve">the lot in question may be exempted from the one-hundred-foot</w:t>
            </w:r>
          </w:p>
        </w:tc>
        <w:tc>
          <w:tcPr/>
          <w:p>
            <w:pPr>
              <w:pStyle w:val="Compact"/>
              <w:jc w:val="left"/>
            </w:pPr>
            <w:r>
              <w:t xml:space="preserve">setback</w:t>
            </w:r>
          </w:p>
        </w:tc>
        <w:tc>
          <w:tcPr/>
          <w:p>
            <w:pPr>
              <w:pStyle w:val="Compact"/>
              <w:jc w:val="left"/>
            </w:pPr>
            <w:r>
              <w:t xml:space="preserve">requirement if</w:t>
            </w:r>
          </w:p>
        </w:tc>
      </w:tr>
      <w:tr>
        <w:tc>
          <w:tcPr/>
          <w:p>
            <w:pPr>
              <w:pStyle w:val="Compact"/>
            </w:pPr>
          </w:p>
        </w:tc>
        <w:tc>
          <w:tcPr/>
          <w:p>
            <w:pPr>
              <w:pStyle w:val="Compact"/>
              <w:jc w:val="left"/>
            </w:pPr>
            <w:r>
              <w:t xml:space="preserve">the</w:t>
            </w:r>
          </w:p>
        </w:tc>
        <w:tc>
          <w:tcPr/>
          <w:p>
            <w:pPr>
              <w:pStyle w:val="Compact"/>
              <w:jc w:val="left"/>
            </w:pPr>
            <w:r>
              <w:t xml:space="preserve">Zoning Board of Review determines that there is no potential for</w:t>
            </w:r>
          </w:p>
        </w:tc>
        <w:tc>
          <w:tcPr/>
          <w:p>
            <w:pPr>
              <w:pStyle w:val="Compact"/>
              <w:jc w:val="left"/>
            </w:pPr>
            <w:r>
              <w:t xml:space="preserve">significant</w:t>
            </w:r>
          </w:p>
        </w:tc>
        <w:tc>
          <w:tcPr/>
          <w:p>
            <w:pPr>
              <w:pStyle w:val="Compact"/>
            </w:pPr>
          </w:p>
        </w:tc>
      </w:tr>
      <w:tr>
        <w:tc>
          <w:tcPr/>
          <w:p>
            <w:pPr>
              <w:pStyle w:val="Compact"/>
            </w:pPr>
          </w:p>
        </w:tc>
        <w:tc>
          <w:tcPr/>
          <w:p>
            <w:pPr>
              <w:pStyle w:val="Compact"/>
            </w:pPr>
          </w:p>
        </w:tc>
        <w:tc>
          <w:tcPr/>
          <w:p>
            <w:pPr>
              <w:pStyle w:val="Compact"/>
              <w:jc w:val="left"/>
            </w:pPr>
            <w:r>
              <w:t xml:space="preserve">environmental impact, taking into full consideration the report of the</w:t>
            </w:r>
          </w:p>
        </w:tc>
        <w:tc>
          <w:tcPr/>
          <w:p>
            <w:pPr>
              <w:pStyle w:val="Compact"/>
            </w:pPr>
          </w:p>
        </w:tc>
        <w:tc>
          <w:tcPr/>
          <w:p>
            <w:pPr>
              <w:pStyle w:val="Compact"/>
              <w:jc w:val="left"/>
            </w:pPr>
            <w:r>
              <w:t xml:space="preserve">Conservation</w:t>
            </w:r>
          </w:p>
        </w:tc>
      </w:tr>
      <w:tr>
        <w:tc>
          <w:tcPr/>
          <w:p>
            <w:pPr>
              <w:pStyle w:val="Compact"/>
            </w:pPr>
          </w:p>
        </w:tc>
        <w:tc>
          <w:tcPr/>
          <w:p>
            <w:pPr>
              <w:pStyle w:val="Compact"/>
            </w:pPr>
          </w:p>
        </w:tc>
        <w:tc>
          <w:tcPr/>
          <w:p>
            <w:pPr>
              <w:pStyle w:val="Compact"/>
              <w:jc w:val="left"/>
            </w:pPr>
            <w:r>
              <w:t xml:space="preserve">Commission. Development standards for review include the following:</w:t>
            </w:r>
          </w:p>
        </w:tc>
        <w:tc>
          <w:tcPr/>
          <w:p>
            <w:pPr>
              <w:pStyle w:val="Compact"/>
            </w:pPr>
          </w:p>
        </w:tc>
        <w:tc>
          <w:tcPr/>
          <w:p>
            <w:pPr>
              <w:pStyle w:val="Compact"/>
            </w:pPr>
          </w:p>
        </w:tc>
      </w:tr>
      <w:tr>
        <w:tc>
          <w:tcPr/>
          <w:p>
            <w:pPr>
              <w:pStyle w:val="Compact"/>
            </w:pPr>
          </w:p>
        </w:tc>
        <w:tc>
          <w:tcPr/>
          <w:p>
            <w:pPr>
              <w:pStyle w:val="Compact"/>
              <w:jc w:val="left"/>
            </w:pPr>
            <w:r>
              <w:t xml:space="preserve">1.</w:t>
            </w:r>
          </w:p>
        </w:tc>
        <w:tc>
          <w:tcPr/>
          <w:p>
            <w:pPr>
              <w:pStyle w:val="Compact"/>
              <w:jc w:val="left"/>
            </w:pPr>
            <w:r>
              <w:t xml:space="preserve">The proposed project will not obstruct floodways in any detrimental</w:t>
            </w:r>
          </w:p>
        </w:tc>
        <w:tc>
          <w:tcPr/>
          <w:p>
            <w:pPr>
              <w:pStyle w:val="Compact"/>
              <w:jc w:val="left"/>
            </w:pPr>
            <w:r>
              <w:t xml:space="preserve">way,</w:t>
            </w:r>
          </w:p>
        </w:tc>
        <w:tc>
          <w:tcPr/>
          <w:p>
            <w:pPr>
              <w:pStyle w:val="Compact"/>
              <w:jc w:val="left"/>
            </w:pPr>
            <w:r>
              <w:t xml:space="preserve">or reduce the</w:t>
            </w:r>
          </w:p>
        </w:tc>
      </w:tr>
      <w:tr>
        <w:tc>
          <w:tcPr/>
          <w:p>
            <w:pPr>
              <w:pStyle w:val="Compact"/>
            </w:pPr>
          </w:p>
        </w:tc>
        <w:tc>
          <w:tcPr/>
          <w:p>
            <w:pPr>
              <w:pStyle w:val="Compact"/>
            </w:pPr>
          </w:p>
        </w:tc>
        <w:tc>
          <w:tcPr/>
          <w:p>
            <w:pPr>
              <w:pStyle w:val="Compact"/>
              <w:jc w:val="left"/>
            </w:pPr>
            <w:r>
              <w:t xml:space="preserve">net capacity of the site and adjoining properties to retain floodwaters.</w:t>
            </w:r>
          </w:p>
        </w:tc>
        <w:tc>
          <w:tcPr/>
          <w:p>
            <w:pPr>
              <w:pStyle w:val="Compact"/>
            </w:pPr>
          </w:p>
        </w:tc>
        <w:tc>
          <w:tcPr/>
          <w:p>
            <w:pPr>
              <w:pStyle w:val="Compact"/>
            </w:pPr>
          </w:p>
        </w:tc>
      </w:tr>
      <w:tr>
        <w:tc>
          <w:tcPr/>
          <w:p>
            <w:pPr>
              <w:pStyle w:val="Compact"/>
            </w:pPr>
          </w:p>
        </w:tc>
        <w:tc>
          <w:tcPr/>
          <w:p>
            <w:pPr>
              <w:pStyle w:val="Compact"/>
              <w:jc w:val="left"/>
            </w:pPr>
            <w:r>
              <w:t xml:space="preserve">2.</w:t>
            </w:r>
          </w:p>
        </w:tc>
        <w:tc>
          <w:tcPr/>
          <w:p>
            <w:pPr>
              <w:pStyle w:val="Compact"/>
              <w:jc w:val="left"/>
            </w:pPr>
            <w:r>
              <w:t xml:space="preserve">The proposed project will not cause any sedimentation of wetlands,</w:t>
            </w:r>
          </w:p>
        </w:tc>
        <w:tc>
          <w:tcPr/>
          <w:p>
            <w:pPr>
              <w:pStyle w:val="Compact"/>
              <w:jc w:val="left"/>
            </w:pPr>
            <w:r>
              <w:t xml:space="preserve">and</w:t>
            </w:r>
          </w:p>
        </w:tc>
        <w:tc>
          <w:tcPr/>
          <w:p>
            <w:pPr>
              <w:pStyle w:val="Compact"/>
              <w:jc w:val="left"/>
            </w:pPr>
            <w:r>
              <w:t xml:space="preserve">will include all</w:t>
            </w:r>
          </w:p>
        </w:tc>
      </w:tr>
      <w:tr>
        <w:tc>
          <w:tcPr/>
          <w:p>
            <w:pPr>
              <w:pStyle w:val="Compact"/>
            </w:pPr>
          </w:p>
        </w:tc>
        <w:tc>
          <w:tcPr/>
          <w:p>
            <w:pPr>
              <w:pStyle w:val="Compact"/>
            </w:pPr>
          </w:p>
        </w:tc>
        <w:tc>
          <w:tcPr/>
          <w:p>
            <w:pPr>
              <w:pStyle w:val="Compact"/>
              <w:jc w:val="left"/>
            </w:pPr>
            <w:r>
              <w:t xml:space="preserve">necessary and appropriate erosion and sediment control measures.</w:t>
            </w:r>
          </w:p>
        </w:tc>
        <w:tc>
          <w:tcPr/>
          <w:p>
            <w:pPr>
              <w:pStyle w:val="Compact"/>
            </w:pPr>
          </w:p>
        </w:tc>
        <w:tc>
          <w:tcPr/>
          <w:p>
            <w:pPr>
              <w:pStyle w:val="Compact"/>
            </w:pPr>
          </w:p>
        </w:tc>
      </w:tr>
      <w:tr>
        <w:tc>
          <w:tcPr/>
          <w:p>
            <w:pPr>
              <w:pStyle w:val="Compact"/>
            </w:pPr>
          </w:p>
        </w:tc>
        <w:tc>
          <w:tcPr/>
          <w:p>
            <w:pPr>
              <w:pStyle w:val="Compact"/>
              <w:jc w:val="left"/>
            </w:pPr>
            <w:r>
              <w:t xml:space="preserve">3.</w:t>
            </w:r>
          </w:p>
        </w:tc>
        <w:tc>
          <w:tcPr/>
          <w:p>
            <w:pPr>
              <w:pStyle w:val="Compact"/>
              <w:jc w:val="left"/>
            </w:pPr>
            <w:r>
              <w:t xml:space="preserve">The proposed project will not reduce the capacity of any wetland</w:t>
            </w:r>
          </w:p>
        </w:tc>
        <w:tc>
          <w:tcPr/>
          <w:p>
            <w:pPr>
              <w:pStyle w:val="Compact"/>
              <w:jc w:val="left"/>
            </w:pPr>
            <w:r>
              <w:t xml:space="preserve">to absorb</w:t>
            </w:r>
          </w:p>
        </w:tc>
        <w:tc>
          <w:tcPr/>
          <w:p>
            <w:pPr>
              <w:pStyle w:val="Compact"/>
              <w:jc w:val="left"/>
            </w:pPr>
            <w:r>
              <w:t xml:space="preserve">pollutants.</w:t>
            </w:r>
          </w:p>
        </w:tc>
      </w:tr>
      <w:tr>
        <w:tc>
          <w:tcPr/>
          <w:p>
            <w:pPr>
              <w:pStyle w:val="Compact"/>
            </w:pPr>
          </w:p>
        </w:tc>
        <w:tc>
          <w:tcPr/>
          <w:p>
            <w:pPr>
              <w:pStyle w:val="Compact"/>
              <w:jc w:val="left"/>
            </w:pPr>
            <w:r>
              <w:t xml:space="preserve">4.</w:t>
            </w:r>
          </w:p>
        </w:tc>
        <w:tc>
          <w:tcPr/>
          <w:p>
            <w:pPr>
              <w:pStyle w:val="Compact"/>
              <w:jc w:val="left"/>
            </w:pPr>
            <w:r>
              <w:t xml:space="preserve">The proposed project will not directly or indirectly degrade the</w:t>
            </w:r>
          </w:p>
        </w:tc>
        <w:tc>
          <w:tcPr/>
          <w:p>
            <w:pPr>
              <w:pStyle w:val="Compact"/>
              <w:jc w:val="left"/>
            </w:pPr>
            <w:r>
              <w:t xml:space="preserve">water</w:t>
            </w:r>
          </w:p>
        </w:tc>
        <w:tc>
          <w:tcPr/>
          <w:p>
            <w:pPr>
              <w:pStyle w:val="Compact"/>
              <w:jc w:val="left"/>
            </w:pPr>
            <w:r>
              <w:t xml:space="preserve">quality in any</w:t>
            </w:r>
          </w:p>
        </w:tc>
      </w:tr>
      <w:tr>
        <w:tc>
          <w:tcPr/>
          <w:p>
            <w:pPr>
              <w:pStyle w:val="Compact"/>
            </w:pPr>
          </w:p>
        </w:tc>
        <w:tc>
          <w:tcPr/>
          <w:p>
            <w:pPr>
              <w:pStyle w:val="Compact"/>
            </w:pPr>
          </w:p>
        </w:tc>
        <w:tc>
          <w:tcPr/>
          <w:p>
            <w:pPr>
              <w:pStyle w:val="Compact"/>
              <w:jc w:val="left"/>
            </w:pPr>
            <w:r>
              <w:t xml:space="preserve">wetland or water body.</w:t>
            </w:r>
          </w:p>
        </w:tc>
        <w:tc>
          <w:tcPr/>
          <w:p>
            <w:pPr>
              <w:pStyle w:val="Compact"/>
            </w:pPr>
          </w:p>
        </w:tc>
        <w:tc>
          <w:tcPr/>
          <w:p>
            <w:pPr>
              <w:pStyle w:val="Compact"/>
            </w:pPr>
          </w:p>
        </w:tc>
      </w:tr>
      <w:tr>
        <w:tc>
          <w:tcPr/>
          <w:p>
            <w:pPr>
              <w:pStyle w:val="Compact"/>
            </w:pPr>
          </w:p>
        </w:tc>
        <w:tc>
          <w:tcPr/>
          <w:p>
            <w:pPr>
              <w:pStyle w:val="Compact"/>
              <w:jc w:val="left"/>
            </w:pPr>
            <w:r>
              <w:t xml:space="preserve">5.</w:t>
            </w:r>
          </w:p>
        </w:tc>
        <w:tc>
          <w:tcPr/>
          <w:p>
            <w:pPr>
              <w:pStyle w:val="Compact"/>
              <w:jc w:val="left"/>
            </w:pPr>
            <w:r>
              <w:t xml:space="preserve">The proposed project will not reduce the capacity of any wetland</w:t>
            </w:r>
          </w:p>
        </w:tc>
        <w:tc>
          <w:tcPr/>
          <w:p>
            <w:pPr>
              <w:pStyle w:val="Compact"/>
              <w:jc w:val="left"/>
            </w:pPr>
            <w:r>
              <w:t xml:space="preserve">to</w:t>
            </w:r>
          </w:p>
        </w:tc>
        <w:tc>
          <w:tcPr/>
          <w:p>
            <w:pPr>
              <w:pStyle w:val="Compact"/>
              <w:jc w:val="left"/>
            </w:pPr>
            <w:r>
              <w:t xml:space="preserve">recharge</w:t>
            </w:r>
          </w:p>
        </w:tc>
      </w:tr>
      <w:tr>
        <w:tc>
          <w:tcPr/>
          <w:p>
            <w:pPr>
              <w:pStyle w:val="Compact"/>
            </w:pPr>
          </w:p>
        </w:tc>
        <w:tc>
          <w:tcPr/>
          <w:p>
            <w:pPr>
              <w:pStyle w:val="Compact"/>
            </w:pPr>
          </w:p>
        </w:tc>
        <w:tc>
          <w:tcPr/>
          <w:p>
            <w:pPr>
              <w:pStyle w:val="Compact"/>
              <w:jc w:val="left"/>
            </w:pPr>
            <w:r>
              <w:t xml:space="preserve">groundwater.</w:t>
            </w:r>
          </w:p>
        </w:tc>
        <w:tc>
          <w:tcPr/>
          <w:p>
            <w:pPr>
              <w:pStyle w:val="Compact"/>
            </w:pPr>
          </w:p>
        </w:tc>
        <w:tc>
          <w:tcPr/>
          <w:p>
            <w:pPr>
              <w:pStyle w:val="Compact"/>
            </w:pPr>
          </w:p>
        </w:tc>
      </w:tr>
    </w:tbl>
    <w:p>
      <w:pPr>
        <w:pStyle w:val="BodyText"/>
      </w:pPr>
      <w:r>
        <w:t xml:space="preserve">6-10</w:t>
      </w:r>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6.</w:t>
            </w:r>
          </w:p>
        </w:tc>
        <w:tc>
          <w:tcPr/>
          <w:p>
            <w:pPr>
              <w:pStyle w:val="Compact"/>
              <w:jc w:val="left"/>
            </w:pPr>
            <w:r>
              <w:t xml:space="preserve">The proposed project will not degrade the value of any wetland as a spawning ground or</w:t>
            </w:r>
          </w:p>
        </w:tc>
      </w:tr>
      <w:tr>
        <w:tc>
          <w:tcPr/>
          <w:p>
            <w:pPr>
              <w:pStyle w:val="Compact"/>
            </w:pPr>
          </w:p>
        </w:tc>
        <w:tc>
          <w:tcPr/>
          <w:p>
            <w:pPr>
              <w:pStyle w:val="Compact"/>
            </w:pPr>
          </w:p>
        </w:tc>
        <w:tc>
          <w:tcPr/>
          <w:p>
            <w:pPr>
              <w:pStyle w:val="Compact"/>
              <w:jc w:val="left"/>
            </w:pPr>
            <w:r>
              <w:t xml:space="preserve">nursery for fish and shellfish or habitat for wildlife or wildfowl.</w:t>
            </w:r>
          </w:p>
        </w:tc>
      </w:tr>
      <w:tr>
        <w:tc>
          <w:tcPr/>
          <w:p>
            <w:pPr>
              <w:pStyle w:val="Compact"/>
              <w:jc w:val="left"/>
            </w:pPr>
            <w:r>
              <w:t xml:space="preserve">(7)</w:t>
            </w:r>
          </w:p>
        </w:tc>
        <w:tc>
          <w:tcPr/>
          <w:p>
            <w:pPr>
              <w:pStyle w:val="Compact"/>
              <w:jc w:val="left"/>
            </w:pPr>
            <w:r>
              <w:t xml:space="preserve">This</w:t>
            </w:r>
          </w:p>
        </w:tc>
        <w:tc>
          <w:tcPr/>
          <w:p>
            <w:pPr>
              <w:pStyle w:val="Compact"/>
              <w:jc w:val="left"/>
            </w:pPr>
            <w:r>
              <w:t xml:space="preserve">section is exempt in the following districts due to economic impact: RS20, MU1, and</w:t>
            </w:r>
          </w:p>
        </w:tc>
      </w:tr>
      <w:tr>
        <w:tc>
          <w:tcPr/>
          <w:p>
            <w:pPr>
              <w:pStyle w:val="Compact"/>
            </w:pPr>
          </w:p>
        </w:tc>
        <w:tc>
          <w:tcPr/>
          <w:p>
            <w:pPr>
              <w:pStyle w:val="Compact"/>
              <w:jc w:val="left"/>
            </w:pPr>
            <w:r>
              <w:t xml:space="preserve">MU2.</w:t>
            </w:r>
          </w:p>
        </w:tc>
        <w:tc>
          <w:tcPr/>
          <w:p>
            <w:pPr>
              <w:pStyle w:val="Compact"/>
              <w:jc w:val="left"/>
            </w:pPr>
            <w:r>
              <w:t xml:space="preserve">In addition, all nonconforming RS40 lots that are less than or equal to 20,000 square</w:t>
            </w:r>
          </w:p>
        </w:tc>
      </w:tr>
      <w:tr>
        <w:tc>
          <w:tcPr/>
          <w:p>
            <w:pPr>
              <w:pStyle w:val="Compact"/>
            </w:pPr>
          </w:p>
        </w:tc>
        <w:tc>
          <w:tcPr/>
          <w:p>
            <w:pPr>
              <w:pStyle w:val="Compact"/>
              <w:jc w:val="left"/>
            </w:pPr>
            <w:r>
              <w:t xml:space="preserve">feet</w:t>
            </w:r>
          </w:p>
        </w:tc>
        <w:tc>
          <w:tcPr/>
          <w:p>
            <w:pPr>
              <w:pStyle w:val="Compact"/>
              <w:jc w:val="left"/>
            </w:pPr>
            <w:r>
              <w:t xml:space="preserve">are also exempt until they reach conforming status.</w:t>
            </w:r>
          </w:p>
        </w:tc>
      </w:tr>
    </w:tbl>
    <w:p>
      <w:pPr>
        <w:pStyle w:val="BodyText"/>
      </w:pPr>
      <w:r>
        <w:t xml:space="preserve">6.12.4. Substandard Systems: Cesspools According to RIDEM’s OWTS Regulations, cesspools are not an approved method of sewage disposal and all existing cesspools are considered to be substandard. As such, all cesspools should be brought into conformance with current and local standard within 12 months after the sale or transfer of a property, or by January 1, 2020, whichever date comes first.</w:t>
      </w:r>
    </w:p>
    <w:p>
      <w:pPr>
        <w:pStyle w:val="BodyText"/>
      </w:pPr>
      <w:r>
        <w:t xml:space="preserve">This subsection shall take effect as of (Jan. 1, 2014) unless: either a listing agreement contract with a licensed real estate broker shall have been signed by the owner(s) of the property and the broker prior to (June 1, 2013), in which case any buyer(s) of said property from that owner(s) while the listing agreement contract is in effect shall be exempt from this requirement; or a purchase and sales agreement for the property shall have been signed by the owner(s) of the property and the prospective buyer(s) prior to (June 1, 2013), in which case, the buyer(s) named in such purchase and sales agreement shall be exempt from this requirement.</w:t>
      </w:r>
    </w:p>
    <w:p>
      <w:pPr>
        <w:pStyle w:val="Compact"/>
        <w:numPr>
          <w:ilvl w:val="0"/>
          <w:numId w:val="1848"/>
        </w:numPr>
      </w:pPr>
    </w:p>
    <w:p>
      <w:pPr>
        <w:numPr>
          <w:ilvl w:val="1"/>
          <w:numId w:val="1849"/>
        </w:numPr>
      </w:pPr>
      <w:r>
        <w:t xml:space="preserve">6.12.4.1. Hardship extension. Property owners of a Substandard system may qualify for a hardship extension of up to five years if the Substandard OWTS is not failed, and their household income is less than 80% of the appropriate household size area median income determined by federal Housing and Urban Development standards for the community in which the Substandard system is located. The Public Works Department shall develop an application for hardship extension.</w:t>
      </w:r>
    </w:p>
    <w:p>
      <w:pPr>
        <w:numPr>
          <w:ilvl w:val="0"/>
          <w:numId w:val="1850"/>
        </w:numPr>
      </w:pPr>
      <w:r>
        <w:t xml:space="preserve">6.12.5. Definitions. Wetland, freshwater are defined as in G.L. 1956, 2-1-20 as follows: Marshes; swamps; bogs; ponds; rivers; river and stream floodplains and banks; areas subject to flooding or storm flowage; emergent and sub emergent plant communities in any body of fresh water including rivers and streams and that area of land within 50 feet of the edge of any bog, marsh, swamp, or pond. Category 1 System: Advanced treatment units that are time dosed and have been classified by the RI Department of Environmental Management as meeting effluent standards less than or equal to 20 mg/l for both BOD5 and TSS; and FOG (fats, oil and grease) of less than or equal to 5 mg/l. Example Category 1 systems: textile filter, peat filter, recirculating sand filter, single pass sand filter, trickling filter). Category 2 Systems: Advanced treatment units that are not time dosed and have been classified by the RI Department of Environmental Management to at least meet effluent standards of 30 mg/l for both 6-11 BOD and TSS; and FOG (fats, oil and grease) of less than or equal to 5 mg/l. (Examples: FAST, 5 Singulair, Bioclere, RUCK) Major Repair (of an OWTS): Any work performed on an OWTS, excluding minor repairs, in order to repair or replace a failed system. Minor Repair (of an OWTS): Any work performed on an OWTS involving the repair, replacement or upgrade of the building sewer, septic tank or distribution box and/or the installation of inspection ports and/or effluent filters on septic tanks. Nitrogen Reducing System: An alternative system classified by the Rhode Island Department of Environmental Management as a nitrogen reducing system under RIDEM Innovative or Alternative ISDS Technologies List as amended and which achieves a minimum total nitrogen removal of fifty percent and a reduction to less than or equal to 19mg/l total nitrogen.</w:t>
      </w:r>
    </w:p>
    <w:bookmarkEnd w:id="56"/>
    <w:bookmarkStart w:id="57" w:name="parking-and-storage-of-certain-vehicles"/>
    <w:p>
      <w:pPr>
        <w:pStyle w:val="Heading2"/>
      </w:pPr>
      <w:r>
        <w:t xml:space="preserve">§ 6.13. Parking and Storage of Certain Vehicles</w:t>
      </w:r>
    </w:p>
    <w:p>
      <w:pPr>
        <w:pStyle w:val="FirstParagraph"/>
      </w:pPr>
      <w:r>
        <w:t xml:space="preserve">Sec. 6.13. Parking and Storage of Certain Vehicles.</w:t>
      </w:r>
    </w:p>
    <w:p>
      <w:pPr>
        <w:numPr>
          <w:ilvl w:val="0"/>
          <w:numId w:val="1851"/>
        </w:numPr>
      </w:pPr>
      <w:r>
        <w:t xml:space="preserve">6.13.1. In any residential zoning district, unless licensed as a vehicle-related business no unregistered, unserviceable, discarded, or junked vehicles or trailers of any kind or type, or bodies, engines, tires, parts or accessories thereof, shall be parked stored on any property other than in a completely enclosed building or carport with the following exceptions:</w:t>
      </w:r>
    </w:p>
    <w:p>
      <w:pPr>
        <w:pStyle w:val="Compact"/>
        <w:numPr>
          <w:ilvl w:val="0"/>
          <w:numId w:val="1852"/>
        </w:numPr>
      </w:pPr>
    </w:p>
    <w:p>
      <w:pPr>
        <w:numPr>
          <w:ilvl w:val="1"/>
          <w:numId w:val="1853"/>
        </w:numPr>
      </w:pPr>
      <w:r>
        <w:t xml:space="preserve">(a) Land classified by the Town of North Smithfield Assessor as Farmland under the Rhode Island Farm, Forest and Open Space Act may store unregistered serviceable vehicles, trailers, farm machinery and engines kept for spare parts as long as they are not within a 100-foot setback from the property line.</w:t>
      </w:r>
    </w:p>
    <w:p>
      <w:pPr>
        <w:pStyle w:val="Compact"/>
        <w:numPr>
          <w:ilvl w:val="0"/>
          <w:numId w:val="1854"/>
        </w:numPr>
      </w:pPr>
    </w:p>
    <w:p>
      <w:pPr>
        <w:numPr>
          <w:ilvl w:val="1"/>
          <w:numId w:val="1855"/>
        </w:numPr>
      </w:pPr>
      <w:r>
        <w:t xml:space="preserve">(b) Land classified by the Town of North Smithfield Assessor as Forestland under the Rhode Island Farm, Forest and Open Space Act may store unregistered serviceable vehicles, trailers and machinery as long as they are not within 100-foot setback from the property line. The unregistered serviceable vehicles, trailers and machinery, may be parked temporarily within the 100-foot setback if they are being actively used during the daytime for forestry work.</w:t>
      </w:r>
    </w:p>
    <w:p>
      <w:pPr>
        <w:numPr>
          <w:ilvl w:val="0"/>
          <w:numId w:val="1856"/>
        </w:numPr>
      </w:pPr>
      <w:r>
        <w:t xml:space="preserve">6.13.2. In any residence district, the parking or storage of all commercial vehicles and construction equipment of over five (5) tons gross vehicle weight shall not be permitted except where such parking or storage is directly related to and is accessory to a permitted use or legal non-conforming use on the premises. All commercial vehicles and construction equipment shall be screened as in sub-section 6.15.2.4. The numbers of commercial vehicles limited to each lot are as follows: RV - 1; RS - 1; RU - 1; RA - 2; and, REA - 2. (Ord. of 8/15/16)</w:t>
      </w:r>
    </w:p>
    <w:bookmarkEnd w:id="57"/>
    <w:bookmarkStart w:id="58" w:name="X6b45a6d3c4105f625563ccd19e69638414793e3"/>
    <w:p>
      <w:pPr>
        <w:pStyle w:val="Heading2"/>
      </w:pPr>
      <w:r>
        <w:t xml:space="preserve">§ 6.14. Parking, Storage or Use of Major Recreational Equipment</w:t>
      </w:r>
    </w:p>
    <w:p>
      <w:pPr>
        <w:pStyle w:val="FirstParagraph"/>
      </w:pPr>
      <w:r>
        <w:t xml:space="preserve">Sec. 6.14. Parking, Storage or Use of Major Recreational Equipment.</w:t>
      </w:r>
    </w:p>
    <w:p>
      <w:pPr>
        <w:pStyle w:val="BodyText"/>
      </w:pPr>
      <w:r>
        <w:t xml:space="preserve">6-12 6.14.1 For purposes of these regulations, major recreational equipment is defined as boats and boat trailers, travel trailers, pick-up campers or coaches (designed to be mounted on automobiles), motorized dwellings, tent trailers, and the like, and cases or boxes used for transporting recreational equipment, whether occupied by such equipment or not. The parking and storage of major recreational equipment in a residential district as an accessory use to a permitted residential use, is permitted in enclosed buildings and carports. Open storage of only one of the above is permitted on residential lots provided:</w:t>
      </w:r>
    </w:p>
    <w:p>
      <w:pPr>
        <w:numPr>
          <w:ilvl w:val="0"/>
          <w:numId w:val="1857"/>
        </w:numPr>
      </w:pPr>
      <w:r>
        <w:t xml:space="preserve">(a) That such equipment is in condition for safe and effective performance of the function for which it was intended.</w:t>
      </w:r>
    </w:p>
    <w:p>
      <w:pPr>
        <w:numPr>
          <w:ilvl w:val="0"/>
          <w:numId w:val="1858"/>
        </w:numPr>
      </w:pPr>
      <w:r>
        <w:t xml:space="preserve">(b) No such equipment shall be used for living, sleeping, or housekeeping purposes when parked or stored on a residential lot, or in any location not approved for such use.</w:t>
      </w:r>
    </w:p>
    <w:p>
      <w:pPr>
        <w:numPr>
          <w:ilvl w:val="0"/>
          <w:numId w:val="1859"/>
        </w:numPr>
      </w:pPr>
      <w:r>
        <w:t xml:space="preserve">(c) That it be limited to the side and the rear yards of the residence</w:t>
      </w:r>
    </w:p>
    <w:p>
      <w:pPr>
        <w:numPr>
          <w:ilvl w:val="0"/>
          <w:numId w:val="1000"/>
        </w:numPr>
      </w:pPr>
      <w:r>
        <w:t xml:space="preserve">(d) That it not be stored within (20) feet of a lot line.</w:t>
      </w:r>
    </w:p>
    <w:p>
      <w:pPr>
        <w:numPr>
          <w:ilvl w:val="0"/>
          <w:numId w:val="1860"/>
        </w:numPr>
      </w:pPr>
      <w:r>
        <w:t xml:space="preserve">(e) One (1) recreational vehicle is allowed to be parked on lots 65,000 sq. ft. or less. Two (2) recreational vehicles are allowed on lots greater than 65,000 sq. ft. (Ord. of 8/15/16)</w:t>
      </w:r>
    </w:p>
    <w:bookmarkEnd w:id="58"/>
    <w:bookmarkStart w:id="59" w:name="off-street-parking-requirements"/>
    <w:p>
      <w:pPr>
        <w:pStyle w:val="Heading2"/>
      </w:pPr>
      <w:r>
        <w:t xml:space="preserve">§ 6.15. Off-street Parking Requirements</w:t>
      </w:r>
    </w:p>
    <w:p>
      <w:pPr>
        <w:pStyle w:val="FirstParagraph"/>
      </w:pPr>
      <w:r>
        <w:t xml:space="preserve">Sec. 6.15. Off-street Parking Requirements.</w:t>
      </w:r>
    </w:p>
    <w:p>
      <w:pPr>
        <w:numPr>
          <w:ilvl w:val="0"/>
          <w:numId w:val="1861"/>
        </w:numPr>
      </w:pPr>
      <w:r>
        <w:t xml:space="preserve">6.15.1. Any structure erected or use developed after the date of passage of this ordinance must provide off-street parking in accordance with the following minimum requirements:</w:t>
      </w:r>
    </w:p>
    <w:p>
      <w:pPr>
        <w:numPr>
          <w:ilvl w:val="0"/>
          <w:numId w:val="1862"/>
        </w:numPr>
      </w:pPr>
      <w:r>
        <w:t xml:space="preserve">Dwellings Single-family, two family dwelling - two (2) parking spaces per dwelling unit.</w:t>
      </w:r>
    </w:p>
    <w:p>
      <w:pPr>
        <w:numPr>
          <w:ilvl w:val="0"/>
          <w:numId w:val="1863"/>
        </w:numPr>
      </w:pPr>
      <w:r>
        <w:t xml:space="preserve">Multi-family dwellings: one and one half (1.5) parking spaces per dwelling unit.</w:t>
      </w:r>
    </w:p>
    <w:p>
      <w:pPr>
        <w:numPr>
          <w:ilvl w:val="0"/>
          <w:numId w:val="1864"/>
        </w:numPr>
      </w:pPr>
      <w:r>
        <w:t xml:space="preserve">Multi-family dwellings, elderly and assisted living: one half (0.5) parking space per dwelling unit.</w:t>
      </w:r>
    </w:p>
    <w:p>
      <w:pPr>
        <w:numPr>
          <w:ilvl w:val="0"/>
          <w:numId w:val="1865"/>
        </w:numPr>
      </w:pPr>
      <w:r>
        <w:t xml:space="preserve">Transient Lodging Bed and Breakfast – One (1) parking space per guestroom or suite.</w:t>
      </w:r>
    </w:p>
    <w:p>
      <w:pPr>
        <w:numPr>
          <w:ilvl w:val="0"/>
          <w:numId w:val="1866"/>
        </w:numPr>
      </w:pPr>
      <w:r>
        <w:t xml:space="preserve">Hotels, motels and transient lodging: one (1) parking space per bedroom, one (1) parking space per 1,000 square feet of non-guest room area, plus one (1) parking space per five (5) employees Commercial Uses Retail and service business less than 20,000 square feet: two (2) parking spaces per one thousand (1,000) square feet of use floor area.</w:t>
      </w:r>
    </w:p>
    <w:p>
      <w:pPr>
        <w:numPr>
          <w:ilvl w:val="0"/>
          <w:numId w:val="1867"/>
        </w:numPr>
      </w:pPr>
      <w:r>
        <w:t xml:space="preserve">Retail and service business 20,000 square feet or more: three (3) parking spaces per one thousand (1,000) square feet of use floor area Industrial, corporate offices, research, development, and warehouse uses: two (2) parking spaces per three (3) employees based on largest shift. 6-13 Office uses, including medical and out-patient: three (3) parking spaces per one thousand (1,000) square feet of use floor area.</w:t>
      </w:r>
    </w:p>
    <w:p>
      <w:pPr>
        <w:numPr>
          <w:ilvl w:val="0"/>
          <w:numId w:val="1868"/>
        </w:numPr>
      </w:pPr>
      <w:r>
        <w:t xml:space="preserve">Public Assembly Restaurants, theaters, churches and other places of public assembly – One (1) space per four (4) seats or places available at maximum legal capacity.</w:t>
      </w:r>
    </w:p>
    <w:p>
      <w:pPr>
        <w:numPr>
          <w:ilvl w:val="0"/>
          <w:numId w:val="1869"/>
        </w:numPr>
      </w:pPr>
      <w:r>
        <w:t xml:space="preserve">Institutions Educational institutions: five (5) spaces per pre-school, primary or middle school classroom; one (1) space per 5 high school students; one (1) space per 3 college or adult education students.</w:t>
      </w:r>
    </w:p>
    <w:p>
      <w:pPr>
        <w:numPr>
          <w:ilvl w:val="0"/>
          <w:numId w:val="1870"/>
        </w:numPr>
      </w:pPr>
      <w:r>
        <w:t xml:space="preserve">Hospitals: three (3) parking spaces per one thousand (1,000) square feet of use floor area.</w:t>
      </w:r>
    </w:p>
    <w:p>
      <w:pPr>
        <w:numPr>
          <w:ilvl w:val="0"/>
          <w:numId w:val="1871"/>
        </w:numPr>
      </w:pPr>
      <w:r>
        <w:t xml:space="preserve">Nursing homes: one (1) parking space per three (3) beds.</w:t>
      </w:r>
    </w:p>
    <w:p>
      <w:pPr>
        <w:numPr>
          <w:ilvl w:val="0"/>
          <w:numId w:val="1872"/>
        </w:numPr>
      </w:pPr>
      <w:r>
        <w:t xml:space="preserve">Mixed use:</w:t>
      </w:r>
    </w:p>
    <w:p>
      <w:pPr>
        <w:numPr>
          <w:ilvl w:val="0"/>
          <w:numId w:val="1873"/>
        </w:numPr>
      </w:pPr>
      <w:r>
        <w:t xml:space="preserve">Combined total of all uses Other All other uses, one parking space per 250 square feet of floor area 6.15.2. Plans and specifications for the required parking and its access drives other than single-family or two-family dwellings shall be submitted at the time of application for the zoning certificate for the main use.</w:t>
      </w:r>
    </w:p>
    <w:p>
      <w:pPr>
        <w:pStyle w:val="Compact"/>
        <w:numPr>
          <w:ilvl w:val="0"/>
          <w:numId w:val="1874"/>
        </w:numPr>
      </w:pPr>
    </w:p>
    <w:p>
      <w:pPr>
        <w:numPr>
          <w:ilvl w:val="1"/>
          <w:numId w:val="1875"/>
        </w:numPr>
      </w:pPr>
      <w:r>
        <w:t xml:space="preserve">6.15.2.1. In allocating space for off-street parking, each car space shall have a minimum width of nine (9) feet and a minimum length of eighteen (18) feet and except for attended commercial parking lots, shall be served by suitable aisles listed in the table below to permit access to all car spaces. Aisle widths: 90 degree angle............................................... 24 ft. 60 degree angle............................................... 16 ft. 45 degree angle............................................... 12 ft. 0 degree (parallel parking) .............................. 12 ft.</w:t>
      </w:r>
    </w:p>
    <w:p>
      <w:pPr>
        <w:pStyle w:val="Compact"/>
        <w:numPr>
          <w:ilvl w:val="0"/>
          <w:numId w:val="1876"/>
        </w:numPr>
      </w:pPr>
    </w:p>
    <w:p>
      <w:pPr>
        <w:numPr>
          <w:ilvl w:val="1"/>
          <w:numId w:val="1877"/>
        </w:numPr>
      </w:pPr>
      <w:r>
        <w:t xml:space="preserve">6.15.2.2. All parking areas provided under this section must be constructed on the same lot as the principal use.</w:t>
      </w:r>
    </w:p>
    <w:p>
      <w:pPr>
        <w:pStyle w:val="Compact"/>
        <w:numPr>
          <w:ilvl w:val="0"/>
          <w:numId w:val="1878"/>
        </w:numPr>
      </w:pPr>
    </w:p>
    <w:p>
      <w:pPr>
        <w:numPr>
          <w:ilvl w:val="1"/>
          <w:numId w:val="1879"/>
        </w:numPr>
      </w:pPr>
      <w:r>
        <w:t xml:space="preserve">6.15.2.3. The area shall have a hard surface and shall be provided with bumper guards where needed.</w:t>
      </w:r>
    </w:p>
    <w:p>
      <w:pPr>
        <w:pStyle w:val="Compact"/>
        <w:numPr>
          <w:ilvl w:val="0"/>
          <w:numId w:val="1880"/>
        </w:numPr>
      </w:pPr>
    </w:p>
    <w:p>
      <w:pPr>
        <w:numPr>
          <w:ilvl w:val="1"/>
          <w:numId w:val="1881"/>
        </w:numPr>
      </w:pPr>
      <w:r>
        <w:t xml:space="preserve">6.15.2.4. Where a non-residential parking area adjoins or lies within a residential district, or abuts a property on which a residential use is located, an opaque fence not less than six (6) feet nor more than eight (8) feet in height or a compact evergreen screen not less than four (4) feet in height shall be erected and maintained between such area and the adjoining residential property 6.15.2.5. Lighting fixtures used to illuminate the parking area shall reflect away from adjoining property and away from adjacent traffic arteries 6-14 6.15.2.6. Required off-street parking areas for three (3) or more automobiles shall have individual spaces marked, and shall be so designed, maintained, and regulated, so that no parking or maneuvering incidental to parking shall be on any public street, walk, or alley, and so that any automobile may be parked and unparked without moving another.</w:t>
      </w:r>
    </w:p>
    <w:bookmarkEnd w:id="59"/>
    <w:bookmarkStart w:id="60" w:name="off-street-loading-requirements"/>
    <w:p>
      <w:pPr>
        <w:pStyle w:val="Heading2"/>
      </w:pPr>
      <w:r>
        <w:t xml:space="preserve">§ 6.16. Off-street Loading Requirements</w:t>
      </w:r>
    </w:p>
    <w:p>
      <w:pPr>
        <w:pStyle w:val="FirstParagraph"/>
      </w:pPr>
      <w:r>
        <w:t xml:space="preserve">Sec. 6.16. Off-street Loading Requirements.</w:t>
      </w:r>
    </w:p>
    <w:p>
      <w:pPr>
        <w:pStyle w:val="BodyText"/>
      </w:pPr>
      <w:r>
        <w:t xml:space="preserve">All commercial and industrial structures, erected subsequent to the adoption of this ordinance, shall provide off-street loading facilities. Plans and specifications for such loading facilities shall be submitted to the Zoning Official at the time of application for the zoning certificate for the main use. Where a loading facility is to be located in or abutting a residential district, the restrictions contained in Section 6.15 concerning surfacing, screening and lighting shall apply. Such loading facility shall be sufficient in size to eliminate the projection of vehicles beyond any lot line.</w:t>
      </w:r>
    </w:p>
    <w:bookmarkEnd w:id="60"/>
    <w:bookmarkStart w:id="61" w:name="sign-regulations"/>
    <w:p>
      <w:pPr>
        <w:pStyle w:val="Heading2"/>
      </w:pPr>
      <w:r>
        <w:t xml:space="preserve">§ 6.17. Sign Regulations</w:t>
      </w:r>
    </w:p>
    <w:p>
      <w:pPr>
        <w:pStyle w:val="FirstParagraph"/>
      </w:pPr>
      <w:r>
        <w:t xml:space="preserve">Sec. 6.17. Sign Regulations.</w:t>
      </w:r>
    </w:p>
    <w:p>
      <w:pPr>
        <w:numPr>
          <w:ilvl w:val="0"/>
          <w:numId w:val="1882"/>
        </w:numPr>
      </w:pPr>
      <w:r>
        <w:t xml:space="preserve">6.17.1 Purpose. The purpose of these regulations is to encourage the effective use of signs as a means of communication in the town, provide for the protection of the scenic, historic, cultural and natural character of North Smithfield, maintain and enhance a healthy business environment in commercial and industrial zones, improve pedestrian and traffic safety, minimize the adverse effect of visual clutter on property values, and to enable fair and consistent enforcement of these sign restrictions by regulating only the time, place, size and illumination of such signs, and not in any way regulating the content of such signs.</w:t>
      </w:r>
    </w:p>
    <w:p>
      <w:pPr>
        <w:numPr>
          <w:ilvl w:val="0"/>
          <w:numId w:val="1883"/>
        </w:numPr>
      </w:pPr>
      <w:r>
        <w:t xml:space="preserve">6.17.2. Definitions – Signs Outdoor advertising business- Those persons who provide outdoor advertising to other businesses.</w:t>
      </w:r>
    </w:p>
    <w:tbl>
      <w:tblPr>
        <w:tblStyle w:val="Table"/>
        <w:tblW w:type="auto" w:w="0"/>
        <w:jc w:val="left"/>
        <w:tblLook w:firstRow="1" w:lastRow="0" w:firstColumn="0" w:lastColumn="0" w:noHBand="0" w:noVBand="0" w:val="0020"/>
      </w:tblPr>
      <w:tblGrid>
        <w:gridCol w:w="2640"/>
        <w:gridCol w:w="2640"/>
        <w:gridCol w:w="2640"/>
      </w:tblGrid>
      <w:tr>
        <w:trPr>
          <w:tblHeader w:val="on"/>
        </w:trPr>
        <w:tc>
          <w:tcPr/>
          <w:p>
            <w:pPr>
              <w:pStyle w:val="Compact"/>
              <w:jc w:val="left"/>
            </w:pPr>
            <w:r>
              <w:t xml:space="preserve">Sign,</w:t>
            </w:r>
          </w:p>
        </w:tc>
        <w:tc>
          <w:tcPr/>
          <w:p>
            <w:pPr>
              <w:pStyle w:val="Compact"/>
              <w:jc w:val="left"/>
            </w:pPr>
            <w:r>
              <w:t xml:space="preserve">on-site-</w:t>
            </w:r>
          </w:p>
        </w:tc>
        <w:tc>
          <w:tcPr/>
          <w:p>
            <w:pPr>
              <w:pStyle w:val="Compact"/>
              <w:jc w:val="left"/>
            </w:pPr>
            <w:r>
              <w:t xml:space="preserve">A sign relating</w:t>
            </w:r>
          </w:p>
        </w:tc>
      </w:tr>
      <w:tr>
        <w:tc>
          <w:tcPr/>
          <w:p>
            <w:pPr>
              <w:pStyle w:val="Compact"/>
              <w:jc w:val="left"/>
            </w:pPr>
            <w:r>
              <w:t xml:space="preserve">outdoor Sign,</w:t>
            </w:r>
          </w:p>
        </w:tc>
        <w:tc>
          <w:tcPr/>
          <w:p>
            <w:pPr>
              <w:pStyle w:val="Compact"/>
              <w:jc w:val="left"/>
            </w:pPr>
            <w:r>
              <w:t xml:space="preserve">accommodations, off-site-</w:t>
            </w:r>
          </w:p>
        </w:tc>
        <w:tc>
          <w:tcPr/>
          <w:p>
            <w:pPr>
              <w:pStyle w:val="Compact"/>
              <w:jc w:val="left"/>
            </w:pPr>
            <w:r>
              <w:t xml:space="preserve">services, or advertising industry Any sign or</w:t>
            </w:r>
          </w:p>
        </w:tc>
      </w:tr>
      <w:tr>
        <w:tc>
          <w:tcPr/>
          <w:p>
            <w:pPr>
              <w:pStyle w:val="Compact"/>
              <w:jc w:val="left"/>
            </w:pPr>
            <w:r>
              <w:t xml:space="preserve">located device Sign-</w:t>
            </w:r>
          </w:p>
        </w:tc>
        <w:tc>
          <w:tcPr/>
          <w:p>
            <w:pPr>
              <w:pStyle w:val="Compact"/>
              <w:jc w:val="left"/>
            </w:pPr>
            <w:r>
              <w:t xml:space="preserve">on, or is The term</w:t>
            </w:r>
          </w:p>
        </w:tc>
        <w:tc>
          <w:tcPr/>
          <w:p>
            <w:pPr>
              <w:pStyle w:val="Compact"/>
              <w:jc w:val="left"/>
            </w:pPr>
            <w:r>
              <w:t xml:space="preserve">a product or located. A sign other sign shall mean</w:t>
            </w:r>
          </w:p>
        </w:tc>
      </w:tr>
    </w:tbl>
    <w:p>
      <w:pPr>
        <w:pStyle w:val="BodyText"/>
      </w:pPr>
      <w:r>
        <w:t xml:space="preserve">in its subject matter to the premises on which it is located, or to products, activities on the premises. On-site signs do not include signs erected by the in the conduct of the outdoor advertising business.</w:t>
      </w:r>
    </w:p>
    <w:p>
      <w:pPr>
        <w:pStyle w:val="BodyText"/>
      </w:pPr>
      <w:r>
        <w:t xml:space="preserve">advertising device, including a billboard which advertises a use or activity not service not sold, manufactured or conducted on the lot upon which the sign or than an on-site sign. any permanent or temporary device, reproduction, material or structure which is: freestanding, attached to a building or structure or erected, painted, represented or reproduced inside or outside any building, structure or natural object, including window display area, which displays, reproduces or includes any lettered or pictorial matter; which is used to identify the premises , occupant or owner of the premises; to advertise any trade, business, profession, industry, service or other activity; to advertise any product or item; to advertise the sale, rental or use of all or part of any premises or item, including that upon which it is displayed; to direct vehicular or pedestrian traffic other than 6-15 public highway markers; and shall also include any announcement, demonstration, display, illustration, logo or insignia used to advertise or promote the interests of any persons or business when the same is placed in order to attract the general public. In no event shall the word "sign" be construed to mean any sign in the interior of any structure, not visible from the outside, unless specifically set forth in this Ordinance. Excluded from this definition also are pavement markings or driveway directional arrows painted on the ground, which contain no advertising. Outdoor advertising-The use of outdoor signs to promote or advertise goods or services to the public. Shopping Center- A group (two or more) of commercial establishments, planned, developed, owned, and/or managed as a unit, with off-street parking provided on the same lot or contiguous lots; or any group of commercial establishments sharing common walls; or a group of separately owned establishments which share a common parking lot with spaces for at least ten (10) cars. Sign, Awning or Canopy- A sign painted on or attached to the cover of a structural frame; movably hinged, rolled, folding or rigid. Sign, Changeable- A sign whose informational content can be changed or altered by manual, electric, electro-mechanical, or electronic means. Changeable signs include the following :</w:t>
      </w:r>
    </w:p>
    <w:p>
      <w:pPr>
        <w:numPr>
          <w:ilvl w:val="0"/>
          <w:numId w:val="1884"/>
        </w:numPr>
      </w:pPr>
      <w:r>
        <w:t xml:space="preserve">1. Manual: Signs whose alphabetic, pictographic, or symbolic informational content can be changed or altered by manual means.</w:t>
      </w:r>
    </w:p>
    <w:p>
      <w:pPr>
        <w:numPr>
          <w:ilvl w:val="0"/>
          <w:numId w:val="1885"/>
        </w:numPr>
      </w:pPr>
      <w:r>
        <w:t xml:space="preserve">2. Electrical : Signs whose alphabetic, pictographic, or symbolic informational content can be changed or altered on a fixed display surface composed of electrically illuminated or mechanically driven changeable segments. Includes two types: o Fixed Message Electronic Signs: Signs whose basic informational content has been preprogrammed to include only certain types of information projection.</w:t>
      </w:r>
    </w:p>
    <w:p>
      <w:pPr>
        <w:numPr>
          <w:ilvl w:val="0"/>
          <w:numId w:val="1886"/>
        </w:numPr>
      </w:pPr>
      <w:r>
        <w:t xml:space="preserve">Computer Controlled Variable Message Electronic Signs: Signs whose informational o content can be changed or altered by means of computer-driven electronic impulses. Sign, Externally Illuminated- A sign illuminated with an artificial light directed primarily toward such sign from an exterior source. Sign, Freestanding- A sign located on the ground and supported by a pole, uprights, braces or frame and not attached to any building or similar structure. Sign, Inflatable- A sign whose principal system of structural support is by means of compressed gases, air blower, hot air or similar methods. Such sign may be in the shape of a balloon or other threedimensional shape and may be free-standing, supported or tethered and may be constructed of flexible and/or solid materials. Sign, Internally Illuminated-A sign designed to give forth light from an artificial source in such a manner as to be an integral part of the construction of the sign, and signs illuminated from within. This also includes backlit signs, and so-called halo or silhouette signs where the lighting source is located behind individual letters or other sign elements. 6-16 Sign, Obsolete- Any sign which advertises an area, use, business or product no longer sold on site or</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t xml:space="preserve">service no longer Sign, Projecting-</w:t>
            </w:r>
          </w:p>
        </w:tc>
        <w:tc>
          <w:tcPr/>
          <w:p>
            <w:pPr>
              <w:pStyle w:val="Compact"/>
            </w:pPr>
          </w:p>
        </w:tc>
        <w:tc>
          <w:tcPr/>
          <w:p>
            <w:pPr>
              <w:pStyle w:val="Compact"/>
              <w:jc w:val="left"/>
            </w:pPr>
            <w:r>
              <w:t xml:space="preserve">A</w:t>
            </w:r>
          </w:p>
        </w:tc>
      </w:tr>
      <w:tr>
        <w:tc>
          <w:tcPr/>
          <w:p>
            <w:pPr>
              <w:pStyle w:val="Compact"/>
              <w:jc w:val="left"/>
            </w:pPr>
            <w:r>
              <w:t xml:space="preserve">wall or ceiling Sign, Roof-Mounted-</w:t>
            </w:r>
          </w:p>
        </w:tc>
        <w:tc>
          <w:tcPr/>
          <w:p>
            <w:pPr>
              <w:pStyle w:val="Compact"/>
              <w:jc w:val="left"/>
            </w:pPr>
            <w:r>
              <w:t xml:space="preserve">of</w:t>
            </w:r>
          </w:p>
        </w:tc>
        <w:tc>
          <w:tcPr/>
          <w:p>
            <w:pPr>
              <w:pStyle w:val="Compact"/>
              <w:jc w:val="left"/>
            </w:pPr>
            <w:r>
              <w:t xml:space="preserve">a</w:t>
            </w:r>
          </w:p>
        </w:tc>
      </w:tr>
      <w:tr>
        <w:tc>
          <w:tcPr/>
          <w:p>
            <w:pPr>
              <w:pStyle w:val="Compact"/>
              <w:jc w:val="left"/>
            </w:pPr>
            <w:r>
              <w:t xml:space="preserve">building or Sign, Temporary-</w:t>
            </w:r>
          </w:p>
        </w:tc>
        <w:tc>
          <w:tcPr/>
          <w:p>
            <w:pPr>
              <w:pStyle w:val="Compact"/>
              <w:jc w:val="left"/>
            </w:pPr>
            <w:r>
              <w:t xml:space="preserve">portion</w:t>
            </w:r>
          </w:p>
        </w:tc>
        <w:tc>
          <w:tcPr/>
          <w:p>
            <w:pPr>
              <w:pStyle w:val="Compact"/>
            </w:pPr>
          </w:p>
        </w:tc>
      </w:tr>
      <w:tr>
        <w:tc>
          <w:tcPr/>
          <w:p>
            <w:pPr>
              <w:pStyle w:val="Compact"/>
              <w:jc w:val="left"/>
            </w:pPr>
            <w:r>
              <w:t xml:space="preserve">Sign, Trailer-</w:t>
            </w:r>
          </w:p>
        </w:tc>
        <w:tc>
          <w:tcPr/>
          <w:p>
            <w:pPr>
              <w:pStyle w:val="Compact"/>
              <w:jc w:val="left"/>
            </w:pPr>
            <w:r>
              <w:t xml:space="preserve">A</w:t>
            </w:r>
          </w:p>
        </w:tc>
        <w:tc>
          <w:tcPr/>
          <w:p>
            <w:pPr>
              <w:pStyle w:val="Compact"/>
              <w:jc w:val="left"/>
            </w:pPr>
            <w:r>
              <w:t xml:space="preserve">sign</w:t>
            </w:r>
          </w:p>
        </w:tc>
      </w:tr>
      <w:tr>
        <w:tc>
          <w:tcPr/>
          <w:p>
            <w:pPr>
              <w:pStyle w:val="Compact"/>
              <w:jc w:val="left"/>
            </w:pPr>
            <w:r>
              <w:t xml:space="preserve">designed for to, mobile signs, but shall vehicle which principal use of Sign, Wall-Mounted-</w:t>
            </w:r>
          </w:p>
        </w:tc>
        <w:tc>
          <w:tcPr/>
          <w:p>
            <w:pPr>
              <w:pStyle w:val="Compact"/>
              <w:jc w:val="left"/>
            </w:pPr>
            <w:r>
              <w:t xml:space="preserve">advertising</w:t>
            </w:r>
          </w:p>
        </w:tc>
        <w:tc>
          <w:tcPr/>
          <w:p>
            <w:pPr>
              <w:pStyle w:val="Compact"/>
              <w:jc w:val="left"/>
            </w:pPr>
            <w:r>
              <w:t xml:space="preserve">mounting not identify such</w:t>
            </w:r>
          </w:p>
        </w:tc>
      </w:tr>
      <w:tr>
        <w:tc>
          <w:tcPr/>
          <w:p>
            <w:pPr>
              <w:pStyle w:val="Compact"/>
              <w:jc w:val="left"/>
            </w:pPr>
            <w:r>
              <w:t xml:space="preserve">any building or and freestanding Sign, Window-</w:t>
            </w:r>
          </w:p>
        </w:tc>
        <w:tc>
          <w:tcPr/>
          <w:p>
            <w:pPr>
              <w:pStyle w:val="Compact"/>
            </w:pPr>
          </w:p>
        </w:tc>
        <w:tc>
          <w:tcPr/>
          <w:p>
            <w:pPr>
              <w:pStyle w:val="Compact"/>
              <w:jc w:val="left"/>
            </w:pPr>
            <w:r>
              <w:t xml:space="preserve">structure walls. Any</w:t>
            </w:r>
          </w:p>
        </w:tc>
      </w:tr>
      <w:tr>
        <w:tc>
          <w:tcPr/>
          <w:p>
            <w:pPr>
              <w:pStyle w:val="Compact"/>
              <w:jc w:val="left"/>
            </w:pPr>
            <w:r>
              <w:t xml:space="preserve">door or window Storefront Wall</w:t>
            </w:r>
          </w:p>
        </w:tc>
        <w:tc>
          <w:tcPr/>
          <w:p>
            <w:pPr>
              <w:pStyle w:val="Compact"/>
            </w:pPr>
          </w:p>
        </w:tc>
        <w:tc>
          <w:tcPr/>
          <w:p>
            <w:pPr>
              <w:pStyle w:val="Compact"/>
              <w:jc w:val="left"/>
            </w:pPr>
            <w:r>
              <w:t xml:space="preserve">facing Area</w:t>
            </w:r>
          </w:p>
        </w:tc>
      </w:tr>
    </w:tbl>
    <w:p>
      <w:pPr>
        <w:pStyle w:val="BodyText"/>
      </w:pPr>
      <w:r>
        <w:t xml:space="preserve">offered.</w:t>
      </w:r>
    </w:p>
    <w:p>
      <w:pPr>
        <w:pStyle w:val="BodyText"/>
      </w:pPr>
      <w:r>
        <w:t xml:space="preserve">sign which is erected so as to extend approximately perpendicular from an exterior building or structure.</w:t>
      </w:r>
    </w:p>
    <w:p>
      <w:pPr>
        <w:pStyle w:val="BodyText"/>
      </w:pPr>
      <w:r>
        <w:t xml:space="preserve">A sign painted upon, placed upon, or affixed to or located above the roof of any thereof. that will be displayed for a limited duration. which is mounted or designed for mounting on wheels, or which is mounted or on a self-propelled or towed vehicle. Such signs shall include, but not be limited signs attached to a truck, chassis, detachable vehicle trailer or other such mobile include signs painted or otherwise inscribed on a self-propelled vehicle or towed the product, service or an activity for which the vehicle is used, unless the vehicle is for advertising purposes.</w:t>
      </w:r>
    </w:p>
    <w:p>
      <w:pPr>
        <w:pStyle w:val="BodyText"/>
      </w:pPr>
      <w:r>
        <w:t xml:space="preserve">A single-faced sign erected against, painted on or attached to the exterior wall of (except a freestanding sign support) including signs attached to fences, screens sign painted upon, placed upon or maintained inside or outside an exterior glass the outside and which is intended to be visible from any public or private street. -The surface area of the vertical front wall of a building facing a public street or private access road, measured from left sidewall to right sidewall and from the top of the first floor joist or building slab to the top of the floor joist or ceiling rafter of the uppermost floor of the business.</w:t>
      </w:r>
    </w:p>
    <w:p>
      <w:pPr>
        <w:numPr>
          <w:ilvl w:val="0"/>
          <w:numId w:val="1887"/>
        </w:numPr>
      </w:pPr>
      <w:r>
        <w:t xml:space="preserve">6.17.3. Signs permitted in any zoning district without permits The following signs shall be permitted in any zoning district without a permit, and shall not be counted when calculating the maximum number of signs permitted or the total permitted sign area. Such signs shall not be illuminated, except as otherwise noted.</w:t>
      </w:r>
    </w:p>
    <w:p>
      <w:pPr>
        <w:pStyle w:val="Compact"/>
        <w:numPr>
          <w:ilvl w:val="0"/>
          <w:numId w:val="1888"/>
        </w:numPr>
      </w:pPr>
    </w:p>
    <w:p>
      <w:pPr>
        <w:numPr>
          <w:ilvl w:val="1"/>
          <w:numId w:val="1889"/>
        </w:numPr>
      </w:pPr>
      <w:r>
        <w:t xml:space="preserve">(a) Signs erected by the Town of North Smithfield, the State of Rhode Island or the United States of America pursuant to and in discharge of any governmental function, or required by any law, ordinance or governmental regulation. Such signs may be illuminated internally or externally.</w:t>
      </w:r>
    </w:p>
    <w:p>
      <w:pPr>
        <w:pStyle w:val="Compact"/>
        <w:numPr>
          <w:ilvl w:val="0"/>
          <w:numId w:val="1890"/>
        </w:numPr>
      </w:pPr>
    </w:p>
    <w:p>
      <w:pPr>
        <w:numPr>
          <w:ilvl w:val="1"/>
          <w:numId w:val="1891"/>
        </w:numPr>
      </w:pPr>
      <w:r>
        <w:t xml:space="preserve">(b) Signs not exceeding one and one-half (1-1/2) square feet in area and bearing only property numbers, post box numbers, names of occupants of premises, or other identification of premises not having commercial connotations.</w:t>
      </w:r>
    </w:p>
    <w:p>
      <w:pPr>
        <w:pStyle w:val="Compact"/>
        <w:numPr>
          <w:ilvl w:val="0"/>
          <w:numId w:val="1892"/>
        </w:numPr>
      </w:pPr>
    </w:p>
    <w:p>
      <w:pPr>
        <w:numPr>
          <w:ilvl w:val="1"/>
          <w:numId w:val="1893"/>
        </w:numPr>
      </w:pPr>
      <w:r>
        <w:t xml:space="preserve">(c) An announcement board, or changeable sign, no greater than twelve (12) square feet in area, for a church, school or other public or semi-public use. Such signs may be illuminated internally or externally.</w:t>
      </w:r>
    </w:p>
    <w:p>
      <w:pPr>
        <w:pStyle w:val="Compact"/>
        <w:numPr>
          <w:ilvl w:val="0"/>
          <w:numId w:val="1894"/>
        </w:numPr>
      </w:pPr>
    </w:p>
    <w:p>
      <w:pPr>
        <w:numPr>
          <w:ilvl w:val="1"/>
          <w:numId w:val="1895"/>
        </w:numPr>
      </w:pPr>
      <w:r>
        <w:t xml:space="preserve">(d) Instructional or directional signs identifying on-premises traffic, parking or other functional activity. There shall be no more than one sign for each applicable activity, and bearing no 6-17 commercial advertising. Each sign shall not exceed two (2) sq. ft. in area, and such signs may be illuminated internally or externally.</w:t>
      </w:r>
    </w:p>
    <w:p>
      <w:pPr>
        <w:pStyle w:val="Compact"/>
        <w:numPr>
          <w:ilvl w:val="0"/>
          <w:numId w:val="1896"/>
        </w:numPr>
      </w:pPr>
    </w:p>
    <w:p>
      <w:pPr>
        <w:numPr>
          <w:ilvl w:val="1"/>
          <w:numId w:val="1897"/>
        </w:numPr>
      </w:pPr>
      <w:r>
        <w:t xml:space="preserve">(e) Accessory signs incidental to a business conducted on the premises indicating hours of operation, credit cards, business affiliation and the like, provided that the total area of all such signs does not exceed three (3) square feet per business or use, and are located on a door or are wallmounted at or immediately adjacent to a public entrance to the building on the premises.</w:t>
      </w:r>
    </w:p>
    <w:p>
      <w:pPr>
        <w:pStyle w:val="Compact"/>
        <w:numPr>
          <w:ilvl w:val="0"/>
          <w:numId w:val="1898"/>
        </w:numPr>
      </w:pPr>
    </w:p>
    <w:p>
      <w:pPr>
        <w:numPr>
          <w:ilvl w:val="1"/>
          <w:numId w:val="1899"/>
        </w:numPr>
      </w:pPr>
      <w:r>
        <w:t xml:space="preserve">(f) Digital clocks or time/temperature clocks which contain no advertising, and which do not exceed fifteen (15) square feet in area.</w:t>
      </w:r>
    </w:p>
    <w:p>
      <w:pPr>
        <w:pStyle w:val="Compact"/>
        <w:numPr>
          <w:ilvl w:val="0"/>
          <w:numId w:val="1900"/>
        </w:numPr>
      </w:pPr>
    </w:p>
    <w:p>
      <w:pPr>
        <w:numPr>
          <w:ilvl w:val="1"/>
          <w:numId w:val="1901"/>
        </w:numPr>
      </w:pPr>
      <w:r>
        <w:t xml:space="preserve">(g) Sale of produce raised on the premises signs, not exceeding six (6) square feet in area.</w:t>
      </w:r>
    </w:p>
    <w:p>
      <w:pPr>
        <w:pStyle w:val="Compact"/>
        <w:numPr>
          <w:ilvl w:val="0"/>
          <w:numId w:val="1902"/>
        </w:numPr>
      </w:pPr>
    </w:p>
    <w:p>
      <w:pPr>
        <w:numPr>
          <w:ilvl w:val="1"/>
          <w:numId w:val="1903"/>
        </w:numPr>
      </w:pPr>
      <w:r>
        <w:t xml:space="preserve">(h) Permanent window signs which do not exceed thirty (30) percent of the window area.</w:t>
      </w:r>
    </w:p>
    <w:p>
      <w:pPr>
        <w:pStyle w:val="Compact"/>
        <w:numPr>
          <w:ilvl w:val="0"/>
          <w:numId w:val="1904"/>
        </w:numPr>
      </w:pPr>
    </w:p>
    <w:p>
      <w:pPr>
        <w:numPr>
          <w:ilvl w:val="1"/>
          <w:numId w:val="1905"/>
        </w:numPr>
      </w:pPr>
      <w:r>
        <w:t xml:space="preserve">(i) Integral decorative or architectural features of buildings, except letters, trademarks, moving parts, or moving lights.</w:t>
      </w:r>
    </w:p>
    <w:p>
      <w:pPr>
        <w:pStyle w:val="Compact"/>
        <w:numPr>
          <w:ilvl w:val="0"/>
          <w:numId w:val="1906"/>
        </w:numPr>
      </w:pPr>
    </w:p>
    <w:p>
      <w:pPr>
        <w:numPr>
          <w:ilvl w:val="1"/>
          <w:numId w:val="1907"/>
        </w:numPr>
      </w:pPr>
      <w:r>
        <w:t xml:space="preserve">(j) Holiday signs and decorations 45 days prior to and 15 days after the specific holiday. The term "holiday" means and includes all federal or state legal holidays and all recognized religious holidays.</w:t>
      </w:r>
    </w:p>
    <w:p>
      <w:pPr>
        <w:pStyle w:val="Compact"/>
        <w:numPr>
          <w:ilvl w:val="0"/>
          <w:numId w:val="1908"/>
        </w:numPr>
      </w:pPr>
    </w:p>
    <w:p>
      <w:pPr>
        <w:numPr>
          <w:ilvl w:val="1"/>
          <w:numId w:val="1909"/>
        </w:numPr>
      </w:pPr>
      <w:r>
        <w:t xml:space="preserve">(k) Signs customary and necessary to the operation of filling and service stations and automotive fueling areas. The number, area and height of freestanding signs shall be regulated by Section 6.17.6 of this Ordinance.</w:t>
      </w:r>
    </w:p>
    <w:p>
      <w:pPr>
        <w:numPr>
          <w:ilvl w:val="0"/>
          <w:numId w:val="1910"/>
        </w:numPr>
      </w:pPr>
      <w:r>
        <w:t xml:space="preserve">1. Lettering on buildings displayed over individual entrance doors consisting of the words "washing," "lubrication," "repairing" or words of similar import, provided that there shall not be more than one such sign over each entrance and that the letters shall not exceed ten inches in height.</w:t>
      </w:r>
    </w:p>
    <w:p>
      <w:pPr>
        <w:numPr>
          <w:ilvl w:val="0"/>
          <w:numId w:val="1911"/>
        </w:numPr>
      </w:pPr>
      <w:r>
        <w:t xml:space="preserve">2. Lettering or other insignia which is a structural part of a gasoline pump or lighting fixture consisting only of a brand name, lead-warning sign, price-per-gallon sign or other signs as required by law.</w:t>
      </w:r>
    </w:p>
    <w:p>
      <w:pPr>
        <w:numPr>
          <w:ilvl w:val="0"/>
          <w:numId w:val="1912"/>
        </w:numPr>
      </w:pPr>
      <w:r>
        <w:t xml:space="preserve">3. A credit card sign not exceeding two square feet in area, affixed to the building or a permanent sign structure.</w:t>
      </w:r>
    </w:p>
    <w:p>
      <w:pPr>
        <w:numPr>
          <w:ilvl w:val="0"/>
          <w:numId w:val="1913"/>
        </w:numPr>
      </w:pPr>
      <w:r>
        <w:t xml:space="preserve">4. One or more signs bearing the brand or trade name of the station, of a design specified by the manufacturer, permanently affixed to the building or its own metal substructure, such as a canopy or roof located above pump islands, the total area of such signs not to exceed 30 square feet.</w:t>
      </w:r>
    </w:p>
    <w:p>
      <w:pPr>
        <w:numPr>
          <w:ilvl w:val="0"/>
          <w:numId w:val="1914"/>
        </w:numPr>
      </w:pPr>
      <w:r>
        <w:t xml:space="preserve">5. All point of purchase materials or signs located no further than ten linear feet from the gasoline islands or ten linear feet from the principal building.</w:t>
      </w:r>
    </w:p>
    <w:p>
      <w:pPr>
        <w:numPr>
          <w:ilvl w:val="0"/>
          <w:numId w:val="1915"/>
        </w:numPr>
      </w:pPr>
      <w:r>
        <w:t xml:space="preserve">6. Any such freestanding sign may be internally illuminated, regardless of the zoning district in which it is located.</w:t>
      </w:r>
    </w:p>
    <w:p>
      <w:pPr>
        <w:numPr>
          <w:ilvl w:val="0"/>
          <w:numId w:val="1916"/>
        </w:numPr>
      </w:pPr>
      <w:r>
        <w:t xml:space="preserve">6.17.4. Signs prohibited in all zoning districts.</w:t>
      </w:r>
    </w:p>
    <w:p>
      <w:pPr>
        <w:pStyle w:val="Compact"/>
        <w:numPr>
          <w:ilvl w:val="0"/>
          <w:numId w:val="1917"/>
        </w:numPr>
      </w:pPr>
    </w:p>
    <w:p>
      <w:pPr>
        <w:numPr>
          <w:ilvl w:val="1"/>
          <w:numId w:val="1918"/>
        </w:numPr>
      </w:pPr>
      <w:r>
        <w:t xml:space="preserve">(a) Billboards or other off-site advertising signs. Off-site directional signs may be permitted only by the granting of a special use permit by the Zoning Board of Review.</w:t>
      </w:r>
    </w:p>
    <w:p>
      <w:pPr>
        <w:pStyle w:val="Compact"/>
        <w:numPr>
          <w:ilvl w:val="0"/>
          <w:numId w:val="1919"/>
        </w:numPr>
      </w:pPr>
    </w:p>
    <w:p>
      <w:pPr>
        <w:numPr>
          <w:ilvl w:val="1"/>
          <w:numId w:val="1920"/>
        </w:numPr>
      </w:pPr>
      <w:r>
        <w:t xml:space="preserve">(b) Portable signs, including sandwich-board signs and trailer signs.</w:t>
      </w:r>
    </w:p>
    <w:p>
      <w:pPr>
        <w:pStyle w:val="Compact"/>
        <w:numPr>
          <w:ilvl w:val="0"/>
          <w:numId w:val="1921"/>
        </w:numPr>
      </w:pPr>
    </w:p>
    <w:p>
      <w:pPr>
        <w:numPr>
          <w:ilvl w:val="1"/>
          <w:numId w:val="1922"/>
        </w:numPr>
      </w:pPr>
      <w:r>
        <w:t xml:space="preserve">(c) Changeable signs, which change the content or display more frequently than once every two (2) minutes.</w:t>
      </w:r>
    </w:p>
    <w:p>
      <w:pPr>
        <w:pStyle w:val="Compact"/>
        <w:numPr>
          <w:ilvl w:val="0"/>
          <w:numId w:val="1923"/>
        </w:numPr>
      </w:pPr>
    </w:p>
    <w:p>
      <w:pPr>
        <w:numPr>
          <w:ilvl w:val="1"/>
          <w:numId w:val="1924"/>
        </w:numPr>
      </w:pPr>
      <w:r>
        <w:t xml:space="preserve">(d) Animated, revolving, sparkling or flashing signs, or signs which incorporate intermittent, oscillating, or moving spot lights. 6-18</w:t>
      </w:r>
    </w:p>
    <w:p>
      <w:pPr>
        <w:numPr>
          <w:ilvl w:val="1"/>
          <w:numId w:val="1000"/>
        </w:numPr>
      </w:pPr>
      <w:r>
        <w:t xml:space="preserve">(e) Signs attached to trees, traffic signs, regulating signs, or utility poles; except for signs on private property posting restrictions on hunting or trespassing , not exceeding two (2) square feet in area per sign.</w:t>
      </w:r>
    </w:p>
    <w:p>
      <w:pPr>
        <w:pStyle w:val="Compact"/>
        <w:numPr>
          <w:ilvl w:val="0"/>
          <w:numId w:val="1925"/>
        </w:numPr>
      </w:pPr>
    </w:p>
    <w:p>
      <w:pPr>
        <w:numPr>
          <w:ilvl w:val="1"/>
          <w:numId w:val="1926"/>
        </w:numPr>
      </w:pPr>
      <w:r>
        <w:t xml:space="preserve">(f) Permanent inflatable signs or inflatable objects displayed as a form of advertising.</w:t>
      </w:r>
    </w:p>
    <w:p>
      <w:pPr>
        <w:pStyle w:val="Compact"/>
        <w:numPr>
          <w:ilvl w:val="0"/>
          <w:numId w:val="1927"/>
        </w:numPr>
      </w:pPr>
    </w:p>
    <w:p>
      <w:pPr>
        <w:numPr>
          <w:ilvl w:val="1"/>
          <w:numId w:val="1928"/>
        </w:numPr>
      </w:pPr>
      <w:r>
        <w:t xml:space="preserve">(g) Roof-mounted signs.</w:t>
      </w:r>
    </w:p>
    <w:p>
      <w:pPr>
        <w:pStyle w:val="Compact"/>
        <w:numPr>
          <w:ilvl w:val="0"/>
          <w:numId w:val="1929"/>
        </w:numPr>
      </w:pPr>
    </w:p>
    <w:p>
      <w:pPr>
        <w:numPr>
          <w:ilvl w:val="1"/>
          <w:numId w:val="1930"/>
        </w:numPr>
      </w:pPr>
      <w:r>
        <w:t xml:space="preserve">(h) String lights, banners or flags. The use of string lights, banners or flags to call attention to a business or activity are prohibited. However, such signs associated with public, religious, or charitable organizations are permitted for a period not to exceed thirty (30) days in any calendar year. The use of established governmental flags are permitted, provided the use is consistent with the established standards of display and the intent is not to call attention to the business and activity. Factors that shall be considered by the Building Official in making such determination shall include, but not be limited to, the size and quantity of the flags, banners or lights.</w:t>
      </w:r>
    </w:p>
    <w:p>
      <w:pPr>
        <w:pStyle w:val="Compact"/>
        <w:numPr>
          <w:ilvl w:val="0"/>
          <w:numId w:val="1931"/>
        </w:numPr>
      </w:pPr>
    </w:p>
    <w:p>
      <w:pPr>
        <w:numPr>
          <w:ilvl w:val="1"/>
          <w:numId w:val="1932"/>
        </w:numPr>
      </w:pPr>
      <w:r>
        <w:t xml:space="preserve">(i) Projecting signs which extend over a public sidewalk or public way, without the approval of the Building Official.</w:t>
      </w:r>
    </w:p>
    <w:p>
      <w:pPr>
        <w:pStyle w:val="Compact"/>
        <w:numPr>
          <w:ilvl w:val="0"/>
          <w:numId w:val="1933"/>
        </w:numPr>
      </w:pPr>
    </w:p>
    <w:p>
      <w:pPr>
        <w:numPr>
          <w:ilvl w:val="1"/>
          <w:numId w:val="1934"/>
        </w:numPr>
      </w:pPr>
      <w:r>
        <w:t xml:space="preserve">(j) Any sign that constitutes a hazard to public safety or health, including signs which because of size, location, or manner of illumination, obstruct the vision of a driver or detract from the effectiveness of traffic control devices, or that impede vision or access to or from public streets, sidewalks or other places or ingress or egress.</w:t>
      </w:r>
    </w:p>
    <w:p>
      <w:pPr>
        <w:pStyle w:val="Compact"/>
        <w:numPr>
          <w:ilvl w:val="0"/>
          <w:numId w:val="1935"/>
        </w:numPr>
      </w:pPr>
    </w:p>
    <w:p>
      <w:pPr>
        <w:numPr>
          <w:ilvl w:val="1"/>
          <w:numId w:val="1936"/>
        </w:numPr>
      </w:pPr>
      <w:r>
        <w:t xml:space="preserve">(k) Any obsolete sign, which no longer advertises a bonafide business conducted or product sold on the premises. Such signs shall be removed within thirty (30) days of the date on which they became obsolete.</w:t>
      </w:r>
    </w:p>
    <w:p>
      <w:pPr>
        <w:numPr>
          <w:ilvl w:val="0"/>
          <w:numId w:val="1937"/>
        </w:numPr>
      </w:pPr>
      <w:r>
        <w:t xml:space="preserve">6.17.5. Signs in residential zoning districts (REA, RA, RS, and RU) shall be governed by the following regulations:</w:t>
      </w:r>
    </w:p>
    <w:p>
      <w:pPr>
        <w:pStyle w:val="Compact"/>
        <w:numPr>
          <w:ilvl w:val="0"/>
          <w:numId w:val="1938"/>
        </w:numPr>
      </w:pPr>
    </w:p>
    <w:p>
      <w:pPr>
        <w:numPr>
          <w:ilvl w:val="1"/>
          <w:numId w:val="1939"/>
        </w:numPr>
      </w:pPr>
      <w:r>
        <w:t xml:space="preserve">(a) One freestanding or one wall-mounted sign shall be permitted for a use authorized by the Zoning Board of Review by the granting of a special use permit. No such sign shall exceed nine (9) square feet in area, and shall not be illuminated.</w:t>
      </w:r>
    </w:p>
    <w:p>
      <w:pPr>
        <w:pStyle w:val="Compact"/>
        <w:numPr>
          <w:ilvl w:val="0"/>
          <w:numId w:val="1940"/>
        </w:numPr>
      </w:pPr>
    </w:p>
    <w:p>
      <w:pPr>
        <w:numPr>
          <w:ilvl w:val="1"/>
          <w:numId w:val="1941"/>
        </w:numPr>
      </w:pPr>
      <w:r>
        <w:t xml:space="preserve">(b) One freestanding or wall-mounted sign identifying a permitted home occupation shall be permitted. No such sign shall exceed six (6) square feet in area, and shall not be illuminated.</w:t>
      </w:r>
    </w:p>
    <w:p>
      <w:pPr>
        <w:pStyle w:val="Compact"/>
        <w:numPr>
          <w:ilvl w:val="0"/>
          <w:numId w:val="1942"/>
        </w:numPr>
      </w:pPr>
    </w:p>
    <w:p>
      <w:pPr>
        <w:numPr>
          <w:ilvl w:val="1"/>
          <w:numId w:val="1943"/>
        </w:numPr>
      </w:pPr>
      <w:r>
        <w:t xml:space="preserve">(c) One non-illuminated sign for an approved accessory use, not to exceed six (6) sq. ft.</w:t>
      </w:r>
    </w:p>
    <w:p>
      <w:pPr>
        <w:numPr>
          <w:ilvl w:val="0"/>
          <w:numId w:val="1944"/>
        </w:numPr>
      </w:pPr>
      <w:r>
        <w:t xml:space="preserve">6.17.6. Signs in business and manufacturing districts (BN, BH, PS, LC and M) shall be governed by the following regulations:</w:t>
      </w:r>
    </w:p>
    <w:p>
      <w:pPr>
        <w:pStyle w:val="Compact"/>
        <w:numPr>
          <w:ilvl w:val="0"/>
          <w:numId w:val="1945"/>
        </w:numPr>
      </w:pPr>
    </w:p>
    <w:p>
      <w:pPr>
        <w:numPr>
          <w:ilvl w:val="1"/>
          <w:numId w:val="1946"/>
        </w:numPr>
      </w:pPr>
      <w:r>
        <w:t xml:space="preserve">(a) Except as noted below for shopping centers, there shall be a maximum of two (2) regulated signs per principal building in any business or manufacturing zoning district. Permitted signs include a maximum of one freestanding sign, which may be two-sided, plus either one wall-mounted, projecting or awning sign.</w:t>
      </w:r>
    </w:p>
    <w:p>
      <w:pPr>
        <w:pStyle w:val="Compact"/>
        <w:numPr>
          <w:ilvl w:val="0"/>
          <w:numId w:val="1947"/>
        </w:numPr>
      </w:pPr>
    </w:p>
    <w:p>
      <w:pPr>
        <w:numPr>
          <w:ilvl w:val="1"/>
          <w:numId w:val="1948"/>
        </w:numPr>
      </w:pPr>
      <w:r>
        <w:t xml:space="preserve">(b) Where a building fronts on two or more streets or access roadways, the total area of signs shall be based on the building’s frontage on a given street and as other wise provided in tables (b) and 6-19 (d) below. A maximum of two street frontages may be counted in the calculation of sign area for a single user building located on a corner.</w:t>
      </w:r>
    </w:p>
    <w:p>
      <w:pPr>
        <w:pStyle w:val="Compact"/>
        <w:numPr>
          <w:ilvl w:val="0"/>
          <w:numId w:val="1949"/>
        </w:numPr>
      </w:pPr>
    </w:p>
    <w:p>
      <w:pPr>
        <w:numPr>
          <w:ilvl w:val="1"/>
          <w:numId w:val="1950"/>
        </w:numPr>
      </w:pPr>
      <w:r>
        <w:t xml:space="preserve">(c) If there is no freestanding sign, there may be a maximum of two (2) wall-mounted, projecting or awning signs, in any combination. In BN, LC and PS zones, signs may be externally illuminated only. Signs in BH and M zones may be either internally or externally illuminated.</w:t>
      </w:r>
    </w:p>
    <w:p>
      <w:pPr>
        <w:pStyle w:val="Compact"/>
        <w:numPr>
          <w:ilvl w:val="0"/>
          <w:numId w:val="1951"/>
        </w:numPr>
      </w:pPr>
    </w:p>
    <w:p>
      <w:pPr>
        <w:numPr>
          <w:ilvl w:val="1"/>
          <w:numId w:val="1952"/>
        </w:numPr>
      </w:pPr>
      <w:r>
        <w:t xml:space="preserve">(d) The maximum area per sign of any permitted sign shall be as follows:</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Zoning District</w:t>
            </w:r>
          </w:p>
        </w:tc>
        <w:tc>
          <w:tcPr/>
          <w:p>
            <w:pPr>
              <w:pStyle w:val="Compact"/>
              <w:jc w:val="left"/>
            </w:pPr>
            <w:r>
              <w:t xml:space="preserve">Maximum Area / Height standing Sign (per side) ft. / height in ft.)</w:t>
            </w:r>
          </w:p>
        </w:tc>
        <w:tc>
          <w:tcPr/>
          <w:p>
            <w:pPr>
              <w:pStyle w:val="Compact"/>
              <w:jc w:val="left"/>
            </w:pPr>
            <w:r>
              <w:t xml:space="preserve">of Free- (area in sq.</w:t>
            </w:r>
          </w:p>
        </w:tc>
        <w:tc>
          <w:tcPr/>
          <w:p>
            <w:pPr>
              <w:pStyle w:val="Compact"/>
              <w:jc w:val="left"/>
            </w:pPr>
            <w:r>
              <w:t xml:space="preserve">Maximum Area of Wall- Mounted Sign (per sign) (area in sq. ft.)</w:t>
            </w:r>
          </w:p>
        </w:tc>
      </w:tr>
      <w:tr>
        <w:tc>
          <w:tcPr/>
          <w:p>
            <w:pPr>
              <w:pStyle w:val="Compact"/>
              <w:jc w:val="left"/>
            </w:pPr>
            <w:r>
              <w:t xml:space="preserve">BN</w:t>
            </w:r>
          </w:p>
        </w:tc>
        <w:tc>
          <w:tcPr/>
          <w:p>
            <w:pPr>
              <w:pStyle w:val="Compact"/>
              <w:jc w:val="left"/>
            </w:pPr>
            <w:r>
              <w:t xml:space="preserve">12 / 8</w:t>
            </w:r>
          </w:p>
        </w:tc>
        <w:tc>
          <w:tcPr/>
          <w:p>
            <w:pPr>
              <w:pStyle w:val="Compact"/>
            </w:pPr>
          </w:p>
        </w:tc>
        <w:tc>
          <w:tcPr/>
          <w:p>
            <w:pPr>
              <w:pStyle w:val="Compact"/>
              <w:jc w:val="left"/>
            </w:pPr>
            <w:r>
              <w:t xml:space="preserve">1 sq. ft. per lineal foot of wall face; not to exceed 20 sq. ft.</w:t>
            </w:r>
          </w:p>
        </w:tc>
      </w:tr>
      <w:tr>
        <w:tc>
          <w:tcPr/>
          <w:p>
            <w:pPr>
              <w:pStyle w:val="Compact"/>
              <w:jc w:val="left"/>
            </w:pPr>
            <w:r>
              <w:t xml:space="preserve">BH</w:t>
            </w:r>
          </w:p>
        </w:tc>
        <w:tc>
          <w:tcPr/>
          <w:p>
            <w:pPr>
              <w:pStyle w:val="Compact"/>
              <w:jc w:val="left"/>
            </w:pPr>
            <w:r>
              <w:t xml:space="preserve">60 / 20</w:t>
            </w:r>
          </w:p>
        </w:tc>
        <w:tc>
          <w:tcPr/>
          <w:p>
            <w:pPr>
              <w:pStyle w:val="Compact"/>
            </w:pPr>
          </w:p>
        </w:tc>
        <w:tc>
          <w:tcPr/>
          <w:p>
            <w:pPr>
              <w:pStyle w:val="Compact"/>
              <w:jc w:val="left"/>
            </w:pPr>
            <w:r>
              <w:t xml:space="preserve">1.5 sq. ft. per lineal foot of wall face; not to exceed 40 sq. ft.</w:t>
            </w:r>
          </w:p>
        </w:tc>
      </w:tr>
      <w:tr>
        <w:tc>
          <w:tcPr/>
          <w:p>
            <w:pPr>
              <w:pStyle w:val="Compact"/>
              <w:jc w:val="left"/>
            </w:pPr>
            <w:r>
              <w:t xml:space="preserve">PS</w:t>
            </w:r>
          </w:p>
        </w:tc>
        <w:tc>
          <w:tcPr/>
          <w:p>
            <w:pPr>
              <w:pStyle w:val="Compact"/>
              <w:jc w:val="left"/>
            </w:pPr>
            <w:r>
              <w:t xml:space="preserve">30 / 12</w:t>
            </w:r>
          </w:p>
        </w:tc>
        <w:tc>
          <w:tcPr/>
          <w:p>
            <w:pPr>
              <w:pStyle w:val="Compact"/>
            </w:pPr>
          </w:p>
        </w:tc>
        <w:tc>
          <w:tcPr/>
          <w:p>
            <w:pPr>
              <w:pStyle w:val="Compact"/>
              <w:jc w:val="left"/>
            </w:pPr>
            <w:r>
              <w:t xml:space="preserve">1 sq. ft. per lineal foot of wall face; not to exceed 30 sq. ft.</w:t>
            </w:r>
          </w:p>
        </w:tc>
      </w:tr>
      <w:tr>
        <w:tc>
          <w:tcPr/>
          <w:p>
            <w:pPr>
              <w:pStyle w:val="Compact"/>
              <w:jc w:val="left"/>
            </w:pPr>
            <w:r>
              <w:t xml:space="preserve">LC</w:t>
            </w:r>
          </w:p>
        </w:tc>
        <w:tc>
          <w:tcPr/>
          <w:p>
            <w:pPr>
              <w:pStyle w:val="Compact"/>
              <w:jc w:val="left"/>
            </w:pPr>
            <w:r>
              <w:t xml:space="preserve">30 / 12</w:t>
            </w:r>
          </w:p>
        </w:tc>
        <w:tc>
          <w:tcPr/>
          <w:p>
            <w:pPr>
              <w:pStyle w:val="Compact"/>
            </w:pPr>
          </w:p>
        </w:tc>
        <w:tc>
          <w:tcPr/>
          <w:p>
            <w:pPr>
              <w:pStyle w:val="Compact"/>
              <w:jc w:val="left"/>
            </w:pPr>
            <w:r>
              <w:t xml:space="preserve">1 sq. ft. per lineal foot of wall face; not to exceed 30 sq. ft.</w:t>
            </w:r>
          </w:p>
        </w:tc>
      </w:tr>
      <w:tr>
        <w:tc>
          <w:tcPr/>
          <w:p>
            <w:pPr>
              <w:pStyle w:val="Compact"/>
              <w:jc w:val="left"/>
            </w:pPr>
            <w:r>
              <w:t xml:space="preserve">M</w:t>
            </w:r>
          </w:p>
        </w:tc>
        <w:tc>
          <w:tcPr/>
          <w:p>
            <w:pPr>
              <w:pStyle w:val="Compact"/>
              <w:jc w:val="left"/>
            </w:pPr>
            <w:r>
              <w:t xml:space="preserve">60 / 20</w:t>
            </w:r>
          </w:p>
        </w:tc>
        <w:tc>
          <w:tcPr/>
          <w:p>
            <w:pPr>
              <w:pStyle w:val="Compact"/>
            </w:pPr>
          </w:p>
        </w:tc>
        <w:tc>
          <w:tcPr/>
          <w:p>
            <w:pPr>
              <w:pStyle w:val="Compact"/>
              <w:jc w:val="left"/>
            </w:pPr>
            <w:r>
              <w:t xml:space="preserve">1.5 sq. ft. per lineal foot of wall face; not to exceed 75 sq. ft.</w:t>
            </w:r>
          </w:p>
        </w:tc>
      </w:tr>
      <w:tr>
        <w:tc>
          <w:tcPr/>
          <w:p>
            <w:pPr>
              <w:pStyle w:val="Compact"/>
              <w:jc w:val="left"/>
            </w:pPr>
            <w:r>
              <w:t xml:space="preserve">Signs in shopping freestanding signs use, as further externally. Wall-mounted signs centers shall be located and the The area of</w:t>
            </w:r>
          </w:p>
        </w:tc>
        <w:tc>
          <w:tcPr/>
          <w:p>
            <w:pPr>
              <w:pStyle w:val="Compact"/>
              <w:jc w:val="left"/>
            </w:pPr>
            <w:r>
              <w:t xml:space="preserve">centers – general. In identifying all uses, specified in (d) below. in shopping centers. determined by the nearest public street. wall-mounted signs shall</w:t>
            </w:r>
          </w:p>
        </w:tc>
        <w:tc>
          <w:tcPr/>
          <w:p>
            <w:pPr>
              <w:pStyle w:val="Compact"/>
              <w:jc w:val="left"/>
            </w:pPr>
            <w:r>
              <w:t xml:space="preserve">shopping centers, plus one or more Signs in shopping The maximum distance between the be governed by</w:t>
            </w:r>
          </w:p>
        </w:tc>
        <w:tc>
          <w:tcPr/>
          <w:p>
            <w:pPr>
              <w:pStyle w:val="Compact"/>
              <w:jc w:val="left"/>
            </w:pPr>
            <w:r>
              <w:t xml:space="preserve">there may be one or more wall-mounted signs for each centers may be illuminated area of wall-mounted signs building wall where the sign the table below.</w:t>
            </w:r>
          </w:p>
        </w:tc>
      </w:tr>
      <w:tr>
        <w:tc>
          <w:tcPr/>
          <w:p>
            <w:pPr>
              <w:pStyle w:val="Compact"/>
              <w:jc w:val="left"/>
            </w:pPr>
            <w:r>
              <w:t xml:space="preserve">Distance between driveway (feet)</w:t>
            </w:r>
          </w:p>
        </w:tc>
        <w:tc>
          <w:tcPr/>
          <w:p>
            <w:pPr>
              <w:pStyle w:val="Compact"/>
              <w:jc w:val="left"/>
            </w:pPr>
            <w:r>
              <w:t xml:space="preserve">building and street or</w:t>
            </w:r>
          </w:p>
        </w:tc>
        <w:tc>
          <w:tcPr/>
          <w:p>
            <w:pPr>
              <w:pStyle w:val="Compact"/>
              <w:jc w:val="left"/>
            </w:pPr>
            <w:r>
              <w:t xml:space="preserve">Maximum Total (per sign) (area</w:t>
            </w:r>
          </w:p>
        </w:tc>
        <w:tc>
          <w:tcPr/>
          <w:p>
            <w:pPr>
              <w:pStyle w:val="Compact"/>
              <w:jc w:val="left"/>
            </w:pPr>
            <w:r>
              <w:t xml:space="preserve">Area of Wall-Mounted Signs in sq. ft.)</w:t>
            </w:r>
          </w:p>
        </w:tc>
      </w:tr>
      <w:tr>
        <w:tc>
          <w:tcPr/>
          <w:p>
            <w:pPr>
              <w:pStyle w:val="Compact"/>
            </w:pPr>
          </w:p>
        </w:tc>
        <w:tc>
          <w:tcPr/>
          <w:p>
            <w:pPr>
              <w:pStyle w:val="Compact"/>
              <w:jc w:val="left"/>
            </w:pPr>
            <w:r>
              <w:t xml:space="preserve">&lt;100</w:t>
            </w:r>
          </w:p>
        </w:tc>
        <w:tc>
          <w:tcPr/>
          <w:p>
            <w:pPr>
              <w:pStyle w:val="Compact"/>
              <w:jc w:val="left"/>
            </w:pPr>
            <w:r>
              <w:t xml:space="preserve">200 Sq. ft. not to storefront wall</w:t>
            </w:r>
          </w:p>
        </w:tc>
        <w:tc>
          <w:tcPr/>
          <w:p>
            <w:pPr>
              <w:pStyle w:val="Compact"/>
              <w:jc w:val="left"/>
            </w:pPr>
            <w:r>
              <w:t xml:space="preserve">exceed 5 percent of the total area.</w:t>
            </w:r>
          </w:p>
        </w:tc>
      </w:tr>
      <w:tr>
        <w:tc>
          <w:tcPr/>
          <w:p>
            <w:pPr>
              <w:pStyle w:val="Compact"/>
              <w:jc w:val="left"/>
            </w:pPr>
            <w:r>
              <w:t xml:space="preserve">100</w:t>
            </w:r>
          </w:p>
        </w:tc>
        <w:tc>
          <w:tcPr/>
          <w:p>
            <w:pPr>
              <w:pStyle w:val="Compact"/>
              <w:jc w:val="left"/>
            </w:pPr>
            <w:r>
              <w:t xml:space="preserve">– 200</w:t>
            </w:r>
          </w:p>
        </w:tc>
        <w:tc>
          <w:tcPr/>
          <w:p>
            <w:pPr>
              <w:pStyle w:val="Compact"/>
              <w:jc w:val="left"/>
            </w:pPr>
            <w:r>
              <w:t xml:space="preserve">300 Sq. ft. not to storefront wall</w:t>
            </w:r>
          </w:p>
        </w:tc>
        <w:tc>
          <w:tcPr/>
          <w:p>
            <w:pPr>
              <w:pStyle w:val="Compact"/>
              <w:jc w:val="left"/>
            </w:pPr>
            <w:r>
              <w:t xml:space="preserve">exceed 5 percent of the total area.</w:t>
            </w:r>
          </w:p>
        </w:tc>
      </w:tr>
      <w:tr>
        <w:tc>
          <w:tcPr/>
          <w:p>
            <w:pPr>
              <w:pStyle w:val="Compact"/>
            </w:pPr>
          </w:p>
        </w:tc>
        <w:tc>
          <w:tcPr/>
          <w:p>
            <w:pPr>
              <w:pStyle w:val="Compact"/>
              <w:jc w:val="left"/>
            </w:pPr>
            <w:r>
              <w:t xml:space="preserve">201-300</w:t>
            </w:r>
          </w:p>
        </w:tc>
        <w:tc>
          <w:tcPr/>
          <w:p>
            <w:pPr>
              <w:pStyle w:val="Compact"/>
              <w:jc w:val="left"/>
            </w:pPr>
            <w:r>
              <w:t xml:space="preserve">350 Sq. ft. not to storefront wall</w:t>
            </w:r>
          </w:p>
        </w:tc>
        <w:tc>
          <w:tcPr/>
          <w:p>
            <w:pPr>
              <w:pStyle w:val="Compact"/>
              <w:jc w:val="left"/>
            </w:pPr>
            <w:r>
              <w:t xml:space="preserve">exceed 5 percent of the total area.</w:t>
            </w:r>
          </w:p>
        </w:tc>
      </w:tr>
      <w:tr>
        <w:tc>
          <w:tcPr/>
          <w:p>
            <w:pPr>
              <w:pStyle w:val="Compact"/>
              <w:jc w:val="left"/>
            </w:pPr>
            <w:r>
              <w:t xml:space="preserve">301</w:t>
            </w:r>
          </w:p>
        </w:tc>
        <w:tc>
          <w:tcPr/>
          <w:p>
            <w:pPr>
              <w:pStyle w:val="Compact"/>
              <w:jc w:val="left"/>
            </w:pPr>
            <w:r>
              <w:t xml:space="preserve">– 400</w:t>
            </w:r>
          </w:p>
        </w:tc>
        <w:tc>
          <w:tcPr/>
          <w:p>
            <w:pPr>
              <w:pStyle w:val="Compact"/>
              <w:jc w:val="left"/>
            </w:pPr>
            <w:r>
              <w:t xml:space="preserve">400 Sq. ft. not to storefront wall</w:t>
            </w:r>
          </w:p>
        </w:tc>
        <w:tc>
          <w:tcPr/>
          <w:p>
            <w:pPr>
              <w:pStyle w:val="Compact"/>
              <w:jc w:val="left"/>
            </w:pPr>
            <w:r>
              <w:t xml:space="preserve">exceed 5 percent of the total area.</w:t>
            </w:r>
          </w:p>
        </w:tc>
      </w:tr>
      <w:tr>
        <w:tc>
          <w:tcPr/>
          <w:p>
            <w:pPr>
              <w:pStyle w:val="Compact"/>
            </w:pPr>
          </w:p>
        </w:tc>
        <w:tc>
          <w:tcPr/>
          <w:p>
            <w:pPr>
              <w:pStyle w:val="Compact"/>
              <w:jc w:val="left"/>
            </w:pPr>
            <w:r>
              <w:t xml:space="preserve">&gt;400</w:t>
            </w:r>
          </w:p>
        </w:tc>
        <w:tc>
          <w:tcPr/>
          <w:p>
            <w:pPr>
              <w:pStyle w:val="Compact"/>
              <w:jc w:val="left"/>
            </w:pPr>
            <w:r>
              <w:t xml:space="preserve">450 Sq. ft. not to storefront wall</w:t>
            </w:r>
          </w:p>
        </w:tc>
        <w:tc>
          <w:tcPr/>
          <w:p>
            <w:pPr>
              <w:pStyle w:val="Compact"/>
              <w:jc w:val="left"/>
            </w:pPr>
            <w:r>
              <w:t xml:space="preserve">exceed 5 percent of the total area.</w:t>
            </w:r>
          </w:p>
        </w:tc>
      </w:tr>
    </w:tbl>
    <w:p>
      <w:pPr>
        <w:pStyle w:val="BodyText"/>
      </w:pPr>
      <w:r>
        <w:t xml:space="preserve">(e) common business or internally</w:t>
      </w:r>
    </w:p>
    <w:p>
      <w:pPr>
        <w:numPr>
          <w:ilvl w:val="0"/>
          <w:numId w:val="1953"/>
        </w:numPr>
      </w:pPr>
      <w:r>
        <w:t xml:space="preserve">(f) in shopping is to be The maximum number of wall-mounted signs shall not be limited, provided however that the total area of all wall-mounted signs shall not exceed the area specified in the table above. 6-20</w:t>
      </w:r>
    </w:p>
    <w:p>
      <w:pPr>
        <w:numPr>
          <w:ilvl w:val="0"/>
          <w:numId w:val="1000"/>
        </w:numPr>
      </w:pPr>
      <w:r>
        <w:t xml:space="preserve">(g) Freestanding signs in shopping centers. A maximum of one (1) freestanding sign per shopping center is permitted. Provided, however that shopping centers which have more than one principal entrance, and (1) each entrance is located on a separate street; or (2) the entrances are at least 1000 feet apart, the maximum number of freestanding signs may be increased to two (2).</w:t>
      </w:r>
    </w:p>
    <w:p>
      <w:pPr>
        <w:numPr>
          <w:ilvl w:val="0"/>
          <w:numId w:val="1954"/>
        </w:numPr>
      </w:pPr>
      <w:r>
        <w:t xml:space="preserve">Freestanding signs may be either internally or externally illuminated.</w:t>
      </w:r>
    </w:p>
    <w:p>
      <w:pPr>
        <w:numPr>
          <w:ilvl w:val="0"/>
          <w:numId w:val="1955"/>
        </w:numPr>
      </w:pPr>
      <w:r>
        <w:t xml:space="preserve">The maximum area and height of freestanding signs for shopping centers shall not exceed the limits specified in the table below.</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Zoning District</w:t>
            </w:r>
          </w:p>
        </w:tc>
        <w:tc>
          <w:tcPr/>
          <w:p>
            <w:pPr>
              <w:pStyle w:val="Compact"/>
              <w:jc w:val="left"/>
            </w:pPr>
            <w:r>
              <w:t xml:space="preserve">Gross floor center</w:t>
            </w:r>
          </w:p>
        </w:tc>
        <w:tc>
          <w:tcPr/>
          <w:p>
            <w:pPr>
              <w:pStyle w:val="Compact"/>
              <w:jc w:val="left"/>
            </w:pPr>
            <w:r>
              <w:t xml:space="preserve">area of shopping</w:t>
            </w:r>
          </w:p>
        </w:tc>
        <w:tc>
          <w:tcPr/>
          <w:p>
            <w:pPr>
              <w:pStyle w:val="Compact"/>
              <w:jc w:val="left"/>
            </w:pPr>
            <w:r>
              <w:t xml:space="preserve">Maximum Area / Height of Free-standing Sign (per side) (area in sq. ft. / height in ft.)</w:t>
            </w:r>
          </w:p>
        </w:tc>
      </w:tr>
      <w:tr>
        <w:tc>
          <w:tcPr/>
          <w:p>
            <w:pPr>
              <w:pStyle w:val="Compact"/>
            </w:pPr>
          </w:p>
        </w:tc>
        <w:tc>
          <w:tcPr/>
          <w:p>
            <w:pPr>
              <w:pStyle w:val="Compact"/>
            </w:pPr>
          </w:p>
        </w:tc>
        <w:tc>
          <w:tcPr/>
          <w:p>
            <w:pPr>
              <w:pStyle w:val="Compact"/>
              <w:jc w:val="left"/>
            </w:pPr>
            <w:r>
              <w:t xml:space="preserve">&lt;10,000 sq.</w:t>
            </w:r>
          </w:p>
        </w:tc>
        <w:tc>
          <w:tcPr/>
          <w:p>
            <w:pPr>
              <w:pStyle w:val="Compact"/>
              <w:jc w:val="left"/>
            </w:pPr>
            <w:r>
              <w:t xml:space="preserve">ft.</w:t>
            </w:r>
          </w:p>
        </w:tc>
        <w:tc>
          <w:tcPr/>
          <w:p>
            <w:pPr>
              <w:pStyle w:val="Compact"/>
              <w:jc w:val="left"/>
            </w:pPr>
            <w:r>
              <w:t xml:space="preserve">25 / 8</w:t>
            </w:r>
          </w:p>
        </w:tc>
      </w:tr>
      <w:tr>
        <w:tc>
          <w:tcPr/>
          <w:p>
            <w:pPr>
              <w:pStyle w:val="Compact"/>
            </w:pPr>
          </w:p>
        </w:tc>
        <w:tc>
          <w:tcPr/>
          <w:p>
            <w:pPr>
              <w:pStyle w:val="Compact"/>
              <w:jc w:val="left"/>
            </w:pPr>
            <w:r>
              <w:t xml:space="preserve">BN</w:t>
            </w:r>
          </w:p>
        </w:tc>
        <w:tc>
          <w:tcPr/>
          <w:p>
            <w:pPr>
              <w:pStyle w:val="Compact"/>
              <w:jc w:val="left"/>
            </w:pPr>
            <w:r>
              <w:t xml:space="preserve">10,000 sq.</w:t>
            </w:r>
          </w:p>
        </w:tc>
        <w:tc>
          <w:tcPr/>
          <w:p>
            <w:pPr>
              <w:pStyle w:val="Compact"/>
              <w:jc w:val="left"/>
            </w:pPr>
            <w:r>
              <w:t xml:space="preserve">ft. or more</w:t>
            </w:r>
          </w:p>
        </w:tc>
        <w:tc>
          <w:tcPr/>
          <w:p>
            <w:pPr>
              <w:pStyle w:val="Compact"/>
              <w:jc w:val="left"/>
            </w:pPr>
            <w:r>
              <w:t xml:space="preserve">40 / 8</w:t>
            </w:r>
          </w:p>
        </w:tc>
      </w:tr>
      <w:tr>
        <w:tc>
          <w:tcPr/>
          <w:p>
            <w:pPr>
              <w:pStyle w:val="Compact"/>
            </w:pPr>
          </w:p>
        </w:tc>
        <w:tc>
          <w:tcPr/>
          <w:p>
            <w:pPr>
              <w:pStyle w:val="Compact"/>
            </w:pPr>
          </w:p>
        </w:tc>
        <w:tc>
          <w:tcPr/>
          <w:p>
            <w:pPr>
              <w:pStyle w:val="Compact"/>
              <w:jc w:val="left"/>
            </w:pPr>
            <w:r>
              <w:t xml:space="preserve">&lt; 100,000</w:t>
            </w:r>
          </w:p>
        </w:tc>
        <w:tc>
          <w:tcPr/>
          <w:p>
            <w:pPr>
              <w:pStyle w:val="Compact"/>
              <w:jc w:val="left"/>
            </w:pPr>
            <w:r>
              <w:t xml:space="preserve">sq. ft.</w:t>
            </w:r>
          </w:p>
        </w:tc>
        <w:tc>
          <w:tcPr/>
          <w:p>
            <w:pPr>
              <w:pStyle w:val="Compact"/>
              <w:jc w:val="left"/>
            </w:pPr>
            <w:r>
              <w:t xml:space="preserve">100 / 10</w:t>
            </w:r>
          </w:p>
        </w:tc>
      </w:tr>
      <w:tr>
        <w:tc>
          <w:tcPr/>
          <w:p>
            <w:pPr>
              <w:pStyle w:val="Compact"/>
            </w:pPr>
          </w:p>
        </w:tc>
        <w:tc>
          <w:tcPr/>
          <w:p>
            <w:pPr>
              <w:pStyle w:val="Compact"/>
              <w:jc w:val="left"/>
            </w:pPr>
            <w:r>
              <w:t xml:space="preserve">BH1</w:t>
            </w:r>
          </w:p>
        </w:tc>
        <w:tc>
          <w:tcPr/>
          <w:p>
            <w:pPr>
              <w:pStyle w:val="Compact"/>
              <w:jc w:val="left"/>
            </w:pPr>
            <w:r>
              <w:t xml:space="preserve">100,000 –</w:t>
            </w:r>
          </w:p>
        </w:tc>
        <w:tc>
          <w:tcPr/>
          <w:p>
            <w:pPr>
              <w:pStyle w:val="Compact"/>
              <w:jc w:val="left"/>
            </w:pPr>
            <w:r>
              <w:t xml:space="preserve">200,000 sq. ft.</w:t>
            </w:r>
          </w:p>
        </w:tc>
        <w:tc>
          <w:tcPr/>
          <w:p>
            <w:pPr>
              <w:pStyle w:val="Compact"/>
              <w:jc w:val="left"/>
            </w:pPr>
            <w:r>
              <w:t xml:space="preserve">175/ 12</w:t>
            </w:r>
          </w:p>
        </w:tc>
      </w:tr>
      <w:tr>
        <w:tc>
          <w:tcPr/>
          <w:p>
            <w:pPr>
              <w:pStyle w:val="Compact"/>
            </w:pPr>
          </w:p>
        </w:tc>
        <w:tc>
          <w:tcPr/>
          <w:p>
            <w:pPr>
              <w:pStyle w:val="Compact"/>
            </w:pPr>
          </w:p>
        </w:tc>
        <w:tc>
          <w:tcPr/>
          <w:p>
            <w:pPr>
              <w:pStyle w:val="Compact"/>
              <w:jc w:val="left"/>
            </w:pPr>
            <w:r>
              <w:t xml:space="preserve">200,000 –</w:t>
            </w:r>
          </w:p>
        </w:tc>
        <w:tc>
          <w:tcPr/>
          <w:p>
            <w:pPr>
              <w:pStyle w:val="Compact"/>
              <w:jc w:val="left"/>
            </w:pPr>
            <w:r>
              <w:t xml:space="preserve">400,000 sq. ft.</w:t>
            </w:r>
          </w:p>
        </w:tc>
        <w:tc>
          <w:tcPr/>
          <w:p>
            <w:pPr>
              <w:pStyle w:val="Compact"/>
              <w:jc w:val="left"/>
            </w:pPr>
            <w:r>
              <w:t xml:space="preserve">200 / 15</w:t>
            </w:r>
          </w:p>
        </w:tc>
      </w:tr>
      <w:tr>
        <w:tc>
          <w:tcPr/>
          <w:p>
            <w:pPr>
              <w:pStyle w:val="Compact"/>
            </w:pPr>
          </w:p>
        </w:tc>
        <w:tc>
          <w:tcPr/>
          <w:p>
            <w:pPr>
              <w:pStyle w:val="Compact"/>
            </w:pPr>
          </w:p>
        </w:tc>
        <w:tc>
          <w:tcPr/>
          <w:p>
            <w:pPr>
              <w:pStyle w:val="Compact"/>
              <w:jc w:val="left"/>
            </w:pPr>
            <w:r>
              <w:t xml:space="preserve">400,000 sq.</w:t>
            </w:r>
          </w:p>
        </w:tc>
        <w:tc>
          <w:tcPr/>
          <w:p>
            <w:pPr>
              <w:pStyle w:val="Compact"/>
              <w:jc w:val="left"/>
            </w:pPr>
            <w:r>
              <w:t xml:space="preserve">ft. or more</w:t>
            </w:r>
          </w:p>
        </w:tc>
        <w:tc>
          <w:tcPr/>
          <w:p>
            <w:pPr>
              <w:pStyle w:val="Compact"/>
              <w:jc w:val="left"/>
            </w:pPr>
            <w:r>
              <w:t xml:space="preserve">350 / 30</w:t>
            </w:r>
          </w:p>
        </w:tc>
      </w:tr>
      <w:tr>
        <w:tc>
          <w:tcPr/>
          <w:p>
            <w:pPr>
              <w:pStyle w:val="Compact"/>
            </w:pPr>
          </w:p>
        </w:tc>
        <w:tc>
          <w:tcPr/>
          <w:p>
            <w:pPr>
              <w:pStyle w:val="Compact"/>
              <w:jc w:val="left"/>
            </w:pPr>
            <w:r>
              <w:t xml:space="preserve">PS</w:t>
            </w:r>
          </w:p>
        </w:tc>
        <w:tc>
          <w:tcPr/>
          <w:p>
            <w:pPr>
              <w:pStyle w:val="Compact"/>
              <w:jc w:val="left"/>
            </w:pPr>
            <w:r>
              <w:t xml:space="preserve">&lt;50,000 sq.</w:t>
            </w:r>
          </w:p>
        </w:tc>
        <w:tc>
          <w:tcPr/>
          <w:p>
            <w:pPr>
              <w:pStyle w:val="Compact"/>
              <w:jc w:val="left"/>
            </w:pPr>
            <w:r>
              <w:t xml:space="preserve">ft.</w:t>
            </w:r>
          </w:p>
        </w:tc>
        <w:tc>
          <w:tcPr/>
          <w:p>
            <w:pPr>
              <w:pStyle w:val="Compact"/>
              <w:jc w:val="left"/>
            </w:pPr>
            <w:r>
              <w:t xml:space="preserve">40 / 8</w:t>
            </w:r>
          </w:p>
        </w:tc>
      </w:tr>
      <w:tr>
        <w:tc>
          <w:tcPr/>
          <w:p>
            <w:pPr>
              <w:pStyle w:val="Compact"/>
            </w:pPr>
          </w:p>
        </w:tc>
        <w:tc>
          <w:tcPr/>
          <w:p>
            <w:pPr>
              <w:pStyle w:val="Compact"/>
            </w:pPr>
          </w:p>
        </w:tc>
        <w:tc>
          <w:tcPr/>
          <w:p>
            <w:pPr>
              <w:pStyle w:val="Compact"/>
              <w:jc w:val="left"/>
            </w:pPr>
            <w:r>
              <w:t xml:space="preserve">50,000 sq.</w:t>
            </w:r>
          </w:p>
        </w:tc>
        <w:tc>
          <w:tcPr/>
          <w:p>
            <w:pPr>
              <w:pStyle w:val="Compact"/>
              <w:jc w:val="left"/>
            </w:pPr>
            <w:r>
              <w:t xml:space="preserve">ft. or more</w:t>
            </w:r>
          </w:p>
        </w:tc>
        <w:tc>
          <w:tcPr/>
          <w:p>
            <w:pPr>
              <w:pStyle w:val="Compact"/>
              <w:jc w:val="left"/>
            </w:pPr>
            <w:r>
              <w:t xml:space="preserve">60 / 10</w:t>
            </w:r>
          </w:p>
        </w:tc>
      </w:tr>
      <w:tr>
        <w:tc>
          <w:tcPr/>
          <w:p>
            <w:pPr>
              <w:pStyle w:val="Compact"/>
            </w:pPr>
          </w:p>
        </w:tc>
        <w:tc>
          <w:tcPr/>
          <w:p>
            <w:pPr>
              <w:pStyle w:val="Compact"/>
              <w:jc w:val="left"/>
            </w:pPr>
            <w:r>
              <w:t xml:space="preserve">LC</w:t>
            </w:r>
          </w:p>
        </w:tc>
        <w:tc>
          <w:tcPr/>
          <w:p>
            <w:pPr>
              <w:pStyle w:val="Compact"/>
              <w:jc w:val="left"/>
            </w:pPr>
            <w:r>
              <w:t xml:space="preserve">&lt;50,000 sq.</w:t>
            </w:r>
          </w:p>
        </w:tc>
        <w:tc>
          <w:tcPr/>
          <w:p>
            <w:pPr>
              <w:pStyle w:val="Compact"/>
              <w:jc w:val="left"/>
            </w:pPr>
            <w:r>
              <w:t xml:space="preserve">ft.</w:t>
            </w:r>
          </w:p>
        </w:tc>
        <w:tc>
          <w:tcPr/>
          <w:p>
            <w:pPr>
              <w:pStyle w:val="Compact"/>
              <w:jc w:val="left"/>
            </w:pPr>
            <w:r>
              <w:t xml:space="preserve">40 / 8</w:t>
            </w:r>
          </w:p>
        </w:tc>
      </w:tr>
      <w:tr>
        <w:tc>
          <w:tcPr/>
          <w:p>
            <w:pPr>
              <w:pStyle w:val="Compact"/>
            </w:pPr>
          </w:p>
        </w:tc>
        <w:tc>
          <w:tcPr/>
          <w:p>
            <w:pPr>
              <w:pStyle w:val="Compact"/>
            </w:pPr>
          </w:p>
        </w:tc>
        <w:tc>
          <w:tcPr/>
          <w:p>
            <w:pPr>
              <w:pStyle w:val="Compact"/>
              <w:jc w:val="left"/>
            </w:pPr>
            <w:r>
              <w:t xml:space="preserve">50,000 sq.</w:t>
            </w:r>
          </w:p>
        </w:tc>
        <w:tc>
          <w:tcPr/>
          <w:p>
            <w:pPr>
              <w:pStyle w:val="Compact"/>
              <w:jc w:val="left"/>
            </w:pPr>
            <w:r>
              <w:t xml:space="preserve">ft. or more</w:t>
            </w:r>
          </w:p>
        </w:tc>
        <w:tc>
          <w:tcPr/>
          <w:p>
            <w:pPr>
              <w:pStyle w:val="Compact"/>
              <w:jc w:val="left"/>
            </w:pPr>
            <w:r>
              <w:t xml:space="preserve">60 / 10</w:t>
            </w:r>
          </w:p>
        </w:tc>
      </w:tr>
      <w:tr>
        <w:tc>
          <w:tcPr/>
          <w:p>
            <w:pPr>
              <w:pStyle w:val="Compact"/>
            </w:pPr>
          </w:p>
        </w:tc>
        <w:tc>
          <w:tcPr/>
          <w:p>
            <w:pPr>
              <w:pStyle w:val="Compact"/>
              <w:jc w:val="left"/>
            </w:pPr>
            <w:r>
              <w:t xml:space="preserve">M</w:t>
            </w:r>
          </w:p>
        </w:tc>
        <w:tc>
          <w:tcPr/>
          <w:p>
            <w:pPr>
              <w:pStyle w:val="Compact"/>
              <w:jc w:val="left"/>
            </w:pPr>
            <w:r>
              <w:t xml:space="preserve">&lt; 100,000</w:t>
            </w:r>
          </w:p>
        </w:tc>
        <w:tc>
          <w:tcPr/>
          <w:p>
            <w:pPr>
              <w:pStyle w:val="Compact"/>
              <w:jc w:val="left"/>
            </w:pPr>
            <w:r>
              <w:t xml:space="preserve">sq. ft.</w:t>
            </w:r>
          </w:p>
        </w:tc>
        <w:tc>
          <w:tcPr/>
          <w:p>
            <w:pPr>
              <w:pStyle w:val="Compact"/>
              <w:jc w:val="left"/>
            </w:pPr>
            <w:r>
              <w:t xml:space="preserve">40 / 8</w:t>
            </w:r>
          </w:p>
        </w:tc>
      </w:tr>
      <w:tr>
        <w:tc>
          <w:tcPr/>
          <w:p>
            <w:pPr>
              <w:pStyle w:val="Compact"/>
            </w:pPr>
          </w:p>
        </w:tc>
        <w:tc>
          <w:tcPr/>
          <w:p>
            <w:pPr>
              <w:pStyle w:val="Compact"/>
            </w:pPr>
          </w:p>
        </w:tc>
        <w:tc>
          <w:tcPr/>
          <w:p>
            <w:pPr>
              <w:pStyle w:val="Compact"/>
              <w:jc w:val="left"/>
            </w:pPr>
            <w:r>
              <w:t xml:space="preserve">100,000 sq.</w:t>
            </w:r>
          </w:p>
        </w:tc>
        <w:tc>
          <w:tcPr/>
          <w:p>
            <w:pPr>
              <w:pStyle w:val="Compact"/>
              <w:jc w:val="left"/>
            </w:pPr>
            <w:r>
              <w:t xml:space="preserve">ft. or more</w:t>
            </w:r>
          </w:p>
        </w:tc>
        <w:tc>
          <w:tcPr/>
          <w:p>
            <w:pPr>
              <w:pStyle w:val="Compact"/>
              <w:jc w:val="left"/>
            </w:pPr>
            <w:r>
              <w:t xml:space="preserve">100 / 10</w:t>
            </w:r>
          </w:p>
        </w:tc>
      </w:tr>
      <w:tr>
        <w:tc>
          <w:tcPr/>
          <w:p>
            <w:pPr>
              <w:pStyle w:val="Compact"/>
              <w:jc w:val="left"/>
            </w:pPr>
            <w:r>
              <w:t xml:space="preserve">(h) (i) in (j) 6.17.7.</w:t>
            </w:r>
          </w:p>
        </w:tc>
        <w:tc>
          <w:tcPr/>
          <w:p>
            <w:pPr>
              <w:pStyle w:val="Compact"/>
              <w:jc w:val="left"/>
            </w:pPr>
            <w:r>
              <w:t xml:space="preserve">Projecting mounted or ground surface Window signs. addition to Awning or clearance of shall be only Signs in a</w:t>
            </w:r>
          </w:p>
        </w:tc>
        <w:tc>
          <w:tcPr/>
          <w:p>
            <w:pPr>
              <w:pStyle w:val="Compact"/>
              <w:jc w:val="left"/>
            </w:pPr>
            <w:r>
              <w:t xml:space="preserve">signs shall freestanding and the Signs any other canopy signs. eight (8) on the Historic</w:t>
            </w:r>
          </w:p>
        </w:tc>
        <w:tc>
          <w:tcPr/>
          <w:p>
            <w:pPr>
              <w:pStyle w:val="Compact"/>
              <w:jc w:val="left"/>
            </w:pPr>
            <w:r>
              <w:t xml:space="preserve">not exceed six (6) signs. There shall lowest part of the which do not exceed permitted sign. Such signs shall feet over sidewalks vertical portion of the District (HD).</w:t>
            </w:r>
          </w:p>
        </w:tc>
        <w:tc>
          <w:tcPr/>
          <w:p>
            <w:pPr>
              <w:pStyle w:val="Compact"/>
              <w:jc w:val="left"/>
            </w:pPr>
            <w:r>
              <w:t xml:space="preserve">sq. ft., and may only be used in place of be a minimum clearance of 10 feet between sign. thirty (30) percent of the window area are not exceed six (6) sq. ft. area, with a and thirteen (13) feet over driveways. The apron which is parallel to the building.</w:t>
            </w:r>
          </w:p>
        </w:tc>
      </w:tr>
    </w:tbl>
    <w:p>
      <w:pPr>
        <w:pStyle w:val="BodyText"/>
      </w:pPr>
      <w:r>
        <w:t xml:space="preserve">permitted wallthe permitted sign text 1 Including BH Limited 6-21 Construction, alteration, or repair of a sign in a Historic District shall be governed by the provisions of Section 19 of this Ordinance.</w:t>
      </w:r>
    </w:p>
    <w:p>
      <w:pPr>
        <w:numPr>
          <w:ilvl w:val="0"/>
          <w:numId w:val="1956"/>
        </w:numPr>
      </w:pPr>
      <w:r>
        <w:t xml:space="preserve">6.17.8. Temporary signs. All temporary signs identified herein shall be permitted in any zoning district without a permit provided that they are removed within ten (10) days following the completion of the advertised activity. No such temporary sign shall be in place more than a total of 30 days, except as otherwise noted.</w:t>
      </w:r>
    </w:p>
    <w:p>
      <w:pPr>
        <w:pStyle w:val="Compact"/>
        <w:numPr>
          <w:ilvl w:val="0"/>
          <w:numId w:val="1957"/>
        </w:numPr>
      </w:pPr>
    </w:p>
    <w:p>
      <w:pPr>
        <w:numPr>
          <w:ilvl w:val="1"/>
          <w:numId w:val="1958"/>
        </w:numPr>
      </w:pPr>
      <w:r>
        <w:t xml:space="preserve">(a) Special events. One sign not to exceed 32 sq. ft. in area denoting a special event of a noncommercial nature, such as fairs, auctions, sporting events, etc. Such signs may be erected not more than thirty (30) days prior to the event and shall be removed within ten (10) days after the event. Such signs may not be illuminated.</w:t>
      </w:r>
    </w:p>
    <w:p>
      <w:pPr>
        <w:pStyle w:val="Compact"/>
        <w:numPr>
          <w:ilvl w:val="0"/>
          <w:numId w:val="1959"/>
        </w:numPr>
      </w:pPr>
    </w:p>
    <w:p>
      <w:pPr>
        <w:numPr>
          <w:ilvl w:val="1"/>
          <w:numId w:val="1960"/>
        </w:numPr>
      </w:pPr>
      <w:r>
        <w:t xml:space="preserve">(b) One sign customary and necessary in the offering of real estate for sale or to let by the owner or the owner's licensed broker or agent, which shall not exceed six (6) square feet in residential zones or twenty (20) square feet in nonresidential zones. Signs indicating the property has been sold must be removed within ten (10) days after the sale is completed.</w:t>
      </w:r>
    </w:p>
    <w:p>
      <w:pPr>
        <w:pStyle w:val="Compact"/>
        <w:numPr>
          <w:ilvl w:val="0"/>
          <w:numId w:val="1961"/>
        </w:numPr>
      </w:pPr>
    </w:p>
    <w:p>
      <w:pPr>
        <w:numPr>
          <w:ilvl w:val="1"/>
          <w:numId w:val="1962"/>
        </w:numPr>
      </w:pPr>
      <w:r>
        <w:t xml:space="preserve">(c) Temporary signs for subdivisions or other real estate developments (six months renewable, three (3) year maximum), no greater than thirty-two (32) square feet in area. The wording shall be restricted to the advertising of the sale or lease of the subject property.</w:t>
      </w:r>
    </w:p>
    <w:p>
      <w:pPr>
        <w:numPr>
          <w:ilvl w:val="0"/>
          <w:numId w:val="1963"/>
        </w:numPr>
      </w:pPr>
      <w:r>
        <w:t xml:space="preserve">6.17.9. Political, election, and non-commercial free speech signs.</w:t>
      </w:r>
    </w:p>
    <w:p>
      <w:pPr>
        <w:pStyle w:val="Compact"/>
        <w:numPr>
          <w:ilvl w:val="0"/>
          <w:numId w:val="1964"/>
        </w:numPr>
      </w:pPr>
    </w:p>
    <w:p>
      <w:pPr>
        <w:numPr>
          <w:ilvl w:val="1"/>
          <w:numId w:val="1965"/>
        </w:numPr>
      </w:pPr>
      <w:r>
        <w:t xml:space="preserve">(a) Purpose. It is the purpose of this section to regulate only the time, place, size and illumination of such signs, and not in any way to regulate the content of such signs.</w:t>
      </w:r>
    </w:p>
    <w:p>
      <w:pPr>
        <w:pStyle w:val="Compact"/>
        <w:numPr>
          <w:ilvl w:val="0"/>
          <w:numId w:val="1966"/>
        </w:numPr>
      </w:pPr>
    </w:p>
    <w:p>
      <w:pPr>
        <w:numPr>
          <w:ilvl w:val="1"/>
          <w:numId w:val="1967"/>
        </w:numPr>
      </w:pPr>
      <w:r>
        <w:t xml:space="preserve">(b) Such signs shall not be attached to any tree, traffic sign, regulating sign or utility pole or within the public right-of-way.</w:t>
      </w:r>
    </w:p>
    <w:p>
      <w:pPr>
        <w:pStyle w:val="Compact"/>
        <w:numPr>
          <w:ilvl w:val="0"/>
          <w:numId w:val="1968"/>
        </w:numPr>
      </w:pPr>
    </w:p>
    <w:p>
      <w:pPr>
        <w:numPr>
          <w:ilvl w:val="1"/>
          <w:numId w:val="1969"/>
        </w:numPr>
      </w:pPr>
      <w:r>
        <w:t xml:space="preserve">(c) No such individual sign shall exceed six (6) square feet (2’x 3’).</w:t>
      </w:r>
    </w:p>
    <w:p>
      <w:pPr>
        <w:pStyle w:val="Compact"/>
        <w:numPr>
          <w:ilvl w:val="0"/>
          <w:numId w:val="1970"/>
        </w:numPr>
      </w:pPr>
    </w:p>
    <w:p>
      <w:pPr>
        <w:numPr>
          <w:ilvl w:val="1"/>
          <w:numId w:val="1971"/>
        </w:numPr>
      </w:pPr>
      <w:r>
        <w:t xml:space="preserve">(d) In a Residential Zone, such signs may be illuminated, but only externally.</w:t>
      </w:r>
    </w:p>
    <w:p>
      <w:pPr>
        <w:pStyle w:val="Compact"/>
        <w:numPr>
          <w:ilvl w:val="0"/>
          <w:numId w:val="1972"/>
        </w:numPr>
      </w:pPr>
    </w:p>
    <w:p>
      <w:pPr>
        <w:numPr>
          <w:ilvl w:val="1"/>
          <w:numId w:val="1973"/>
        </w:numPr>
      </w:pPr>
      <w:r>
        <w:t xml:space="preserve">Any such sign that pertains to a particular event (such as an election or referendum), or public figure (such as person holding public office), or public policy shall be removed within ten (10) days after the particular event 6.17.10. Signs, number, area, height, illumination and placement.</w:t>
      </w:r>
    </w:p>
    <w:p>
      <w:pPr>
        <w:pStyle w:val="Compact"/>
        <w:numPr>
          <w:ilvl w:val="0"/>
          <w:numId w:val="1974"/>
        </w:numPr>
      </w:pPr>
    </w:p>
    <w:p>
      <w:pPr>
        <w:numPr>
          <w:ilvl w:val="1"/>
          <w:numId w:val="1975"/>
        </w:numPr>
      </w:pPr>
      <w:r>
        <w:t xml:space="preserve">(a) Number. For the purposes of determining the number of signs, a sign shall be considered to be a single display surface or display device containing elements organized, related, and composed to form a unit. Where matter is displayed in a random manner without organized relationship of elements, or where there is reasonable doubt about the relationship of elements, each element shall be considered to be a single sign.</w:t>
      </w:r>
    </w:p>
    <w:p>
      <w:pPr>
        <w:pStyle w:val="Compact"/>
        <w:numPr>
          <w:ilvl w:val="0"/>
          <w:numId w:val="1976"/>
        </w:numPr>
      </w:pPr>
    </w:p>
    <w:p>
      <w:pPr>
        <w:numPr>
          <w:ilvl w:val="1"/>
          <w:numId w:val="1977"/>
        </w:numPr>
      </w:pPr>
      <w:r>
        <w:t xml:space="preserve">(b) Measurement of Sign Area. The surface area of a sign shall be computed as including the entire area within a regular geometric form or combinations of regular geometric forms comprising all of the display 6-22 area of the sign and including all of the elements of the matter displayed. Frames and structural members not bearing advertising matter shall not be included in computation of surface area. For a sign consisting of individual letters or symbols attached to or painted on a surface, building, wall or window, the area shall be considered to be that of the smallest single geometric form or other single shape which encompasses all of the letters or symbols. When a sign has two or more faces, the area of all faces shall be included in determining the area, except where two faces are placed back to back and are at no point more than one foot from each other. In this case, the sign area shall be taken as the area of either face, and if the faces are unequal, the larger shall determine the area.</w:t>
      </w:r>
    </w:p>
    <w:p>
      <w:pPr>
        <w:pStyle w:val="Compact"/>
        <w:numPr>
          <w:ilvl w:val="0"/>
          <w:numId w:val="1978"/>
        </w:numPr>
      </w:pPr>
    </w:p>
    <w:p>
      <w:pPr>
        <w:numPr>
          <w:ilvl w:val="1"/>
          <w:numId w:val="1979"/>
        </w:numPr>
      </w:pPr>
      <w:r>
        <w:t xml:space="preserve">(c) Height. The height of a sign shall mean the vertical distance measured from the average ground level at the base of the sign to the highest portion of any portion of the sign or supporting structure.</w:t>
      </w:r>
    </w:p>
    <w:p>
      <w:pPr>
        <w:pStyle w:val="Compact"/>
        <w:numPr>
          <w:ilvl w:val="0"/>
          <w:numId w:val="1980"/>
        </w:numPr>
      </w:pPr>
    </w:p>
    <w:p>
      <w:pPr>
        <w:numPr>
          <w:ilvl w:val="1"/>
          <w:numId w:val="1981"/>
        </w:numPr>
      </w:pPr>
      <w:r>
        <w:t xml:space="preserve">(d) Illumination. Where permitted by this ordinance, signs may be internally or externally illuminated. Indirect light sources, including light bulbs or tubes shall be shielded so as not to create glare upon abutting or nearby streets or abutting property. Direct light sources, including signs having internal lighting, shall be designed so as to either shine through a plastic or other translucent covering, or to create backlighting of individual letters or graphic material. The light source shall be shielded and focused not to extend beyond the sign border.</w:t>
      </w:r>
    </w:p>
    <w:p>
      <w:pPr>
        <w:pStyle w:val="Compact"/>
        <w:numPr>
          <w:ilvl w:val="0"/>
          <w:numId w:val="1982"/>
        </w:numPr>
      </w:pPr>
    </w:p>
    <w:p>
      <w:pPr>
        <w:numPr>
          <w:ilvl w:val="1"/>
          <w:numId w:val="1983"/>
        </w:numPr>
      </w:pPr>
      <w:r>
        <w:t xml:space="preserve">(e) Placement Standards. No freestanding sign shall be paced closer than ten (10) feet to any lot line.</w:t>
      </w:r>
    </w:p>
    <w:p>
      <w:pPr>
        <w:numPr>
          <w:ilvl w:val="0"/>
          <w:numId w:val="1984"/>
        </w:numPr>
      </w:pPr>
      <w:r>
        <w:t xml:space="preserve">6.17.11. Permit procedure.</w:t>
      </w:r>
    </w:p>
    <w:p>
      <w:pPr>
        <w:pStyle w:val="Compact"/>
        <w:numPr>
          <w:ilvl w:val="0"/>
          <w:numId w:val="1985"/>
        </w:numPr>
      </w:pPr>
    </w:p>
    <w:p>
      <w:pPr>
        <w:numPr>
          <w:ilvl w:val="1"/>
          <w:numId w:val="1986"/>
        </w:numPr>
      </w:pPr>
      <w:r>
        <w:t xml:space="preserve">(a) Permit required. Any person intending to erect, relocate or alter any sign within the town shall, except as provided in this article, first obtain a sign permit from the Building Official or designee. This requirement shall not apply to temporary signs and signs listed in Section 6.17.3 herein.</w:t>
      </w:r>
    </w:p>
    <w:p>
      <w:pPr>
        <w:pStyle w:val="Compact"/>
        <w:numPr>
          <w:ilvl w:val="0"/>
          <w:numId w:val="1987"/>
        </w:numPr>
      </w:pPr>
    </w:p>
    <w:p>
      <w:pPr>
        <w:numPr>
          <w:ilvl w:val="1"/>
          <w:numId w:val="1988"/>
        </w:numPr>
      </w:pPr>
      <w:r>
        <w:t xml:space="preserve">(b) Application. Application for a sign permit shall be made on forms provided by the Building Official/Zoning Official and shall contain or shall have attached all of the following information:</w:t>
      </w:r>
    </w:p>
    <w:p>
      <w:pPr>
        <w:pStyle w:val="Compact"/>
        <w:numPr>
          <w:ilvl w:val="0"/>
          <w:numId w:val="1989"/>
        </w:numPr>
      </w:pPr>
    </w:p>
    <w:p>
      <w:pPr>
        <w:pStyle w:val="Compact"/>
        <w:numPr>
          <w:ilvl w:val="1"/>
          <w:numId w:val="1990"/>
        </w:numPr>
      </w:pPr>
    </w:p>
    <w:p>
      <w:pPr>
        <w:numPr>
          <w:ilvl w:val="2"/>
          <w:numId w:val="1991"/>
        </w:numPr>
      </w:pPr>
      <w:r>
        <w:t xml:space="preserve">(1) Submittal requirements are as follows:</w:t>
      </w:r>
    </w:p>
    <w:p>
      <w:pPr>
        <w:numPr>
          <w:ilvl w:val="0"/>
          <w:numId w:val="1992"/>
        </w:numPr>
      </w:pPr>
      <w:r>
        <w:t xml:space="preserve">a. A site plan which shall include the position of all existing and/or proposed signs, indicating the distance and relationship to all existing, proposed and/or adjoining structures or premises.</w:t>
      </w:r>
    </w:p>
    <w:p>
      <w:pPr>
        <w:numPr>
          <w:ilvl w:val="0"/>
          <w:numId w:val="1993"/>
        </w:numPr>
      </w:pPr>
      <w:r>
        <w:t xml:space="preserve">b. A scaled drawing of each face of all existing and/or proposed signs is required, including but not limited to the following:</w:t>
      </w:r>
    </w:p>
    <w:p>
      <w:pPr>
        <w:numPr>
          <w:ilvl w:val="0"/>
          <w:numId w:val="1994"/>
        </w:numPr>
      </w:pPr>
      <w:r>
        <w:t xml:space="preserve">1. All size specifications, including the size of letters and graphics.</w:t>
      </w:r>
    </w:p>
    <w:p>
      <w:pPr>
        <w:numPr>
          <w:ilvl w:val="0"/>
          <w:numId w:val="1995"/>
        </w:numPr>
      </w:pPr>
      <w:r>
        <w:t xml:space="preserve">2. Description of sign and frame materials and colors.</w:t>
      </w:r>
    </w:p>
    <w:p>
      <w:pPr>
        <w:numPr>
          <w:ilvl w:val="0"/>
          <w:numId w:val="1996"/>
        </w:numPr>
      </w:pPr>
      <w:r>
        <w:t xml:space="preserve">3. Wall anchorage details. (Note: Anchorage must be interior to the sign or camouflaged).</w:t>
      </w:r>
    </w:p>
    <w:p>
      <w:pPr>
        <w:numPr>
          <w:ilvl w:val="0"/>
          <w:numId w:val="1997"/>
        </w:numPr>
      </w:pPr>
      <w:r>
        <w:t xml:space="preserve">4. Foundation mounting assembly and/or footing details.</w:t>
      </w:r>
    </w:p>
    <w:p>
      <w:pPr>
        <w:pStyle w:val="Compact"/>
        <w:numPr>
          <w:ilvl w:val="0"/>
          <w:numId w:val="1998"/>
        </w:numPr>
      </w:pPr>
    </w:p>
    <w:p>
      <w:pPr>
        <w:numPr>
          <w:ilvl w:val="1"/>
          <w:numId w:val="1999"/>
        </w:numPr>
      </w:pPr>
      <w:r>
        <w:t xml:space="preserve">c. An elevation drawn to scale of the entire wall of the building to which the sign is to be fixed, correctly locating the sign, and providing the width of the building or affected unit and the height of the first floor.</w:t>
      </w:r>
    </w:p>
    <w:p>
      <w:pPr>
        <w:pStyle w:val="Compact"/>
        <w:numPr>
          <w:ilvl w:val="0"/>
          <w:numId w:val="2000"/>
        </w:numPr>
      </w:pPr>
    </w:p>
    <w:p>
      <w:pPr>
        <w:pStyle w:val="Compact"/>
        <w:numPr>
          <w:ilvl w:val="1"/>
          <w:numId w:val="2001"/>
        </w:numPr>
      </w:pPr>
    </w:p>
    <w:p>
      <w:pPr>
        <w:numPr>
          <w:ilvl w:val="2"/>
          <w:numId w:val="2002"/>
        </w:numPr>
      </w:pPr>
      <w:r>
        <w:t xml:space="preserve">(2) Names of persons performing the work.</w:t>
      </w:r>
    </w:p>
    <w:p>
      <w:pPr>
        <w:pStyle w:val="Compact"/>
        <w:numPr>
          <w:ilvl w:val="0"/>
          <w:numId w:val="2003"/>
        </w:numPr>
      </w:pPr>
    </w:p>
    <w:p>
      <w:pPr>
        <w:pStyle w:val="Compact"/>
        <w:numPr>
          <w:ilvl w:val="1"/>
          <w:numId w:val="2004"/>
        </w:numPr>
      </w:pPr>
    </w:p>
    <w:p>
      <w:pPr>
        <w:numPr>
          <w:ilvl w:val="2"/>
          <w:numId w:val="2005"/>
        </w:numPr>
      </w:pPr>
      <w:r>
        <w:t xml:space="preserve">(3) Written consent of the owner and lessor of the premises. 6-23</w:t>
      </w:r>
    </w:p>
    <w:p>
      <w:pPr>
        <w:numPr>
          <w:ilvl w:val="2"/>
          <w:numId w:val="1000"/>
        </w:numPr>
      </w:pPr>
      <w:r>
        <w:t xml:space="preserve">(4) The electrical permit, if any, when required by the state building code.</w:t>
      </w:r>
    </w:p>
    <w:p>
      <w:pPr>
        <w:pStyle w:val="Compact"/>
        <w:numPr>
          <w:ilvl w:val="0"/>
          <w:numId w:val="2006"/>
        </w:numPr>
      </w:pPr>
    </w:p>
    <w:p>
      <w:pPr>
        <w:pStyle w:val="Compact"/>
        <w:numPr>
          <w:ilvl w:val="1"/>
          <w:numId w:val="2007"/>
        </w:numPr>
      </w:pPr>
    </w:p>
    <w:p>
      <w:pPr>
        <w:numPr>
          <w:ilvl w:val="2"/>
          <w:numId w:val="2008"/>
        </w:numPr>
      </w:pPr>
      <w:r>
        <w:t xml:space="preserve">(5) Description of illumination proposed for the sign and its location on the property or building if the proposed sign is to be illuminated.</w:t>
      </w:r>
    </w:p>
    <w:p>
      <w:pPr>
        <w:pStyle w:val="Compact"/>
        <w:numPr>
          <w:ilvl w:val="0"/>
          <w:numId w:val="2009"/>
        </w:numPr>
      </w:pPr>
    </w:p>
    <w:p>
      <w:pPr>
        <w:pStyle w:val="Compact"/>
        <w:numPr>
          <w:ilvl w:val="1"/>
          <w:numId w:val="2010"/>
        </w:numPr>
      </w:pPr>
    </w:p>
    <w:p>
      <w:pPr>
        <w:pStyle w:val="Compact"/>
        <w:numPr>
          <w:ilvl w:val="2"/>
          <w:numId w:val="2011"/>
        </w:numPr>
      </w:pPr>
    </w:p>
    <w:p>
      <w:pPr>
        <w:numPr>
          <w:ilvl w:val="3"/>
          <w:numId w:val="2012"/>
        </w:numPr>
      </w:pPr>
      <w:r>
        <w:t xml:space="preserve">(c) Fees. Each application for signs shall be accompanied by a filing fee or such other fees as shall from time to time be established by the town council.</w:t>
      </w:r>
    </w:p>
    <w:p>
      <w:pPr>
        <w:pStyle w:val="Compact"/>
        <w:numPr>
          <w:ilvl w:val="0"/>
          <w:numId w:val="2013"/>
        </w:numPr>
      </w:pPr>
    </w:p>
    <w:p>
      <w:pPr>
        <w:pStyle w:val="Compact"/>
        <w:numPr>
          <w:ilvl w:val="1"/>
          <w:numId w:val="2014"/>
        </w:numPr>
      </w:pPr>
    </w:p>
    <w:p>
      <w:pPr>
        <w:pStyle w:val="Compact"/>
        <w:numPr>
          <w:ilvl w:val="2"/>
          <w:numId w:val="2015"/>
        </w:numPr>
      </w:pPr>
    </w:p>
    <w:p>
      <w:pPr>
        <w:numPr>
          <w:ilvl w:val="3"/>
          <w:numId w:val="2016"/>
        </w:numPr>
      </w:pPr>
      <w:r>
        <w:t xml:space="preserve">(d) Review of applications. It shall be the duty of the Building Official or designee, upon the receipt of a completed application for a sign permit, to forward such application for review and comment to those departments with the responsibility to do so and to examine such plans, specifications, other data, and if necessary visit the premises upon which the sign is to be located. If it shall appear that the proposed sign is in compliance with all requirements and other town ordinances, the Building Official or designee shall approve the application and issue the permit.</w:t>
      </w:r>
    </w:p>
    <w:bookmarkEnd w:id="61"/>
    <w:bookmarkStart w:id="62" w:name="special-flood-hazard-areas"/>
    <w:p>
      <w:pPr>
        <w:pStyle w:val="Heading2"/>
      </w:pPr>
      <w:r>
        <w:t xml:space="preserve">§ 6.18. Special Flood Hazard Areas</w:t>
      </w:r>
    </w:p>
    <w:p>
      <w:pPr>
        <w:numPr>
          <w:ilvl w:val="0"/>
          <w:numId w:val="2017"/>
        </w:numPr>
      </w:pPr>
      <w:r>
        <w:t xml:space="preserve">6.18. Special Flood Hazard Areas.</w:t>
      </w:r>
    </w:p>
    <w:p>
      <w:pPr>
        <w:numPr>
          <w:ilvl w:val="0"/>
          <w:numId w:val="2018"/>
        </w:numPr>
      </w:pPr>
      <w:r>
        <w:t xml:space="preserve">6.18.1. Statement of Purpose. The purpose of this ordinance is to ensure public safety; minimize hazards to persons and property from flooding, to protect watercourses from encroachment, and to maintain the capability of floodplains to retain and carry off floodwaters. The Town of North Smithfield elects to comply with the requirements of the National Flood Insurance Act of 1968 (P.L. 90-488, as amended).</w:t>
      </w:r>
    </w:p>
    <w:p>
      <w:pPr>
        <w:numPr>
          <w:ilvl w:val="0"/>
          <w:numId w:val="2019"/>
        </w:numPr>
      </w:pPr>
      <w:r>
        <w:t xml:space="preserve">6.18.2. Applicability.</w:t>
      </w:r>
    </w:p>
    <w:p>
      <w:pPr>
        <w:pStyle w:val="Compact"/>
        <w:numPr>
          <w:ilvl w:val="0"/>
          <w:numId w:val="2020"/>
        </w:numPr>
      </w:pPr>
    </w:p>
    <w:p>
      <w:pPr>
        <w:numPr>
          <w:ilvl w:val="1"/>
          <w:numId w:val="2021"/>
        </w:numPr>
      </w:pPr>
      <w:r>
        <w:t xml:space="preserve">A. Special Flood Hazard Areas. The Special Flood Hazard Areas are herein established as a floodplain overlay district. The District includes all special flood hazard areas within the Town of North Smithfield designated as Zone A, AE, AH, AO, A99, V, or VE on the Providence County Flood Insurance Rate Map (FIRM) and Digital FIRM issued by the Federal Emergency Management Agency (FEMA) for the administration of the National Flood Insurance Program. The map panels of the Providence County FIRM that are wholly or partially within the Town of North Smithfield are panel number 0065 unprinted, panel numbers 0068, 0069, 0151, 0152, 0155, 0156, 0157, 0160, 0165, 0176 and 0178 dated March 2, 2009 and panel number 0166 dated October 2, 2015. The exact boundaries of the District may be defined by the 100-year base flood elevations shown on the FIRM and further defined by the Providence County Flood Insurance Study (FIS) report dated October 2, 2015. The office of the Building Official is responsible for floodplain management. The FIRM and FIS report and any revisions thereto are incorporated herein by reference and are on file with the Town Clerk, Planning Board, Building Official, Conservation Commission and Tax Assessor.</w:t>
      </w:r>
    </w:p>
    <w:p>
      <w:pPr>
        <w:pStyle w:val="Compact"/>
        <w:numPr>
          <w:ilvl w:val="0"/>
          <w:numId w:val="2022"/>
        </w:numPr>
      </w:pPr>
    </w:p>
    <w:p>
      <w:pPr>
        <w:numPr>
          <w:ilvl w:val="1"/>
          <w:numId w:val="2023"/>
        </w:numPr>
      </w:pPr>
      <w:r>
        <w:t xml:space="preserve">B. Administrative Provisions. Building Permit. All proposed construction or other development within a Special Flood Hazard Area shall require a permit. 6-24 The National Flood Insurance Program Special Flood Hazard Area requires permits for all projects that meet the definition of development, not just “building” projects. Development projects include any filling, grading, excavation, mining, drilling, storage of materials, temporary stream crossings. If the construction or other development within a Special Flood Hazard Area is not covered by a building permit, all other non-structural activities shall be permitted by either the Rhode Island Coastal Resources Management Council and/or the Rhode Island Department of Environmental Management as applicable. Therefore if another State agency issues a permit, the local building official must have the opportunity for input and keep a copy of the respective permit in their files. Prior to the issuance of a building or development permit, the applicant shall submit evidence that all necessary permits and approvals have been received from all government agencies from which approval is required by federal or state law. A permit fee (based on the cost of the construction) may be required to be paid to the Town of North Smithfield and a copy of a receipt for the same shall accompany the application. An additional fee may be charged if the code enforcement officer and/or board of appeals need the assistance of a professional engineer. Disclaimer of Liability. The degree of flood protection required by the ordinance is considered reasonable but does not imply total flood protection. Severability. If any section, provision, or portion of this ordinance is adjudged unconstitutional or invalid by a court, the remainder of the ordinance shall not be affected. Abrogation and Greater Restriction. This ordinance shall not in any way impair/remove the necessity of compliance with any other applicable laws, ordinances, regulations, etc. Where this ordinance imposes a greater restriction, the provisions of this ordinance shall control. Enforcement. The building official shall enforce all provisions as applicable in reference to RIGL § 23- 27.3-108.1. Penalties. Every person who shall violate any provision of this code shall be subject to penalties put forth in RIGL § 23-27.3-122.3.</w:t>
      </w:r>
    </w:p>
    <w:p>
      <w:pPr>
        <w:numPr>
          <w:ilvl w:val="0"/>
          <w:numId w:val="2024"/>
        </w:numPr>
      </w:pPr>
      <w:r>
        <w:t xml:space="preserve">6.18.3. Notification of Watercourse Alteration. In a riverine situation, the Building Official shall notify the following of any alteration or relocation of a watercourse: ▪ Adjacent Communities ▪ Bordering States (optional) ▪ NFIP State Coordinator Rhode Island Emergency Management Agency 645 New London Avenue Cranston, RI 02920 6-25 ▪ Risk Analysis Branch Federal Emergency Management Agency, Region I 99 High Street, 6th Floor Boston, MA 02110 The carrying capacity of the altered or relocated watercourse shall be maintained.</w:t>
      </w:r>
    </w:p>
    <w:p>
      <w:pPr>
        <w:numPr>
          <w:ilvl w:val="0"/>
          <w:numId w:val="2025"/>
        </w:numPr>
      </w:pPr>
      <w:r>
        <w:t xml:space="preserve">6.18.4. Use Regulations.</w:t>
      </w:r>
    </w:p>
    <w:p>
      <w:pPr>
        <w:pStyle w:val="Compact"/>
        <w:numPr>
          <w:ilvl w:val="0"/>
          <w:numId w:val="2026"/>
        </w:numPr>
      </w:pPr>
    </w:p>
    <w:p>
      <w:pPr>
        <w:numPr>
          <w:ilvl w:val="1"/>
          <w:numId w:val="2027"/>
        </w:numPr>
      </w:pPr>
      <w:r>
        <w:t xml:space="preserve">A. Reference to Existing Regulations. The Special Flood Hazard Areas are established as a floodplain overlay district. All development in the district, including structural and non-structural activities, whether permitted by right or by special permit must be in compliance with the following: - Rhode Island State Building Code (As established under Rhode Island General Law § 23- 27.3); - Coastal Resources Management Act, Rhode Island Coastal Resources Management Council (RIGL § 46-23) - Endangered Species Act, Rhode Island Department of Environmental Management (RIGL § 20-1-2) - Freshwater Wetlands Act, Rhode Island Department of Environmental Management (RIGL § 2-1-18) - Minimum Standards Related to Individual Sewage Disposal Systems, Rhode Island Department of Environmental Management (RIGL §, 5-56, 5-56.1, 23-19.15, 23-19.5, 23-24.3, 42-17.1, and 46-13.2) − Water Quality Regulations, Rhode Island Department of Environmental Management (RIGL§ 42-17.1 and 42-17.6 and 46-12) Any variances from the provisions and requirements of the above referenced state regulations may only be granted in accordance with the required variance procedures of these state regulations.</w:t>
      </w:r>
    </w:p>
    <w:p>
      <w:pPr>
        <w:pStyle w:val="Compact"/>
        <w:numPr>
          <w:ilvl w:val="0"/>
          <w:numId w:val="2028"/>
        </w:numPr>
      </w:pPr>
    </w:p>
    <w:p>
      <w:pPr>
        <w:numPr>
          <w:ilvl w:val="1"/>
          <w:numId w:val="2029"/>
        </w:numPr>
      </w:pPr>
      <w:r>
        <w:t xml:space="preserve">B. Other Use Regulations. 1) Within Zones AH and AO on the FIRM, adequate drainage paths must be provided around structures on slopes, to guide floodwaters around and away from proposed structures. 2) Within Zones AO on the FIRM, new and substantially improved residential structures shall have the top of the lowest floor at least as high as the FIRM’s depth number above the highest adjacent grade and non-residential structures shall be elevated or flood-proofed above the highest adjacent grade to at least as high as the depth number on the FIRM. On 6-26 FIRMs without a depth number for the AO Zone, structures shall be elevated or flood proofed to at least two feet above the highest adjacent grade. 3) In Zones A1-30 and AE, along watercourses that have a regulatory floodway designated on the Providence County FIRM encroachments are prohibited in the regulatory floodway which would result in any increase in flood levels within the community during the occurrence of the base flood discharge. 4) All subdivision proposals must be designed to assure that: a.) such proposals minimize flood damage; b.) all public utilities and facilities are located and constructed to minimize or eliminate flood damage; and c.) adequate drainage is provided to reduce exposure to flood hazards. 5) Detached accessory structures in Zones A, AE, A1-30, AO, and AH (i.e., garages, sheds) do not have to meet the elevation or dry flood-proofing requirement if the following standards are met: a.) The structure has a value less than $1000. b.) The structure has unfinished interiors and must not be used for human habitation. An apartment, office or other finished space over a detached garage is considered human habitation and would require the structure to be elevated. c.) The structure is not in the floodway. d.) The structure is not used for storage of hazardous materials. e.) The structure is used solely for parking of vehicles and/or limited storage. f.) The accessory must be wet flood proofed and designed to allow for the automatic entry and exit of flood water. g.) The accessory structure shall be firmly anchored to prevent flotation, collapse and lateral movement. h.) Service facilities such as electrical, mechanical and heating equipment must be elevated or flood proofed to or above the base flood elevation. i.) The structure must not increase the flood levels in the floodway. 6) Existing contour intervals of site and elevations of existing structures must be included on plan proposal. 7) No person shall change from business/commercial to residential use of any structure or property located in the floodway of a Special Flood Hazard Area so as to result in a use or expansion that could increase the risk to the occupants. 8) The space below the lowest floor: a.) Free of obstructions as described in FEMA Technical Bulletin 5 “Free of Obstruction Requirements for Buildings Located in Coastal High Hazard Area in Accordance with the National Flood Insurance Program”, or b.) Constructed with open wood lattice-work, or insect screening intended to collapse under wind and water without causing collapse, displacement, or other structural damage to the elevated portion of the building or supporting piles or columns; or, 6-27 Designed with an enclosed area less than 300 square feet that is constructed with non-supporting breakaway walls that have a design safe loading resistance of not less than 10 or more than 20 pounds per square foot.</w:t>
      </w:r>
    </w:p>
    <w:p>
      <w:pPr>
        <w:pStyle w:val="Compact"/>
        <w:numPr>
          <w:ilvl w:val="0"/>
          <w:numId w:val="2030"/>
        </w:numPr>
      </w:pPr>
    </w:p>
    <w:p>
      <w:pPr>
        <w:numPr>
          <w:ilvl w:val="1"/>
          <w:numId w:val="2031"/>
        </w:numPr>
      </w:pPr>
      <w:r>
        <w:t xml:space="preserve">C. Base Flood Elevation and Floodway Data. 1) Floodway Data. In Zones A, A1-30, and AE, along watercourses that have not had a regulatory floodway designated, the best available Federal, State, local, or other floodway data shall be used to prohibit encroachments in floodways which would result in any increase in flood levels within the community during the occurrence of the base flood discharge. 2) Base Flood Elevation Data. Base flood elevation data is required for subdivision proposals or other developments greater than fifty (50) lots or 5 acres, whichever is the lesser, within unnumbered A zones. 3) Base Flood Elevations in A Zones. In the absence of FEMA BFE data and floodway data, the best available Federal, State, local, or other BFE or floodway data shall be used as the basis for elevating residential and non-residential structures to or above the base flood level and for flood proofing non-residential structures to or above the base flood level.</w:t>
      </w:r>
    </w:p>
    <w:p>
      <w:pPr>
        <w:numPr>
          <w:ilvl w:val="0"/>
          <w:numId w:val="2032"/>
        </w:numPr>
      </w:pPr>
      <w:r>
        <w:t xml:space="preserve">6.18.5. Definitions. Unless specifically defined below, words and phrases used in this ordinance pertain to floodplain management, have the same meaning as they have in common usage and to give this ordinance it’s most reasonable application. Accessory Structure – A structure which is on the same parcel of property as the principal structure to be insured and the use of which is incidental to the use of the principal structure. Area of Shallow Flooding (for a community with AO or AH Zones only) - A designated AO, AH, AR/AO, AR/AH, or VO zone on a community’s Flood Insurance Rate Map (FIRM) with a one percent or greater annual chance of flooding to an average depth of one to three feet where a clearly defined channel does not exist, where the path of flooding is unpredictable, and where velocity flow may be evident. Such flooding is characterized by ponding or sheet flow. Area of Special Flood Hazard – see definition for “Special Flood Hazard Area”. Base Flood – The flood having a one (1) percent chance of being equaled or exceeded in any given year. Base Flood Elevation (BFE) – The elevation of the crest of the base flood or 100-year flood. The height, as established in relation to the North American Vertical Datum (NAVD) of 1988 (or other datum where specified), in relation to mean sea level expected to be reached by the waters of the base flood at pertinent points in the floodplains of coastal and riverine areas. Basement – Any area of a building having its floor subgrade (below ground level) on all sides. 6-28 Building – see definition for “Structure”. Coastal A Zone – Area within a special flood hazard area, landward of a V Zone or landward of an open coast without mapped V Zones. The principal source of flooding must be astronomical tides, storm surges, seiches, or tsunamis, not riverine flooding. During the base flood conditions, the potential for breaking wave heights shall be greater than or equal to 1.5 feet. Cost – As related to substantial improvements, the cost of any reconstruction, rehabilitation, addition, alteration, repair or other improvement of a structure shall be established by a detailed written contractor’s estimate. The estimate shall include, but not be limited to: the cost of materials (interior finishing elements, structural elements, utility and service equipment); sales tax on materials, building equipment and fixtures, including heating and air conditioning and utility meters; labor; built-in appliances; demolition and site preparation; repairs made to damaged parts of the building worked on at the same time; contractor’s overhead; contractor’s profit; and grand total. Items to be excluded include: cost of plans and specifications, survey costs, permit fees, costs to correct code violations subsequent to a violation notice, outside improvements such as septic systems, water supply wells, landscaping, sidewalks, fences, yard lights, irrigation systems, and detached structures such as garages, sheds, and gazebos. Development – Any man-made change to improved or unimproved real estate, including but not limited to the construction of buildings or other structures, mining, dredging, filling, grading, paving, excavation or drilling operations or storage of equipment or materials. Existing Manufactured Home Park or Manufactured Home Subdivision – A manufactured home park or manufactured home subdivision for which the construction of facilities for servicing the lots on which the manufactured home are to be affixed (including, as a minimum, the installation of utilities, the construction of streets, and either final site grading or the pouring of concrete pads) is completed before the effective date of the floodplain management regulations adopted by a community. Expansion to an Existing Manufactured Home Park or Existing Manufactured Home Subdivision – The preparation of additional sites by the construction of facilities for servicing the lots on which the manufacturing homes are to be affixed (including the installation of utilities, the construction of streets, and either final site grading or the pouring of concrete pads). Federal Emergency Management Agency (FEMA) - Federal agency that administers the National Flood Insurance Program (NFIP). Flood or Flooding – A general and temporary condition of partial or complete inundation of normally dry land areas from either the overflow of inland or tidal waters, or the unusual and rapid accumulation or runoff of surface waters from any source. Flood Insurance Rate Map (FIRM) – The official map of a community on which the Federal Insurance Administrator has delineated both the special hazard areas and the risk premium zones applicable to the community. A FIRM that has been made available digitally is called a Digital Flood Insurance Rate Map (DFIRM). 6-29 Flood Insurance Study (FIS) – The official study of a community in which the Federal Emergency Management Agency (FEMA) has conducted a technical engineering evaluation and determination of local flood hazards, flood profiles and water surface elevations. The Flood Insurance Rate Maps (FIRM), which accompany the FIS, provide both flood insurance rate zones and base flood elevations, and may provide the regulatory floodway limits. Flood Proofing – Any combination of structural and non-structural additions, changes, or adjustments to structures which reduce or eliminate flood damage to real estate or improved real property, water and sanitary facilities, structures and their contents. Floodway – The channel of a river or other watercourse and the adjacent land areas that must be reserved in order to discharge the base flood without cumulatively increasing the water surface elevation more than a designated height. For the purposes of these regulations, the term “Regulatory Floodway” is synonymous in meaning with the term “Floodway”. Freeboard - A factor of safety usually expressed in feet above a flood level for purposes of floodplain management. "Freeboard" tends to compensate for the many unknown factors that could contribute to flood heights greater than the height calculated for a selected size flood and floodway conditions, such as wave action, bridge openings, and the hydrological effect of urbanization of the watershed. Functionally Dependent Use or Facility – A use that cannot perform its intended purpose unless it is located or carried out in close proximity to water. The term includes only docking facilities, port facilities that are necessary for the loading and unloading of cargo or passengers, and ship building and ship repair facilities. Highest Adjacent Grade (HAG) – The highest natural elevation of the ground surface prior to construction next to the proposed walls of a structure. Historic Structure – Any structure that is: (a) Listed individually in the National Register of Historic Places (a listing maintained by the Department of the Interior) or preliminarily determined by the Secretary of the Interior as meeting the requirements for individual listing on the National Register; (b) Certified or preliminarily determined by the Secretary of the Interior as contributing to the historic significance of a registered historic district or a district preliminarily determined by the Secretary to qualify as a registered historic district; (c) Individually listed on a state inventory of historic places in states with historic preservation programs which have been approved by the Secretary of the Interior; or (d) Individually listed on a local inventory of historic places in communities with historic preservation programs that have been certified either: (1) By an approved state program as determined by the Secretary of the Interior or (2) Directly by the Secretary of the Interior in states without approved programs. Lowest Floor – The lowest floor of the lowest enclosed area (including basement). An unfinished or flood resistant enclosure, usable solely for parking of vehicles, building access or storage in an area other than a basement area is not considered a building’s lowest floor; Provided, that such enclosure is not built so as to render the structure in violation of the applicable non-elevation design requirements of § 60.3. 6-30 Manufactured Home – A structure, transportable in one (1) or more sections, which is built on a permanent chassis and is designed for use with or without a permanent foundation when attached to the required utilities. The term “manufactured home” does not include a “recreational vehicle”. Manufactured Home Park or Manufactured Home Subdivision – A parcel or contiguous parcels of land divided into two (2) or more manufactured home lots for rent or sale. Market Value – Market value is the price of a structure that a willing buyer and seller agree upon. This can be determined by an independent appraisal by a professional appraiser; the property’s tax assessment, minus land value; the replacement cost minus depreciation of the structure; the structure’s Actual Cash Value. New Construction – Structures for which the ‘‘start of construction’’ commenced on or after the effective date of an initial FIRM or after December 31, 1974, whichever is later, and includes any subsequent improvements to such structures. For floodplain management purposes, new construction means structures for which the start of construction commenced on or after the effective date of a floodplain management regulation adopted by a community and includes any subsequent improvements to such structures. New Manufactured Home Park or Manufactured Home Subdivision – A manufactured home park or manufactured home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on or after the effective date of floodplain regulations adopted by the community. (required) Recreational Vehicle – A vehicle which is: (a) built on a single chassis; (b) four hundred (400) square feet or less when measured at the largest horizontal projection; (c) designed to be self-propelled or permanently towable by a light duty truck; and (d) designed primarily not for use as a permanent dwelling but as a temporary living quarters for recreational, camping, travel, or seasonal use. Regulatory Floodway – see definition for “Floodway”. Sheet Flow Area – see definition for “Area of Shallow Flooding”. Special Flood Hazard Area (SFHA) – The land in the floodplain within a community subject to a one (1) percent or greater chance of flooding in any given year. After detailed ratemaking has been completed in preparation for publication of the flood insurance rate map, Zone A usually is refined into Zones A, AO, AH, A1-30, AE, A99, AR, AR/A1-30 ,AR/AE, AR/AO, AR/AH, AR/A, VO, or V1-30, VE or V. For purposes of these regulations, the term “special flood hazard area” is synonymous in meaning with the phrase “area of special flood hazard”. Start of Construction – For other than new construction or substantial improvements under the Coastal Barrier Resources Act (P.L. 97-348), includes substantial improvement and means the date the building permit was issued, provided the actual start of construction, repair, reconstruction, rehabilitation, addition placement, substantial improvement or other improvement was within one hundred and eighty (180) days of the permit date. The actual start means either the first placement of permanent 6-31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in include excavation for a basement, footings, piers, or foundations or the erections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 Structure – For floodplain management purposes, a walled and roofed building, including a gas or liquid storage tank, that is principally above ground, as well as a manufactured home. For insurance purposes, means:</w:t>
      </w:r>
    </w:p>
    <w:p>
      <w:pPr>
        <w:numPr>
          <w:ilvl w:val="0"/>
          <w:numId w:val="2033"/>
        </w:numPr>
      </w:pPr>
      <w:r>
        <w:t xml:space="preserve">1. A building with two or more outside rigid walls and a fully secured roof, that is affixed to a permanent site;</w:t>
      </w:r>
    </w:p>
    <w:p>
      <w:pPr>
        <w:numPr>
          <w:ilvl w:val="0"/>
          <w:numId w:val="2034"/>
        </w:numPr>
      </w:pPr>
      <w:r>
        <w:t xml:space="preserve">2. A manufactured home (“a manufactured home,” also known as a mobile home, is a structure; built on permanent chassis, transported to its site in one or more sections, and affixed to a permanent foundation); or</w:t>
      </w:r>
    </w:p>
    <w:p>
      <w:pPr>
        <w:numPr>
          <w:ilvl w:val="0"/>
          <w:numId w:val="1000"/>
        </w:numPr>
      </w:pPr>
      <w:r>
        <w:t xml:space="preserve">3. A travel trailer without wheels built on a chassis and affixed to a permanent foundation, that is regulated under the community’s floodplain management and building ordinances or laws. For the latter purpose, “structure” does not mean recreational vehicle or a park trailer or other similar vehicle, except as described in paragraph (3) of this definition, or a gas or liquid storage tank. Substantial Damage – Damage of any origin sustained by a structure, whereby the cost of restoring the structure to before damaged condition would equal or exceed 50 percent of the market value of the structure before the damage occurred. Substantial Improvement – Any reconstruction, rehabilitation, addition or other improvements to a structure, the cost of which equals or exceeds 50 percent of the market value of the structure before the “start of construction” of the improvement. This term includes structures which have incurred “substantial damage”, regardless of the actual repair work performed. The term does not, however, include:</w:t>
      </w:r>
    </w:p>
    <w:p>
      <w:pPr>
        <w:numPr>
          <w:ilvl w:val="0"/>
          <w:numId w:val="2035"/>
        </w:numPr>
      </w:pPr>
      <w:r>
        <w:t xml:space="preserve">1. Any project to correct existing violations of state or local health, sanitary, or safety code specifications which have been identified by the local code enforcement official and which are the minimum necessary to assure safe living conditions or</w:t>
      </w:r>
    </w:p>
    <w:p>
      <w:pPr>
        <w:numPr>
          <w:ilvl w:val="0"/>
          <w:numId w:val="1000"/>
        </w:numPr>
      </w:pPr>
      <w:r>
        <w:t xml:space="preserve">2. Any alteration of the “historic structure” provided that the alteration will not preclude the structure’s continued designation as a “historic structure”. Variance - A grant of relief by a community from the terms of the floodplain management ordinance that allows construction in a manner otherwise prohibited and where specific enforcement would result in unnecessary hardship. Violation – Failure of a structure or other development to be fully compliant with the community’s floodplain management ordinance. Construction or other development without required permits, lowest floor elevation documentation, flood-proofing certificates or required floodway encroachment 6-32 calculations is presumed to be in violation until such time as that documentation is provided. (Ord. of 9/21/2015)</w:t>
      </w:r>
    </w:p>
    <w:bookmarkEnd w:id="62"/>
    <w:bookmarkStart w:id="63" w:name="water-supply-protection-overlay-district"/>
    <w:p>
      <w:pPr>
        <w:pStyle w:val="Heading2"/>
      </w:pPr>
      <w:r>
        <w:t xml:space="preserve">§ 6.19. Water Supply Protection Overlay District</w:t>
      </w:r>
    </w:p>
    <w:p>
      <w:pPr>
        <w:pStyle w:val="FirstParagraph"/>
      </w:pPr>
      <w:r>
        <w:t xml:space="preserve">Sec. 6.19. Water Supply Protection Overlay District.</w:t>
      </w:r>
    </w:p>
    <w:p>
      <w:pPr>
        <w:numPr>
          <w:ilvl w:val="0"/>
          <w:numId w:val="2036"/>
        </w:numPr>
      </w:pPr>
      <w:r>
        <w:t xml:space="preserve">6.19.1. Purpose. The regulations herein governing the development and use of lands within the water supply protection overlay district aquifers shall take precedence over any other conflicting laws, ordinance, or codes, and are established for the following purposes:</w:t>
      </w:r>
    </w:p>
    <w:p>
      <w:pPr>
        <w:pStyle w:val="Compact"/>
        <w:numPr>
          <w:ilvl w:val="0"/>
          <w:numId w:val="2037"/>
        </w:numPr>
      </w:pPr>
    </w:p>
    <w:p>
      <w:pPr>
        <w:numPr>
          <w:ilvl w:val="1"/>
          <w:numId w:val="2038"/>
        </w:numPr>
      </w:pPr>
      <w:r>
        <w:t xml:space="preserve">(A) To protect the quality and supply of future and present sources of drinking water for the residents of the Town of North Smithfield and adjacent communities by regulating the use and development of land to protect major stratified drift aquifers and their recharge areas (GAA Classification), surface drinking water supplies and their watersheds, community well-head protection areas, and town-owned non-transient, non-community wellhead protection areas (schools) and to prevent uses of land detrimental thereto;</w:t>
      </w:r>
    </w:p>
    <w:p>
      <w:pPr>
        <w:pStyle w:val="Compact"/>
        <w:numPr>
          <w:ilvl w:val="0"/>
          <w:numId w:val="2039"/>
        </w:numPr>
      </w:pPr>
    </w:p>
    <w:p>
      <w:pPr>
        <w:numPr>
          <w:ilvl w:val="1"/>
          <w:numId w:val="2040"/>
        </w:numPr>
      </w:pPr>
      <w:r>
        <w:t xml:space="preserve">(B) To protect, preserve and enhance drinking water resource quality;</w:t>
      </w:r>
    </w:p>
    <w:p>
      <w:pPr>
        <w:pStyle w:val="Compact"/>
        <w:numPr>
          <w:ilvl w:val="0"/>
          <w:numId w:val="2041"/>
        </w:numPr>
      </w:pPr>
    </w:p>
    <w:p>
      <w:pPr>
        <w:numPr>
          <w:ilvl w:val="1"/>
          <w:numId w:val="2042"/>
        </w:numPr>
      </w:pPr>
      <w:r>
        <w:t xml:space="preserve">(C) To protect the health, safety and general welfare of the public.</w:t>
      </w:r>
    </w:p>
    <w:p>
      <w:pPr>
        <w:numPr>
          <w:ilvl w:val="0"/>
          <w:numId w:val="2043"/>
        </w:numPr>
      </w:pPr>
      <w:r>
        <w:t xml:space="preserve">6.19.2. Definitions. For the purpose of this subsection and this ordinance generally, the following terms shall have these meanings: Aquifer- A saturated and permeable geologic formation that can yield significant quantities of water to</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t xml:space="preserve">wells, Community</w:t>
            </w:r>
          </w:p>
        </w:tc>
        <w:tc>
          <w:tcPr/>
          <w:p>
            <w:pPr>
              <w:pStyle w:val="Compact"/>
              <w:jc w:val="left"/>
            </w:pPr>
            <w:r>
              <w:t xml:space="preserve">springs or water</w:t>
            </w:r>
          </w:p>
        </w:tc>
        <w:tc>
          <w:tcPr/>
          <w:p>
            <w:pPr>
              <w:pStyle w:val="Compact"/>
              <w:jc w:val="left"/>
            </w:pPr>
            <w:r>
              <w:t xml:space="preserve">surface system-</w:t>
            </w:r>
          </w:p>
        </w:tc>
      </w:tr>
      <w:tr>
        <w:tc>
          <w:tcPr/>
          <w:p>
            <w:pPr>
              <w:pStyle w:val="Compact"/>
              <w:jc w:val="left"/>
            </w:pPr>
            <w:r>
              <w:t xml:space="preserve">connections year-round Discharge</w:t>
            </w:r>
          </w:p>
        </w:tc>
        <w:tc>
          <w:tcPr/>
          <w:p>
            <w:pPr>
              <w:pStyle w:val="Compact"/>
              <w:jc w:val="left"/>
            </w:pPr>
            <w:r>
              <w:t xml:space="preserve">used by residents. to</w:t>
            </w:r>
          </w:p>
        </w:tc>
        <w:tc>
          <w:tcPr/>
          <w:p>
            <w:pPr>
              <w:pStyle w:val="Compact"/>
              <w:jc w:val="left"/>
            </w:pPr>
            <w:r>
              <w:t xml:space="preserve">groundwater-.</w:t>
            </w:r>
          </w:p>
        </w:tc>
      </w:tr>
      <w:tr>
        <w:tc>
          <w:tcPr/>
          <w:p>
            <w:pPr>
              <w:pStyle w:val="Compact"/>
              <w:jc w:val="left"/>
            </w:pPr>
            <w:r>
              <w:t xml:space="preserve">or beneath Disposal-</w:t>
            </w:r>
          </w:p>
        </w:tc>
        <w:tc>
          <w:tcPr/>
          <w:p>
            <w:pPr>
              <w:pStyle w:val="Compact"/>
              <w:jc w:val="left"/>
            </w:pPr>
            <w:r>
              <w:t xml:space="preserve">the land The deposit,</w:t>
            </w:r>
          </w:p>
        </w:tc>
        <w:tc>
          <w:tcPr/>
          <w:p>
            <w:pPr>
              <w:pStyle w:val="Compact"/>
              <w:jc w:val="left"/>
            </w:pPr>
            <w:r>
              <w:t xml:space="preserve">surface,</w:t>
            </w:r>
          </w:p>
        </w:tc>
      </w:tr>
      <w:tr>
        <w:tc>
          <w:tcPr/>
          <w:p>
            <w:pPr>
              <w:pStyle w:val="Compact"/>
              <w:jc w:val="left"/>
            </w:pPr>
            <w:r>
              <w:t xml:space="preserve">or hazardous any GAA</w:t>
            </w:r>
          </w:p>
        </w:tc>
        <w:tc>
          <w:tcPr/>
          <w:p>
            <w:pPr>
              <w:pStyle w:val="Compact"/>
              <w:jc w:val="left"/>
            </w:pPr>
            <w:r>
              <w:t xml:space="preserve">material)s) constituent thereof Classification-</w:t>
            </w:r>
          </w:p>
        </w:tc>
        <w:tc>
          <w:tcPr/>
          <w:p>
            <w:pPr>
              <w:pStyle w:val="Compact"/>
              <w:jc w:val="left"/>
            </w:pPr>
            <w:r>
              <w:t xml:space="preserve">may</w:t>
            </w:r>
          </w:p>
        </w:tc>
      </w:tr>
    </w:tbl>
    <w:p>
      <w:pPr>
        <w:pStyle w:val="BodyText"/>
      </w:pPr>
      <w:r>
        <w:t xml:space="preserve">water bodies.</w:t>
      </w:r>
    </w:p>
    <w:p>
      <w:pPr>
        <w:pStyle w:val="BodyText"/>
      </w:pPr>
      <w:r>
        <w:t xml:space="preserve">A public water system which serves at least fifteen (15) service residents or regularly serves at least twenty-five (25)</w:t>
      </w:r>
    </w:p>
    <w:p>
      <w:pPr>
        <w:pStyle w:val="BodyText"/>
      </w:pPr>
      <w:r>
        <w:t xml:space="preserve">The intentional, negligent, accidental, or other release of any pollutant onto in a location where it is likely to enter the groundwater of the State. injection, dumping, spilling, leaking, incineration of, or placing of any pollutant into or on any land or water so that such pollutant(s), hazardous material(s) or enter the environment.</w:t>
      </w:r>
    </w:p>
    <w:p>
      <w:pPr>
        <w:pStyle w:val="BodyText"/>
      </w:pPr>
      <w:r>
        <w:t xml:space="preserve">Groundwater classified GAA includes those groundwater resources that are known or presumed to be suitable for drinking water use without treatment, including the following:</w:t>
      </w:r>
    </w:p>
    <w:p>
      <w:pPr>
        <w:numPr>
          <w:ilvl w:val="0"/>
          <w:numId w:val="2044"/>
        </w:numPr>
      </w:pPr>
      <w:r>
        <w:t xml:space="preserve">(1) The state’s major stratified drift aquifers that are capable of serving as a significant source for a public water supply (groundwater reservoirs) and the critical portion of 6-33 their recharge areas as delineated by DEM; and</w:t>
      </w:r>
    </w:p>
    <w:p>
      <w:pPr>
        <w:numPr>
          <w:ilvl w:val="0"/>
          <w:numId w:val="1000"/>
        </w:numPr>
      </w:pPr>
      <w:r>
        <w:t xml:space="preserve">(2) The wellhead protection area for each public water system community water supply well. Community water supply wells are those that serve resident populations and have at least 15 service connections or serve at least 25 individuals (e.g., municipal wells, and wells serving nursing homes, condominiums, mobile home parks, etc.) Groundwater-Water located beneath the ground surface which completely fills the open spaces between particles of sediment and within rock formations. Underground storage tank (UST)-Any one or more combinations of tanks (including underground pipes connected thereto) used to contain petroleum or other hazardous material and which is located wholly or partly beneath the surface of the ground. Hazardous waste- Any material or combination of materials of a solid, liquid, contained gaseous, or semi-solid form which because of its quantity, concentration or physical, chemical or infectious characteristics may:</w:t>
      </w:r>
    </w:p>
    <w:p>
      <w:pPr>
        <w:numPr>
          <w:ilvl w:val="0"/>
          <w:numId w:val="2045"/>
        </w:numPr>
      </w:pPr>
      <w:r>
        <w:t xml:space="preserve">(1) Cause or significantly contribute to an increase in mortality or an increase in serious irreversible, or incapacitating reversible, illness; or</w:t>
      </w:r>
    </w:p>
    <w:p>
      <w:pPr>
        <w:numPr>
          <w:ilvl w:val="0"/>
          <w:numId w:val="1000"/>
        </w:numPr>
      </w:pPr>
      <w:r>
        <w:t xml:space="preserve">(2) Pose a substantial present or potential hazard to human health or the environment.</w:t>
      </w:r>
    </w:p>
    <w:p>
      <w:pPr>
        <w:numPr>
          <w:ilvl w:val="0"/>
          <w:numId w:val="2046"/>
        </w:numPr>
      </w:pPr>
      <w:r>
        <w:t xml:space="preserve">Such materials include, but are not limited to, those which are toxic, corrosive, flammable, irritants, strong sensitizers, substances which are assimilated or concentrated in and are detrimental to tissue, or which generate pressure through decomposition or chemical reaction and includes septic wastes. In addition, such materials include "industrial waste" as such term is used in the Rhode Island General Laws, as amended, unless the context shall clearly indicate otherwise. Hazardous waste shall also include all waste types as defined in the rules and regulations adopted in accordance with Title 23, Chapter 19.2 of the General Laws of the State of Rhode Island and Providence Plantations, as amended. Hazardous material- Any material defined as a “hazardous substance” by section 101 (14) of the Comprehensive Environmental Response, Compensation and Liability Act (CERCLA) of 1980 (42 USC 9605) as amended. Hazardous Material shall include any hazardous waste as well as any of the following materials: acetone, ethanol, ethylene oxide, methanol, methylene chloride, perchloroethylene and petroleum products. The enumeration of the above materials in not intended in any way to minimize the list of material defined in the aforesaid section. Hazardous waste management facility- A facility, excluding vehicles, for collection, source separation, storage, processing, treatment, recovery, or disposal of hazardous station for hazardous waste, and may include a facility at which such activities occur and hazardous waste has been generated. 6-34 Onsite wastewater treatment system- One installed to provide sanitary sewage disposal by</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leaching Pollutant-</w:t>
            </w:r>
          </w:p>
        </w:tc>
        <w:tc>
          <w:tcPr/>
          <w:p>
            <w:pPr>
              <w:pStyle w:val="Compact"/>
              <w:jc w:val="left"/>
            </w:pPr>
            <w:r>
              <w:t xml:space="preserve">into A</w:t>
            </w:r>
          </w:p>
        </w:tc>
        <w:tc>
          <w:tcPr/>
          <w:p>
            <w:pPr>
              <w:pStyle w:val="Compact"/>
              <w:jc w:val="left"/>
            </w:pPr>
            <w:r>
              <w:t xml:space="preserve">the ground man-made</w:t>
            </w:r>
          </w:p>
        </w:tc>
        <w:tc>
          <w:tcPr/>
          <w:p>
            <w:pPr>
              <w:pStyle w:val="Compact"/>
              <w:jc w:val="left"/>
            </w:pPr>
            <w:r>
              <w:t xml:space="preserve">where or</w:t>
            </w:r>
          </w:p>
        </w:tc>
        <w:tc>
          <w:tcPr/>
          <w:p>
            <w:pPr>
              <w:pStyle w:val="Compact"/>
              <w:jc w:val="left"/>
            </w:pPr>
            <w:r>
              <w:t xml:space="preserve">no man-induced</w:t>
            </w:r>
          </w:p>
        </w:tc>
        <w:tc>
          <w:tcPr/>
          <w:p>
            <w:pPr>
              <w:pStyle w:val="Compact"/>
              <w:jc w:val="left"/>
            </w:pPr>
            <w:r>
              <w:t xml:space="preserve">public sewer system is substance which</w:t>
            </w:r>
          </w:p>
        </w:tc>
      </w:tr>
      <w:tr>
        <w:tc>
          <w:tcPr/>
          <w:p>
            <w:pPr>
              <w:pStyle w:val="Compact"/>
              <w:jc w:val="left"/>
            </w:pPr>
            <w:r>
              <w:t xml:space="preserve">chemical, Recharge</w:t>
            </w:r>
          </w:p>
        </w:tc>
        <w:tc>
          <w:tcPr/>
          <w:p>
            <w:pPr>
              <w:pStyle w:val="Compact"/>
            </w:pPr>
          </w:p>
        </w:tc>
        <w:tc>
          <w:tcPr/>
          <w:p>
            <w:pPr>
              <w:pStyle w:val="Compact"/>
              <w:jc w:val="left"/>
            </w:pPr>
            <w:r>
              <w:t xml:space="preserve">physical, biological area of aquifer-</w:t>
            </w:r>
          </w:p>
        </w:tc>
        <w:tc>
          <w:tcPr/>
          <w:p>
            <w:pPr>
              <w:pStyle w:val="Compact"/>
              <w:jc w:val="left"/>
            </w:pPr>
            <w:r>
              <w:t xml:space="preserve">Any</w:t>
            </w:r>
          </w:p>
        </w:tc>
        <w:tc>
          <w:tcPr/>
          <w:p>
            <w:pPr>
              <w:pStyle w:val="Compact"/>
              <w:jc w:val="left"/>
            </w:pPr>
            <w:r>
              <w:t xml:space="preserve">or area</w:t>
            </w:r>
          </w:p>
        </w:tc>
        <w:tc>
          <w:tcPr/>
          <w:p>
            <w:pPr>
              <w:pStyle w:val="Compact"/>
              <w:jc w:val="left"/>
            </w:pPr>
            <w:r>
              <w:t xml:space="preserve">radiological integrity of in which precipitation</w:t>
            </w:r>
          </w:p>
        </w:tc>
      </w:tr>
      <w:tr>
        <w:tc>
          <w:tcPr/>
          <w:p>
            <w:pPr>
              <w:pStyle w:val="Compact"/>
              <w:jc w:val="left"/>
            </w:pPr>
            <w:r>
              <w:t xml:space="preserve">and flows Reservoir.</w:t>
            </w:r>
          </w:p>
        </w:tc>
        <w:tc>
          <w:tcPr/>
          <w:p>
            <w:pPr>
              <w:pStyle w:val="Compact"/>
              <w:jc w:val="left"/>
            </w:pPr>
            <w:r>
              <w:t xml:space="preserve">A</w:t>
            </w:r>
          </w:p>
        </w:tc>
        <w:tc>
          <w:tcPr/>
          <w:p>
            <w:pPr>
              <w:pStyle w:val="Compact"/>
              <w:jc w:val="left"/>
            </w:pPr>
            <w:r>
              <w:t xml:space="preserve">through materials pond, lake,</w:t>
            </w:r>
          </w:p>
        </w:tc>
        <w:tc>
          <w:tcPr/>
          <w:p>
            <w:pPr>
              <w:pStyle w:val="Compact"/>
              <w:jc w:val="left"/>
            </w:pPr>
            <w:r>
              <w:t xml:space="preserve">to or</w:t>
            </w:r>
          </w:p>
        </w:tc>
        <w:tc>
          <w:tcPr/>
          <w:p>
            <w:pPr>
              <w:pStyle w:val="Compact"/>
              <w:jc w:val="left"/>
            </w:pPr>
            <w:r>
              <w:t xml:space="preserve">the basin,</w:t>
            </w:r>
          </w:p>
        </w:tc>
        <w:tc>
          <w:tcPr/>
          <w:p>
            <w:pPr>
              <w:pStyle w:val="Compact"/>
              <w:jc w:val="left"/>
            </w:pPr>
            <w:r>
              <w:t xml:space="preserve">aquifer. either natural or artificial,</w:t>
            </w:r>
          </w:p>
        </w:tc>
      </w:tr>
      <w:tr>
        <w:tc>
          <w:tcPr/>
          <w:p>
            <w:pPr>
              <w:pStyle w:val="Compact"/>
              <w:jc w:val="left"/>
            </w:pPr>
            <w:r>
              <w:t xml:space="preserve">and control Solid</w:t>
            </w:r>
          </w:p>
        </w:tc>
        <w:tc>
          <w:tcPr/>
          <w:p>
            <w:pPr>
              <w:pStyle w:val="Compact"/>
              <w:jc w:val="left"/>
            </w:pPr>
            <w:r>
              <w:t xml:space="preserve">wastes-</w:t>
            </w:r>
          </w:p>
        </w:tc>
        <w:tc>
          <w:tcPr/>
          <w:p>
            <w:pPr>
              <w:pStyle w:val="Compact"/>
              <w:jc w:val="left"/>
            </w:pPr>
            <w:r>
              <w:t xml:space="preserve">of water. Useless,</w:t>
            </w:r>
          </w:p>
        </w:tc>
        <w:tc>
          <w:tcPr/>
          <w:p>
            <w:pPr>
              <w:pStyle w:val="Compact"/>
              <w:jc w:val="left"/>
            </w:pPr>
            <w:r>
              <w:t xml:space="preserve">unwanted</w:t>
            </w:r>
          </w:p>
        </w:tc>
        <w:tc>
          <w:tcPr/>
          <w:p>
            <w:pPr>
              <w:pStyle w:val="Compact"/>
              <w:jc w:val="left"/>
            </w:pPr>
            <w:r>
              <w:t xml:space="preserve">or</w:t>
            </w:r>
          </w:p>
        </w:tc>
        <w:tc>
          <w:tcPr/>
          <w:p>
            <w:pPr>
              <w:pStyle w:val="Compact"/>
              <w:jc w:val="left"/>
            </w:pPr>
            <w:r>
              <w:t xml:space="preserve">discarded solid materials</w:t>
            </w:r>
          </w:p>
        </w:tc>
      </w:tr>
      <w:tr>
        <w:tc>
          <w:tcPr/>
          <w:p>
            <w:pPr>
              <w:pStyle w:val="Compact"/>
              <w:jc w:val="left"/>
            </w:pPr>
            <w:r>
              <w:t xml:space="preserve">content to garbage, refuse. Town-owned</w:t>
            </w:r>
          </w:p>
        </w:tc>
        <w:tc>
          <w:tcPr/>
          <w:p>
            <w:pPr>
              <w:pStyle w:val="Compact"/>
              <w:jc w:val="left"/>
            </w:pPr>
            <w:r>
              <w:t xml:space="preserve">be scrap</w:t>
            </w:r>
          </w:p>
        </w:tc>
        <w:tc>
          <w:tcPr/>
          <w:p>
            <w:pPr>
              <w:pStyle w:val="Compact"/>
              <w:jc w:val="left"/>
            </w:pPr>
            <w:r>
              <w:t xml:space="preserve">free-flowing. materials, non-transient</w:t>
            </w:r>
          </w:p>
        </w:tc>
        <w:tc>
          <w:tcPr/>
          <w:p>
            <w:pPr>
              <w:pStyle w:val="Compact"/>
              <w:jc w:val="left"/>
            </w:pPr>
            <w:r>
              <w:t xml:space="preserve">This junk,</w:t>
            </w:r>
          </w:p>
        </w:tc>
        <w:tc>
          <w:tcPr/>
          <w:p>
            <w:pPr>
              <w:pStyle w:val="Compact"/>
              <w:jc w:val="left"/>
            </w:pPr>
            <w:r>
              <w:t xml:space="preserve">fill non-community</w:t>
            </w:r>
          </w:p>
        </w:tc>
        <w:tc>
          <w:tcPr/>
          <w:p>
            <w:pPr>
              <w:pStyle w:val="Compact"/>
              <w:jc w:val="left"/>
            </w:pPr>
            <w:r>
              <w:t xml:space="preserve">includes, but is not limited material, demolition water system-</w:t>
            </w:r>
          </w:p>
        </w:tc>
      </w:tr>
      <w:tr>
        <w:tc>
          <w:tcPr/>
          <w:p>
            <w:pPr>
              <w:pStyle w:val="Compact"/>
              <w:jc w:val="left"/>
            </w:pPr>
            <w:r>
              <w:t xml:space="preserve">water system year (e.g., Water</w:t>
            </w:r>
          </w:p>
        </w:tc>
        <w:tc>
          <w:tcPr/>
          <w:p>
            <w:pPr>
              <w:pStyle w:val="Compact"/>
              <w:jc w:val="left"/>
            </w:pPr>
            <w:r>
              <w:t xml:space="preserve">Supply</w:t>
            </w:r>
          </w:p>
        </w:tc>
        <w:tc>
          <w:tcPr/>
          <w:p>
            <w:pPr>
              <w:pStyle w:val="Compact"/>
              <w:jc w:val="left"/>
            </w:pPr>
            <w:r>
              <w:t xml:space="preserve">that regularly schools). Overlay</w:t>
            </w:r>
          </w:p>
        </w:tc>
        <w:tc>
          <w:tcPr/>
          <w:p>
            <w:pPr>
              <w:pStyle w:val="Compact"/>
              <w:jc w:val="left"/>
            </w:pPr>
            <w:r>
              <w:t xml:space="preserve">District-</w:t>
            </w:r>
          </w:p>
        </w:tc>
        <w:tc>
          <w:tcPr/>
          <w:p>
            <w:pPr>
              <w:pStyle w:val="Compact"/>
              <w:jc w:val="left"/>
            </w:pPr>
            <w:r>
              <w:t xml:space="preserve">services The</w:t>
            </w:r>
          </w:p>
        </w:tc>
        <w:tc>
          <w:tcPr/>
          <w:p>
            <w:pPr>
              <w:pStyle w:val="Compact"/>
              <w:jc w:val="left"/>
            </w:pPr>
            <w:r>
              <w:t xml:space="preserve">at least 25 of the same Water Supply Overlay</w:t>
            </w:r>
          </w:p>
        </w:tc>
      </w:tr>
      <w:tr>
        <w:tc>
          <w:tcPr/>
          <w:p>
            <w:pPr>
              <w:pStyle w:val="Compact"/>
              <w:jc w:val="left"/>
            </w:pPr>
            <w:r>
              <w:t xml:space="preserve">Town Classification), areas, and The term Protection Water</w:t>
            </w:r>
          </w:p>
        </w:tc>
        <w:tc>
          <w:tcPr/>
          <w:p>
            <w:pPr>
              <w:pStyle w:val="Compact"/>
              <w:jc w:val="left"/>
            </w:pPr>
            <w:r>
              <w:t xml:space="preserve">identified Supply</w:t>
            </w:r>
          </w:p>
        </w:tc>
        <w:tc>
          <w:tcPr/>
          <w:p>
            <w:pPr>
              <w:pStyle w:val="Compact"/>
              <w:jc w:val="left"/>
            </w:pPr>
            <w:r>
              <w:t xml:space="preserve">as major surface town-owned Water Supply Overlay District. Watershed-The</w:t>
            </w:r>
          </w:p>
        </w:tc>
        <w:tc>
          <w:tcPr/>
          <w:p>
            <w:pPr>
              <w:pStyle w:val="Compact"/>
              <w:jc w:val="left"/>
            </w:pPr>
            <w:r>
              <w:t xml:space="preserve">stratified drinking Overlay</w:t>
            </w:r>
          </w:p>
        </w:tc>
        <w:tc>
          <w:tcPr/>
          <w:p>
            <w:pPr>
              <w:pStyle w:val="Compact"/>
              <w:jc w:val="left"/>
            </w:pPr>
            <w:r>
              <w:t xml:space="preserve">water non-transient, portion</w:t>
            </w:r>
          </w:p>
        </w:tc>
        <w:tc>
          <w:tcPr/>
          <w:p>
            <w:pPr>
              <w:pStyle w:val="Compact"/>
              <w:jc w:val="left"/>
            </w:pPr>
            <w:r>
              <w:t xml:space="preserve">drift aquifers and their supply watersheds, non-community District shall be synonymous of land drained by</w:t>
            </w:r>
          </w:p>
        </w:tc>
      </w:tr>
      <w:tr>
        <w:tc>
          <w:tcPr/>
          <w:p>
            <w:pPr>
              <w:pStyle w:val="Compact"/>
              <w:jc w:val="left"/>
            </w:pPr>
            <w:r>
              <w:t xml:space="preserve">reservoir Water</w:t>
            </w:r>
          </w:p>
        </w:tc>
        <w:tc>
          <w:tcPr/>
          <w:p>
            <w:pPr>
              <w:pStyle w:val="Compact"/>
              <w:jc w:val="left"/>
            </w:pPr>
            <w:r>
              <w:t xml:space="preserve">used table-</w:t>
            </w:r>
          </w:p>
        </w:tc>
        <w:tc>
          <w:tcPr/>
          <w:p>
            <w:pPr>
              <w:pStyle w:val="Compact"/>
              <w:jc w:val="left"/>
            </w:pPr>
            <w:r>
              <w:t xml:space="preserve">for the The upper</w:t>
            </w:r>
          </w:p>
        </w:tc>
        <w:tc>
          <w:tcPr/>
          <w:p>
            <w:pPr>
              <w:pStyle w:val="Compact"/>
              <w:jc w:val="left"/>
            </w:pPr>
            <w:r>
              <w:t xml:space="preserve">storage, surface</w:t>
            </w:r>
          </w:p>
        </w:tc>
        <w:tc>
          <w:tcPr/>
          <w:p>
            <w:pPr>
              <w:pStyle w:val="Compact"/>
              <w:jc w:val="left"/>
            </w:pPr>
            <w:r>
              <w:t xml:space="preserve">regulation, of</w:t>
            </w:r>
          </w:p>
        </w:tc>
        <w:tc>
          <w:tcPr/>
          <w:p>
            <w:pPr>
              <w:pStyle w:val="Compact"/>
              <w:jc w:val="left"/>
            </w:pPr>
            <w:r>
              <w:t xml:space="preserve">and control of the saturated zone in</w:t>
            </w:r>
          </w:p>
        </w:tc>
      </w:tr>
      <w:tr>
        <w:tc>
          <w:tcPr/>
          <w:p>
            <w:pPr>
              <w:pStyle w:val="Compact"/>
              <w:jc w:val="left"/>
            </w:pPr>
            <w:r>
              <w:t xml:space="preserve">Wellhead</w:t>
            </w:r>
          </w:p>
        </w:tc>
        <w:tc>
          <w:tcPr/>
          <w:p>
            <w:pPr>
              <w:pStyle w:val="Compact"/>
            </w:pPr>
          </w:p>
        </w:tc>
        <w:tc>
          <w:tcPr/>
          <w:p>
            <w:pPr>
              <w:pStyle w:val="Compact"/>
              <w:jc w:val="left"/>
            </w:pPr>
            <w:r>
              <w:t xml:space="preserve">protection area-</w:t>
            </w:r>
          </w:p>
        </w:tc>
        <w:tc>
          <w:tcPr/>
          <w:p>
            <w:pPr>
              <w:pStyle w:val="Compact"/>
              <w:jc w:val="left"/>
            </w:pPr>
            <w:r>
              <w:t xml:space="preserve">The</w:t>
            </w:r>
          </w:p>
        </w:tc>
        <w:tc>
          <w:tcPr/>
          <w:p>
            <w:pPr>
              <w:pStyle w:val="Compact"/>
              <w:jc w:val="left"/>
            </w:pPr>
            <w:r>
              <w:t xml:space="preserve">critical</w:t>
            </w:r>
          </w:p>
        </w:tc>
        <w:tc>
          <w:tcPr/>
          <w:p>
            <w:pPr>
              <w:pStyle w:val="Compact"/>
              <w:jc w:val="left"/>
            </w:pPr>
            <w:r>
              <w:t xml:space="preserve">portion of a</w:t>
            </w:r>
          </w:p>
        </w:tc>
      </w:tr>
    </w:tbl>
    <w:p>
      <w:pPr>
        <w:pStyle w:val="BodyText"/>
      </w:pPr>
      <w:r>
        <w:t xml:space="preserve">available or accessible.</w:t>
      </w:r>
    </w:p>
    <w:p>
      <w:pPr>
        <w:pStyle w:val="BodyText"/>
      </w:pPr>
      <w:r>
        <w:t xml:space="preserve">causes or could cause the alteration of the groundwater. percolates to the water table for the storage, regulation, with insufficient liquid to, rubbish, combustion residues, debris, construction wastes and A town-owned non-community persons over six months of the District includes all land in the recharge areas (GAA community wellhead protection wellhead protection areas (schools). with Groundwater Aquifer a river and its tributaries to a public drinking water. an unconfined aquifer. three-dimensional zone, surrounding a community public well or town-owned non-transient non-community well (schools) through which water will move toward and reach such well or well field as designated by the RIDEM and any amendments thereto.</w:t>
      </w:r>
    </w:p>
    <w:p>
      <w:pPr>
        <w:numPr>
          <w:ilvl w:val="0"/>
          <w:numId w:val="2047"/>
        </w:numPr>
      </w:pPr>
      <w:r>
        <w:t xml:space="preserve">6.19.3. Applicability. With the exception of exempt industrial or commercial areas as depicted on Water Supply Protection Overlay District Map, there is hereby established an Water Supply Overlay District (“the District”), which shall be defined as lots of record, or portions thereof, which are indicated as major stratified drift aquifers and their recharge areas (GAA Classification), surface drinking water supply watersheds, community well-head protection areas, and town-owned non-transient, non-community wellhead 6-35 protection areas (schools) on the Official Zoning Map that is part of this Ordinance, and on file at the Town Clerk’s Office and on display in the Building Inspector’s Office. The map of the Water Supply Overlay District is based upon natural topography and estimated groundwater recharge flow lines, not property boundaries. The boundaries of the water supply basin include sub watersheds of the Blackstone Watershed and further, a drinking water, sub watershed of the Peters River to Mouth area known as the Crookfall Brook Watershed. The primary groundwater protection areas were delineated by the RI DEM pursuant to the methodology described in the Groundwater Quality Rules, June 2010, and amendments thereto. The Water Supply Overlay District is superimposed over any other zoning district established by this Ordinance. The regulations imposed by the Water Supply Overlay District shall apply in addition to the regulations of the underlying zoning district. In the event of a conflict or inconsistency between the regulations imposed by the Water Supply Overlay District and those imposed by the underlying district, the regulations imposed by the Water Supply Overly District shall govern. The Crookfall Brook Watershed encompasses and is home to the City of Woonsocket public drinking water natural resource. Accordingly, the City of Woonsocket, Town of Lincoln, and Town of Smithfield, shall be notified regarding projects within the Crookfall Brook Watershed. Project’s falling within the GAA area in the northern part of North Smithfield shall require notice to the Towns of Uxbridge and Blackstone, Massachusetts.</w:t>
      </w:r>
    </w:p>
    <w:p>
      <w:pPr>
        <w:numPr>
          <w:ilvl w:val="0"/>
          <w:numId w:val="2048"/>
        </w:numPr>
      </w:pPr>
      <w:r>
        <w:t xml:space="preserve">6.19.4. Characteristics. Water generally enters an aquifer by downward percolation from land surface recharge area and moves laterally underground toward areas of natural and man-induced discharge. The soils and subsoil conditions of the lands in the groundwater aquifer zone are such that any use introducing pollutants or hazardous materials into the natural drainage system could adversely affect the quality of drinking water resources, including the waters of the Slatersville and the Woonsocket Water Supply Reservoirs.</w:t>
      </w:r>
    </w:p>
    <w:p>
      <w:pPr>
        <w:numPr>
          <w:ilvl w:val="0"/>
          <w:numId w:val="2049"/>
        </w:numPr>
      </w:pPr>
      <w:r>
        <w:t xml:space="preserve">6.19.5. Permitted uses. All uses otherwise permitted in the various zones established by this ordinance that do not cause the introduction of pollutants or hazardous materials into the ground or waters of the Town shall be permitted in the Water Supply Overlay District.</w:t>
      </w:r>
    </w:p>
    <w:p>
      <w:pPr>
        <w:numPr>
          <w:ilvl w:val="0"/>
          <w:numId w:val="2050"/>
        </w:numPr>
      </w:pPr>
      <w:r>
        <w:t xml:space="preserve">6.19.6. Prohibited uses. The following uses, except those lawfully maintained pre-existing uses, are specifically prohibited within the Water Supply Overlay District:</w:t>
      </w:r>
    </w:p>
    <w:p>
      <w:pPr>
        <w:pStyle w:val="Compact"/>
        <w:numPr>
          <w:ilvl w:val="0"/>
          <w:numId w:val="2051"/>
        </w:numPr>
      </w:pPr>
    </w:p>
    <w:p>
      <w:pPr>
        <w:numPr>
          <w:ilvl w:val="1"/>
          <w:numId w:val="2052"/>
        </w:numPr>
      </w:pPr>
      <w:r>
        <w:t xml:space="preserve">(A) Any uses prohibited (N) in the underlying zoning districts;</w:t>
      </w:r>
    </w:p>
    <w:p>
      <w:pPr>
        <w:pStyle w:val="Compact"/>
        <w:numPr>
          <w:ilvl w:val="0"/>
          <w:numId w:val="2053"/>
        </w:numPr>
      </w:pPr>
    </w:p>
    <w:p>
      <w:pPr>
        <w:numPr>
          <w:ilvl w:val="1"/>
          <w:numId w:val="2054"/>
        </w:numPr>
      </w:pPr>
      <w:r>
        <w:t xml:space="preserve">(B) Septic and solid waste management, treatment, or transfer facilities, including, without limitation, landfills, junkyards and salvage yards. Additionally, land disposal of septage 6-36 and sewage sludge, resource recovery or recycling facilities, and hazardous waste treatment facilities;</w:t>
      </w:r>
    </w:p>
    <w:p>
      <w:pPr>
        <w:pStyle w:val="Compact"/>
        <w:numPr>
          <w:ilvl w:val="0"/>
          <w:numId w:val="2055"/>
        </w:numPr>
      </w:pPr>
    </w:p>
    <w:p>
      <w:pPr>
        <w:numPr>
          <w:ilvl w:val="1"/>
          <w:numId w:val="2056"/>
        </w:numPr>
      </w:pPr>
      <w:r>
        <w:t xml:space="preserve">(C) Storage of petroleum or petroleum products, including, without limitation, gasoline service stations, fuel dealers, oil and bottled gas sales and service, and open lot storage of such fuels. This prohibition shall not apply to the replacement or upgrading of existing underground storage tanks containing petroleum products or hazardous materials and associated piping, having the same storage capacity or less, installed prior to the effective date of these regulations, provided that such activity is regulated by the RI Department of Environmental Management and takes place in accordance with all applicable state and federal regulations;</w:t>
      </w:r>
    </w:p>
    <w:p>
      <w:pPr>
        <w:pStyle w:val="Compact"/>
        <w:numPr>
          <w:ilvl w:val="0"/>
          <w:numId w:val="2057"/>
        </w:numPr>
      </w:pPr>
    </w:p>
    <w:p>
      <w:pPr>
        <w:numPr>
          <w:ilvl w:val="1"/>
          <w:numId w:val="2058"/>
        </w:numPr>
      </w:pPr>
      <w:r>
        <w:t xml:space="preserve">(D) Storage of road salt, sand/salt mixtures, or other de-icing chemicals in quantities greater than for normal individual household use. At locations where such materials have been stored prior to the effective date of these regulations, such materials must, at a minimum be covered with a secured, durable, waterproof cover to protect the materials from precipitation, with an impermeable storage and handling surface that will prevent contaminated runoff;</w:t>
      </w:r>
    </w:p>
    <w:p>
      <w:pPr>
        <w:pStyle w:val="Compact"/>
        <w:numPr>
          <w:ilvl w:val="0"/>
          <w:numId w:val="2059"/>
        </w:numPr>
      </w:pPr>
    </w:p>
    <w:p>
      <w:pPr>
        <w:numPr>
          <w:ilvl w:val="1"/>
          <w:numId w:val="2060"/>
        </w:numPr>
      </w:pPr>
      <w:r>
        <w:t xml:space="preserve">(E) Manufacture, use, storage, or disposal of toxic or hazardous materials, excluding normal household activities;</w:t>
      </w:r>
    </w:p>
    <w:p>
      <w:pPr>
        <w:pStyle w:val="Compact"/>
        <w:numPr>
          <w:ilvl w:val="0"/>
          <w:numId w:val="2061"/>
        </w:numPr>
      </w:pPr>
    </w:p>
    <w:p>
      <w:pPr>
        <w:numPr>
          <w:ilvl w:val="1"/>
          <w:numId w:val="2062"/>
        </w:numPr>
      </w:pPr>
      <w:r>
        <w:t xml:space="preserve">(F) Industrial uses which discharge process liquids on-site, like metal plating, machine shops, metal working shops and welding shops, finishing and polishing, including jewelry manufacturing;</w:t>
      </w:r>
    </w:p>
    <w:p>
      <w:pPr>
        <w:pStyle w:val="Compact"/>
        <w:numPr>
          <w:ilvl w:val="0"/>
          <w:numId w:val="2063"/>
        </w:numPr>
      </w:pPr>
    </w:p>
    <w:p>
      <w:pPr>
        <w:numPr>
          <w:ilvl w:val="1"/>
          <w:numId w:val="2064"/>
        </w:numPr>
      </w:pPr>
      <w:r>
        <w:t xml:space="preserve">(G) Commercial chemical users, including but not limited to hairdressers, photographic processors, print shops; and dry cleaners, excluding pick-up or drop off;</w:t>
      </w:r>
    </w:p>
    <w:p>
      <w:pPr>
        <w:pStyle w:val="Compact"/>
        <w:numPr>
          <w:ilvl w:val="0"/>
          <w:numId w:val="2065"/>
        </w:numPr>
      </w:pPr>
    </w:p>
    <w:p>
      <w:pPr>
        <w:numPr>
          <w:ilvl w:val="1"/>
          <w:numId w:val="2066"/>
        </w:numPr>
      </w:pPr>
      <w:r>
        <w:t xml:space="preserve">(H) Furniture stripping and refinishing businesses;</w:t>
      </w:r>
    </w:p>
    <w:p>
      <w:pPr>
        <w:pStyle w:val="Compact"/>
        <w:numPr>
          <w:ilvl w:val="0"/>
          <w:numId w:val="2067"/>
        </w:numPr>
      </w:pPr>
    </w:p>
    <w:p>
      <w:pPr>
        <w:numPr>
          <w:ilvl w:val="1"/>
          <w:numId w:val="2068"/>
        </w:numPr>
      </w:pPr>
      <w:r>
        <w:t xml:space="preserve">(I) Storage or disposal of hazardous waste, including, without limitation, chemical wastes, radioactive materials, and waste oil other than in the course of normal household activity;</w:t>
      </w:r>
    </w:p>
    <w:p>
      <w:pPr>
        <w:pStyle w:val="Compact"/>
        <w:numPr>
          <w:ilvl w:val="0"/>
          <w:numId w:val="2069"/>
        </w:numPr>
      </w:pPr>
    </w:p>
    <w:p>
      <w:pPr>
        <w:numPr>
          <w:ilvl w:val="1"/>
          <w:numId w:val="2070"/>
        </w:numPr>
      </w:pPr>
      <w:r>
        <w:t xml:space="preserve">(J) Boat or motor vehicle service or repair shops, gasoline or diesel-powered engine repair shops and commercial car washes;</w:t>
      </w:r>
    </w:p>
    <w:p>
      <w:pPr>
        <w:pStyle w:val="Compact"/>
        <w:numPr>
          <w:ilvl w:val="0"/>
          <w:numId w:val="2071"/>
        </w:numPr>
      </w:pPr>
    </w:p>
    <w:p>
      <w:pPr>
        <w:numPr>
          <w:ilvl w:val="1"/>
          <w:numId w:val="2072"/>
        </w:numPr>
      </w:pPr>
      <w:r>
        <w:t xml:space="preserve">(K) All fossil-fuel fired power plants.</w:t>
      </w:r>
    </w:p>
    <w:p>
      <w:pPr>
        <w:pStyle w:val="Compact"/>
        <w:numPr>
          <w:ilvl w:val="0"/>
          <w:numId w:val="2073"/>
        </w:numPr>
      </w:pPr>
    </w:p>
    <w:p>
      <w:pPr>
        <w:numPr>
          <w:ilvl w:val="1"/>
          <w:numId w:val="2074"/>
        </w:numPr>
      </w:pPr>
      <w:r>
        <w:t xml:space="preserve">(L) The storage, disposal, or use as fill of material containing asphalt, concrete, construction debris or stumps, even if determined to be non-hazardous;</w:t>
      </w:r>
    </w:p>
    <w:p>
      <w:pPr>
        <w:numPr>
          <w:ilvl w:val="0"/>
          <w:numId w:val="2075"/>
        </w:numPr>
      </w:pPr>
      <w:r>
        <w:t xml:space="preserve">6.19.7. Exemptions. The following uses shall be exempt from the provisions of this subsection: 6-37 (A) Agricultural uses, as defined by subsection 3.4.1 of this ordinance;</w:t>
      </w:r>
    </w:p>
    <w:p>
      <w:pPr>
        <w:pStyle w:val="Compact"/>
        <w:numPr>
          <w:ilvl w:val="0"/>
          <w:numId w:val="2076"/>
        </w:numPr>
      </w:pPr>
    </w:p>
    <w:p>
      <w:pPr>
        <w:numPr>
          <w:ilvl w:val="1"/>
          <w:numId w:val="2077"/>
        </w:numPr>
      </w:pPr>
      <w:r>
        <w:t xml:space="preserve">(B) Onsite wastewater treatment systems associated with otherwise permitted uses;</w:t>
      </w:r>
    </w:p>
    <w:p>
      <w:pPr>
        <w:pStyle w:val="Compact"/>
        <w:numPr>
          <w:ilvl w:val="0"/>
          <w:numId w:val="2078"/>
        </w:numPr>
      </w:pPr>
    </w:p>
    <w:p>
      <w:pPr>
        <w:numPr>
          <w:ilvl w:val="1"/>
          <w:numId w:val="2079"/>
        </w:numPr>
      </w:pPr>
      <w:r>
        <w:t xml:space="preserve">(C) Storage of petroleum products in a free-standing container within a building for the purpose of heating that building.</w:t>
      </w:r>
    </w:p>
    <w:p>
      <w:pPr>
        <w:pStyle w:val="Compact"/>
        <w:numPr>
          <w:ilvl w:val="0"/>
          <w:numId w:val="2080"/>
        </w:numPr>
      </w:pPr>
    </w:p>
    <w:p>
      <w:pPr>
        <w:numPr>
          <w:ilvl w:val="1"/>
          <w:numId w:val="2081"/>
        </w:numPr>
      </w:pPr>
      <w:r>
        <w:t xml:space="preserve">(D) Routine maintenance of buildings and landscape care; however, application of fertilizers and pesticides in close proximity to wetlands and associated state or local buffer areas in not recommended. Enhancement of wetland buffers by allowing natural re-vegetation of native plants or planting in accordance with DEM standards is encouraged. Notwithstanding any other provision herein, a nonconforming and already permitted use within the Water Supply Overlay District may be continued and maintained so long as it remains otherwise lawful. No such use shall be enlarged, altered, extended, or operated in any way which increases its threat to groundwater quality or otherwise contravenes the purpose and intent of this ordinance. In the event that a nonconforming use has ceased for a consecutive period of one (1) year, such nonconforming use may not be resumed except in conformity with the provisions of this Section.</w:t>
      </w:r>
    </w:p>
    <w:p>
      <w:pPr>
        <w:numPr>
          <w:ilvl w:val="0"/>
          <w:numId w:val="2082"/>
        </w:numPr>
      </w:pPr>
      <w:r>
        <w:t xml:space="preserve">6.19.8. Special use permits. The Special Permit Granting Authority under this Water Supply Overlay District shall be the Zoning Board of Review. Such special permits shall only be granted if the Board determines that the intent of this ordinance and each of its specific criteria are fully met. In making such determination, the Board shall give consideration to the demonstrated reliability and feasibility of the use and pollution control measures proposed and the degree of threat to water quantity and quality which would result if the control measures perform at less than design efficiency. In addition, the Board shall take into consideration the sensitivity of the water body to which the site drains. A water body and its watershed will be considered sensitive if a Total Maximum Daily Load-is written or under development for it, or it is included on RIDEM’S 303(d) list, or is included on RIDEM’S list of Special Resource Protection Waters (Appendix D of the Water Quality Regulations), or has been noted by the Town Council or the Comprehensive Plan to be a critical resource of special concern. The Board may impose such conditions, safeguards and limitations as it deems appropriate. The Board shall document the basis for any departures from the recommendations of other town boards or agencies, in its decisions.</w:t>
      </w:r>
    </w:p>
    <w:p>
      <w:pPr>
        <w:pStyle w:val="Compact"/>
        <w:numPr>
          <w:ilvl w:val="0"/>
          <w:numId w:val="2083"/>
        </w:numPr>
      </w:pPr>
    </w:p>
    <w:p>
      <w:pPr>
        <w:numPr>
          <w:ilvl w:val="1"/>
          <w:numId w:val="2084"/>
        </w:numPr>
      </w:pPr>
      <w:r>
        <w:t xml:space="preserve">6.19.8.1. Technical assistance. To assist its review of applications for special permits, the Board may engage a professional geologist, hydrologist, soil scientist or licensed Rhode Island engineer experienced in groundwater evaluation or hydrogeology to review the application for completeness and accuracy, and shall charge the applicant for the cost of such review. In the use of such professional, the Board may also require said professional to verify information contained in the application, and verify the inclusion of the subject land within the Water Supply Overlay District. If an application submitted to the Board does not contain adequate data, including field and laboratory measurement results and fully documented calculations, performed and certified by a professional geologist, hydrologist, soil scientist or licensed Rhode Island engineer experienced in groundwater 6-38 evaluation, or water supply information submitted in support of the application and subject land, whichever is proposed, the Board may engage a professional geologist, hydrologist, soil scientist or licensed Rhode Island engineer experienced in groundwater evaluation or hydrogeology to perform analyses and prepare all data necessary for an accurate evaluation of the application and shall charge applicant for the costs of such information.</w:t>
      </w:r>
    </w:p>
    <w:p>
      <w:pPr>
        <w:pStyle w:val="Compact"/>
        <w:numPr>
          <w:ilvl w:val="0"/>
          <w:numId w:val="2085"/>
        </w:numPr>
      </w:pPr>
    </w:p>
    <w:p>
      <w:pPr>
        <w:numPr>
          <w:ilvl w:val="1"/>
          <w:numId w:val="2086"/>
        </w:numPr>
      </w:pPr>
      <w:r>
        <w:t xml:space="preserve">6.19.8.2. Application contents. In addition to the requirements of the North Smithfield Zoning Ordinance and any and all applicable state and federal requirements, the following requirements will apply:</w:t>
      </w:r>
    </w:p>
    <w:p>
      <w:pPr>
        <w:pStyle w:val="Compact"/>
        <w:numPr>
          <w:ilvl w:val="0"/>
          <w:numId w:val="2087"/>
        </w:numPr>
      </w:pPr>
    </w:p>
    <w:p>
      <w:pPr>
        <w:pStyle w:val="Compact"/>
        <w:numPr>
          <w:ilvl w:val="1"/>
          <w:numId w:val="2088"/>
        </w:numPr>
      </w:pPr>
    </w:p>
    <w:p>
      <w:pPr>
        <w:numPr>
          <w:ilvl w:val="2"/>
          <w:numId w:val="2089"/>
        </w:numPr>
      </w:pPr>
      <w:r>
        <w:t xml:space="preserve">(1) Each application for a special permit shall be filed with the Board and shall comply with the Rules and Regulations of the Board. The application, including any plans and accompanying text, shall be sufficient to allow full evaluation of the proposed use and its impacts on the Groundwater District;</w:t>
      </w:r>
    </w:p>
    <w:p>
      <w:pPr>
        <w:pStyle w:val="Compact"/>
        <w:numPr>
          <w:ilvl w:val="0"/>
          <w:numId w:val="2090"/>
        </w:numPr>
      </w:pPr>
    </w:p>
    <w:p>
      <w:pPr>
        <w:pStyle w:val="Compact"/>
        <w:numPr>
          <w:ilvl w:val="1"/>
          <w:numId w:val="2091"/>
        </w:numPr>
      </w:pPr>
    </w:p>
    <w:p>
      <w:pPr>
        <w:numPr>
          <w:ilvl w:val="2"/>
          <w:numId w:val="2092"/>
        </w:numPr>
      </w:pPr>
      <w:r>
        <w:t xml:space="preserve">(2) The application shall be prepared in accordance with the data requirements of the proposed developed site plan review, erosion and sedimentation control plan, etc.;</w:t>
      </w:r>
    </w:p>
    <w:p>
      <w:pPr>
        <w:pStyle w:val="Compact"/>
        <w:numPr>
          <w:ilvl w:val="0"/>
          <w:numId w:val="2093"/>
        </w:numPr>
      </w:pPr>
    </w:p>
    <w:p>
      <w:pPr>
        <w:pStyle w:val="Compact"/>
        <w:numPr>
          <w:ilvl w:val="1"/>
          <w:numId w:val="2094"/>
        </w:numPr>
      </w:pPr>
    </w:p>
    <w:p>
      <w:pPr>
        <w:numPr>
          <w:ilvl w:val="2"/>
          <w:numId w:val="2095"/>
        </w:numPr>
      </w:pPr>
      <w:r>
        <w:t xml:space="preserve">(3) The application shall include an analysis by a professional geologist, hydrologist, soil scientist, or licensed Rhode Island engineer experienced in groundwater evaluation or hydrogeology to demonstrate that the proposed activity will not be detrimental to the purpose of the district. At a minimum, the analysis shall fully describe the seasonal profile of the volumes and directions of groundwater and surface water flows with and without the proposed use, the location and use of all present and potentially suitable future drinking water supplies that could be affected by uses, and the location and use of any surface and/or groundwater that could be affected by the proposed use. The application shall contain adequate date, including field and laboratory measurement results and the fully documented calculations.</w:t>
      </w:r>
    </w:p>
    <w:p>
      <w:pPr>
        <w:pStyle w:val="Compact"/>
        <w:numPr>
          <w:ilvl w:val="0"/>
          <w:numId w:val="2096"/>
        </w:numPr>
      </w:pPr>
    </w:p>
    <w:p>
      <w:pPr>
        <w:pStyle w:val="Compact"/>
        <w:numPr>
          <w:ilvl w:val="1"/>
          <w:numId w:val="2097"/>
        </w:numPr>
      </w:pPr>
    </w:p>
    <w:p>
      <w:pPr>
        <w:numPr>
          <w:ilvl w:val="2"/>
          <w:numId w:val="2098"/>
        </w:numPr>
      </w:pPr>
      <w:r>
        <w:t xml:space="preserve">(4) The applicant shall present a profile of potential events which could adversely affect the normal range of quality or quantity of water leaving the site. Such events shall include any which could reasonably be expected to occur at least once in the lifetime of the proposed use.</w:t>
      </w:r>
    </w:p>
    <w:p>
      <w:pPr>
        <w:pStyle w:val="Compact"/>
        <w:numPr>
          <w:ilvl w:val="0"/>
          <w:numId w:val="2099"/>
        </w:numPr>
      </w:pPr>
    </w:p>
    <w:p>
      <w:pPr>
        <w:numPr>
          <w:ilvl w:val="1"/>
          <w:numId w:val="2100"/>
        </w:numPr>
      </w:pPr>
      <w:r>
        <w:t xml:space="preserve">6.19.8.3. Review by other town boards or agencies. Upon receipt of the special permit application, the Zoning Board of Review may transmit forthwith, a copy of the application to the Planning Board, Conservation Commission, Town personnel, or other such Boards or Agencies as it may deem necessary or appropriate for their written reports. Any such board or agency to which petitions are referred shall make recommendations or submit such reports as they may deem appropriate and shall send a copy thereof to the Planning Board and the applicant within forty-five (45) days of receipt of the application by such board or agency. Failure to make a written recommendation or submit a written report within the thirty-five (35) day period shall be deemed a lack of opposition.</w:t>
      </w:r>
    </w:p>
    <w:p>
      <w:pPr>
        <w:pStyle w:val="Compact"/>
        <w:numPr>
          <w:ilvl w:val="0"/>
          <w:numId w:val="2101"/>
        </w:numPr>
      </w:pPr>
    </w:p>
    <w:p>
      <w:pPr>
        <w:numPr>
          <w:ilvl w:val="1"/>
          <w:numId w:val="2102"/>
        </w:numPr>
      </w:pPr>
      <w:r>
        <w:t xml:space="preserve">6.19.8.4. Special-use permit approval criteria. After notice and public hearing, and after due consideration of the reports and recommendations of other Town personnel, boards and agencies, the Zoning Board of Review may grant such a special use permit provided that it finds the proposed use: 6-39 (1) Will not cause the groundwater quality to fall below the standards established by Rhode Island Department of Environmental Management (DEM), Rhode Island Department of Health (DOH), U.S. Environmental Protection Agency (EPA), Rhode Island Public Law Ch. 3799, 1956, (reenacted 1988 Ch. 84) Chapter 13, and where existing upon determination that the proposed activity will result in no further degradation;</w:t>
      </w:r>
    </w:p>
    <w:p>
      <w:pPr>
        <w:pStyle w:val="Compact"/>
        <w:numPr>
          <w:ilvl w:val="0"/>
          <w:numId w:val="2103"/>
        </w:numPr>
      </w:pPr>
    </w:p>
    <w:p>
      <w:pPr>
        <w:pStyle w:val="Compact"/>
        <w:numPr>
          <w:ilvl w:val="1"/>
          <w:numId w:val="2104"/>
        </w:numPr>
      </w:pPr>
    </w:p>
    <w:p>
      <w:pPr>
        <w:numPr>
          <w:ilvl w:val="2"/>
          <w:numId w:val="2105"/>
        </w:numPr>
      </w:pPr>
      <w:r>
        <w:t xml:space="preserve">(2) Is in harmony with the purpose and intent of this ordinance and will promote the purpose of the Water Supply Overlay District;</w:t>
      </w:r>
    </w:p>
    <w:p>
      <w:pPr>
        <w:pStyle w:val="Compact"/>
        <w:numPr>
          <w:ilvl w:val="0"/>
          <w:numId w:val="2106"/>
        </w:numPr>
      </w:pPr>
    </w:p>
    <w:p>
      <w:pPr>
        <w:pStyle w:val="Compact"/>
        <w:numPr>
          <w:ilvl w:val="1"/>
          <w:numId w:val="2107"/>
        </w:numPr>
      </w:pPr>
    </w:p>
    <w:p>
      <w:pPr>
        <w:numPr>
          <w:ilvl w:val="2"/>
          <w:numId w:val="2108"/>
        </w:numPr>
      </w:pPr>
      <w:r>
        <w:t xml:space="preserve">(3) Is appropriate to the natural topography, soils, and other characteristics of the site to be developed;</w:t>
      </w:r>
    </w:p>
    <w:p>
      <w:pPr>
        <w:pStyle w:val="Compact"/>
        <w:numPr>
          <w:ilvl w:val="0"/>
          <w:numId w:val="2109"/>
        </w:numPr>
      </w:pPr>
    </w:p>
    <w:p>
      <w:pPr>
        <w:pStyle w:val="Compact"/>
        <w:numPr>
          <w:ilvl w:val="1"/>
          <w:numId w:val="2110"/>
        </w:numPr>
      </w:pPr>
    </w:p>
    <w:p>
      <w:pPr>
        <w:numPr>
          <w:ilvl w:val="2"/>
          <w:numId w:val="2111"/>
        </w:numPr>
      </w:pPr>
      <w:r>
        <w:t xml:space="preserve">(4) Will not, during construction or thereafter, have any adverse environmental impact on any water body or course in the Water Supply Overlay District; and</w:t>
      </w:r>
    </w:p>
    <w:p>
      <w:pPr>
        <w:numPr>
          <w:ilvl w:val="2"/>
          <w:numId w:val="1000"/>
        </w:numPr>
      </w:pPr>
      <w:r>
        <w:t xml:space="preserve">(5) Will not adversely affect an existing or potential water supply.</w:t>
      </w:r>
    </w:p>
    <w:p>
      <w:pPr>
        <w:numPr>
          <w:ilvl w:val="0"/>
          <w:numId w:val="2112"/>
        </w:numPr>
      </w:pPr>
      <w:r>
        <w:t xml:space="preserve">6.19.9. Public hearing and decision. The Board shall hold a public hearing no later than sixty-five (65) days after filing a completed application and may continue a public hearing under this section if it finds that such a continuance is necessary to allow the petitioner or applicant to provide information of an unusual nature and which is not otherwise required as part of a special permit application and to allow sufficient time for remonstrants and public comment.</w:t>
      </w:r>
    </w:p>
    <w:p>
      <w:pPr>
        <w:numPr>
          <w:ilvl w:val="0"/>
          <w:numId w:val="2113"/>
        </w:numPr>
      </w:pPr>
      <w:r>
        <w:t xml:space="preserve">6.19.10. Design and operation guidelines. At a minimum, the following design and operation guidelines shall be observed within the Water Supply Overlay District:</w:t>
      </w:r>
    </w:p>
    <w:p>
      <w:pPr>
        <w:pStyle w:val="Compact"/>
        <w:numPr>
          <w:ilvl w:val="0"/>
          <w:numId w:val="2114"/>
        </w:numPr>
      </w:pPr>
    </w:p>
    <w:p>
      <w:pPr>
        <w:numPr>
          <w:ilvl w:val="1"/>
          <w:numId w:val="2115"/>
        </w:numPr>
      </w:pPr>
      <w:r>
        <w:t xml:space="preserve">(A) Fill - Fill materials used in the Water Supply Overlay District shall contain solid waste, toxic or hazardous materials, or hazardous wastes. Adequate documentation shall be provided to the Zoning Board of Review to guarantee the chemical quality of the fill. Any expenses incurred in laboratory analysis shall be solely at the expense of the applicant.</w:t>
      </w:r>
    </w:p>
    <w:p>
      <w:pPr>
        <w:pStyle w:val="Compact"/>
        <w:numPr>
          <w:ilvl w:val="0"/>
          <w:numId w:val="2116"/>
        </w:numPr>
      </w:pPr>
    </w:p>
    <w:p>
      <w:pPr>
        <w:numPr>
          <w:ilvl w:val="1"/>
          <w:numId w:val="2117"/>
        </w:numPr>
      </w:pPr>
      <w:r>
        <w:t xml:space="preserve">(B) Drainage - Storm water shall be managed using Low Impact Development (LID) practices to avoid and reduce runoff volume to the maximum extent practicable, as specified in the RI Stormwater Design and Installation Standards Manual and the Rhode Island Stormwater Management Guidance for Individual Single-Family Residential Lot Development, as amended, Where necessary to protect groundwater quality, runoff from paved parking lots, public and private streets, loading areas, storage and operating areas, and other impervious surfaces subject to contamination from road sediments, heavy metals and petroleum products shall be collected and diverted through an oil/water separator prior to discharge to the environment; collected and discharged into a "wet" storm water detention basin capable of achieving water quality enhancement; or diverted toward vegetated filter strips, swales, or bio-retention; or discharged or diverted to other storm water management (facility(s) designed to attenuate runoff and provide pollutant removal capabilities. The Zoning Board of Review 6-40 may require off-site discharge if on-site discharge is not feasible because of site conditions or is undesirable because of risks to water quality from such recharge.</w:t>
      </w:r>
    </w:p>
    <w:p>
      <w:pPr>
        <w:pStyle w:val="Compact"/>
        <w:numPr>
          <w:ilvl w:val="0"/>
          <w:numId w:val="2118"/>
        </w:numPr>
      </w:pPr>
    </w:p>
    <w:p>
      <w:pPr>
        <w:numPr>
          <w:ilvl w:val="1"/>
          <w:numId w:val="2119"/>
        </w:numPr>
      </w:pPr>
      <w:r>
        <w:t xml:space="preserve">(C) The maximum percentage of impervious area for each zone shall be as follows: M-40%, BH-35%, REA-10%, RA-12%, RS-15%, RU-25%, PS-40%, BN-40%, and all other commercial-40%. Residential lots of record that are non-conforming by area shall meet the requirements of the zone for which their area most nearly matches. Non-conforming lots of less than 15,000 square feet may use 40% impervious cover.</w:t>
      </w:r>
    </w:p>
    <w:p>
      <w:pPr>
        <w:pStyle w:val="Compact"/>
        <w:numPr>
          <w:ilvl w:val="0"/>
          <w:numId w:val="2120"/>
        </w:numPr>
      </w:pPr>
    </w:p>
    <w:p>
      <w:pPr>
        <w:numPr>
          <w:ilvl w:val="1"/>
          <w:numId w:val="2121"/>
        </w:numPr>
      </w:pPr>
      <w:r>
        <w:t xml:space="preserve">(D) Residential storage tanks for petroleum products may be located outdoors provided that they are located within a containment structure that has an impermeable base and surrounding dike. Such base and dikes shall be constructed of material which is both impermeable and compatible with the material being contained.</w:t>
      </w:r>
    </w:p>
    <w:p>
      <w:pPr>
        <w:pStyle w:val="Compact"/>
        <w:numPr>
          <w:ilvl w:val="0"/>
          <w:numId w:val="2122"/>
        </w:numPr>
      </w:pPr>
    </w:p>
    <w:p>
      <w:pPr>
        <w:numPr>
          <w:ilvl w:val="1"/>
          <w:numId w:val="2123"/>
        </w:numPr>
      </w:pPr>
      <w:r>
        <w:t xml:space="preserve">(E) Dumpsters which are used to store solid wastes shall be covered or located within a roofed area and have drain plugs intact. No washing or rinsing of dumpsters on-site shall occur.</w:t>
      </w:r>
    </w:p>
    <w:p>
      <w:pPr>
        <w:pStyle w:val="Compact"/>
        <w:numPr>
          <w:ilvl w:val="0"/>
          <w:numId w:val="2124"/>
        </w:numPr>
      </w:pPr>
    </w:p>
    <w:p>
      <w:pPr>
        <w:numPr>
          <w:ilvl w:val="1"/>
          <w:numId w:val="2125"/>
        </w:numPr>
      </w:pPr>
      <w:r>
        <w:t xml:space="preserve">(F) Conservation Developments are strongly encouraged for all major subdivision and land development projects in the Water supply Overlay Protection District. All facilities constructed in accordance with this Section shall be maintained by the owner so as to assure their ability to function as designed. Failure to properly maintain said facilities shall constitute a violation of this Ordinance and is subject to enforcement action by the Town.</w:t>
      </w:r>
    </w:p>
    <w:p>
      <w:pPr>
        <w:numPr>
          <w:ilvl w:val="0"/>
          <w:numId w:val="2126"/>
        </w:numPr>
      </w:pPr>
      <w:r>
        <w:t xml:space="preserve">6.19.11. Enforcement and violations.</w:t>
      </w:r>
    </w:p>
    <w:p>
      <w:pPr>
        <w:pStyle w:val="Compact"/>
        <w:numPr>
          <w:ilvl w:val="0"/>
          <w:numId w:val="2127"/>
        </w:numPr>
      </w:pPr>
    </w:p>
    <w:p>
      <w:pPr>
        <w:numPr>
          <w:ilvl w:val="1"/>
          <w:numId w:val="2128"/>
        </w:numPr>
      </w:pPr>
      <w:r>
        <w:t xml:space="preserve">6.19.11.1. Enforcement- It is the intent of this Ordinance that, except in the cases of a Special Permit, all questions of interpretation and enforcement shall first be presented to the Zoning Enforcement Officer and that all questions shall be presented to the Zoning Board of Review only on an appeal from the Officer. Interpretation, enforcement and appeals shall be conducted in compliance with Section 18 of the ordinance.</w:t>
      </w:r>
    </w:p>
    <w:p>
      <w:pPr>
        <w:pStyle w:val="Compact"/>
        <w:numPr>
          <w:ilvl w:val="0"/>
          <w:numId w:val="2129"/>
        </w:numPr>
      </w:pPr>
    </w:p>
    <w:p>
      <w:pPr>
        <w:numPr>
          <w:ilvl w:val="1"/>
          <w:numId w:val="2130"/>
        </w:numPr>
      </w:pPr>
      <w:r>
        <w:t xml:space="preserve">6.19.11.2. Violations - Written notice, via certified mail, of any violation of this ordinance shall be given by the Officer to the responsible person within forty-eight (48) hours of detection of the violation, specifying the requirement or restriction violated, the actions necessary to remove or remedy the violations, preventive measures required for avoiding future violations and a schedule of compliance. The costs of containment, cleanup, or other action of compliance shall be borne by the owner or operator of the premises.</w:t>
      </w:r>
    </w:p>
    <w:p>
      <w:pPr>
        <w:numPr>
          <w:ilvl w:val="0"/>
          <w:numId w:val="2131"/>
        </w:numPr>
      </w:pPr>
      <w:r>
        <w:t xml:space="preserve">6.19.12. Fee schedule. A schedule of fees, charges, expenses and penalty fees shall be established in conformation with section 12, subsection 12.1 of the North Smithfield Zoning Ordinance. (Ord. of 04/01/2013 , Ord. of 11/02/2020)</w:t>
      </w:r>
    </w:p>
    <w:bookmarkEnd w:id="63"/>
    <w:bookmarkStart w:id="64" w:name="conservation-developments"/>
    <w:p>
      <w:pPr>
        <w:pStyle w:val="Heading2"/>
      </w:pPr>
      <w:r>
        <w:t xml:space="preserve">§ 6.20. Conservation Developments</w:t>
      </w:r>
    </w:p>
    <w:p>
      <w:pPr>
        <w:pStyle w:val="FirstParagraph"/>
      </w:pPr>
      <w:r>
        <w:t xml:space="preserve">Sec. 6.20. Conservation Developments.</w:t>
      </w:r>
    </w:p>
    <w:p>
      <w:pPr>
        <w:pStyle w:val="BodyText"/>
      </w:pPr>
      <w:r>
        <w:t xml:space="preserve">6-41 6.20.1. Purposes. The purposes of this section entitled Conservation Developments, are:</w:t>
      </w:r>
    </w:p>
    <w:p>
      <w:pPr>
        <w:numPr>
          <w:ilvl w:val="0"/>
          <w:numId w:val="2132"/>
        </w:numPr>
      </w:pPr>
      <w:r>
        <w:t xml:space="preserve">A. To protect natural resources, including but not limited to those areas containing woodlands, unique or specimen vegetation, streams, floodplains, wetlands, aquifers to their recharge areas, agricultural lands, wellheads and vernal pools, by setting them aside from development;</w:t>
      </w:r>
    </w:p>
    <w:p>
      <w:pPr>
        <w:numPr>
          <w:ilvl w:val="0"/>
          <w:numId w:val="2133"/>
        </w:numPr>
      </w:pPr>
      <w:r>
        <w:t xml:space="preserve">B. To preserve cultural, historical and archaeological resources;</w:t>
      </w:r>
    </w:p>
    <w:p>
      <w:pPr>
        <w:numPr>
          <w:ilvl w:val="0"/>
          <w:numId w:val="2134"/>
        </w:numPr>
      </w:pPr>
      <w:r>
        <w:t xml:space="preserve">C. To protect recreational resources;</w:t>
      </w:r>
    </w:p>
    <w:p>
      <w:pPr>
        <w:numPr>
          <w:ilvl w:val="0"/>
          <w:numId w:val="2135"/>
        </w:numPr>
      </w:pPr>
      <w:r>
        <w:t xml:space="preserve">D. To provide greater design flexibility and efficiency in the siting of services and infrastructure, including wastewater disposal systems and wells, and to reduce length of roads, utility runs, and the amount of paving required for residential development;</w:t>
      </w:r>
    </w:p>
    <w:p>
      <w:pPr>
        <w:numPr>
          <w:ilvl w:val="0"/>
          <w:numId w:val="2136"/>
        </w:numPr>
      </w:pPr>
      <w:r>
        <w:t xml:space="preserve">E. To provide for a diversity of lot sizes, building densities, and housing choices to accommodate a variety of age and income groups, and residential preferences, so that the population diversity of the community may be maintained;</w:t>
      </w:r>
    </w:p>
    <w:p>
      <w:pPr>
        <w:numPr>
          <w:ilvl w:val="0"/>
          <w:numId w:val="2137"/>
        </w:numPr>
      </w:pPr>
      <w:r>
        <w:t xml:space="preserve">F. To implement adopted municipal policies to conserve a variety of irreplaceable and environmentally important resources as set forth in the Comprehensive Plan,</w:t>
      </w:r>
    </w:p>
    <w:p>
      <w:pPr>
        <w:numPr>
          <w:ilvl w:val="0"/>
          <w:numId w:val="2138"/>
        </w:numPr>
      </w:pPr>
      <w:r>
        <w:t xml:space="preserve">G. To provide reasonable incentives for the creation of a contiguous greenway system within the Town;</w:t>
      </w:r>
    </w:p>
    <w:p>
      <w:pPr>
        <w:numPr>
          <w:ilvl w:val="0"/>
          <w:numId w:val="2139"/>
        </w:numPr>
      </w:pPr>
      <w:r>
        <w:t xml:space="preserve">H. To implement adopted land use, transportation and community service policies, as set forth in the Comprehensive Plan;</w:t>
      </w:r>
    </w:p>
    <w:p>
      <w:pPr>
        <w:numPr>
          <w:ilvl w:val="0"/>
          <w:numId w:val="2140"/>
        </w:numPr>
      </w:pPr>
      <w:r>
        <w:t xml:space="preserve">I. To protect areas of the Town with productive agricultural soils to encourage continued or future agricultural use by conserving blocks of land large enough to allow for efficient farm operations;</w:t>
      </w:r>
    </w:p>
    <w:p>
      <w:pPr>
        <w:numPr>
          <w:ilvl w:val="0"/>
          <w:numId w:val="2141"/>
        </w:numPr>
      </w:pPr>
      <w:r>
        <w:t xml:space="preserve">J. To create neighborhoods with direct visual and/or physical access to open land, with amenities in the form of Town open space, and with a strong neighborhood identity;</w:t>
      </w:r>
    </w:p>
    <w:p>
      <w:pPr>
        <w:numPr>
          <w:ilvl w:val="0"/>
          <w:numId w:val="2142"/>
        </w:numPr>
      </w:pPr>
      <w:r>
        <w:t xml:space="preserve">K. To provide for the maintenance of open land set aside for active or passive recreational use, storm water drainage or conservation lands;</w:t>
      </w:r>
    </w:p>
    <w:p>
      <w:pPr>
        <w:numPr>
          <w:ilvl w:val="0"/>
          <w:numId w:val="2143"/>
        </w:numPr>
      </w:pPr>
      <w:r>
        <w:t xml:space="preserve">L. To conserve and create scenic views, to protect views along scenic roadways, and, where appropriate, to preserve the rural character of the Town; and,</w:t>
      </w:r>
    </w:p>
    <w:p>
      <w:pPr>
        <w:numPr>
          <w:ilvl w:val="0"/>
          <w:numId w:val="2144"/>
        </w:numPr>
      </w:pPr>
      <w:r>
        <w:t xml:space="preserve">M. To provide a buffer between new development and existing streets, neighborhoods, active farmland and adjacent park or conservation land.</w:t>
      </w:r>
    </w:p>
    <w:p>
      <w:pPr>
        <w:numPr>
          <w:ilvl w:val="0"/>
          <w:numId w:val="2145"/>
        </w:numPr>
      </w:pPr>
      <w:r>
        <w:t xml:space="preserve">6.20.2. Applicability.</w:t>
      </w:r>
    </w:p>
    <w:p>
      <w:pPr>
        <w:numPr>
          <w:ilvl w:val="0"/>
          <w:numId w:val="2146"/>
        </w:numPr>
      </w:pPr>
      <w:r>
        <w:t xml:space="preserve">A. In accordance with the procedure set forth in the Land Development and Subdivision Regulations, the Planning Board may allow a land development project or subdivision to be developed as a 6-42 Conservation Development only in the following zoning districts: RU-20, RS-40, RA-65 and REA-120.</w:t>
      </w:r>
    </w:p>
    <w:p>
      <w:pPr>
        <w:numPr>
          <w:ilvl w:val="0"/>
          <w:numId w:val="2147"/>
        </w:numPr>
      </w:pPr>
      <w:r>
        <w:t xml:space="preserve">B. Conservation developments shall only be allowed when specifically requested in writing by the applicant. The Planning Board cannot require an applicant to develop a conservation development.</w:t>
      </w:r>
    </w:p>
    <w:p>
      <w:pPr>
        <w:numPr>
          <w:ilvl w:val="0"/>
          <w:numId w:val="2148"/>
        </w:numPr>
      </w:pPr>
      <w:r>
        <w:t xml:space="preserve">C. If an applicant requests approval of a major or minor conservation development, the Planning Board shall, at the pre-application stage of review (major) or informal concept review stage (minor) require the applicant to submit two alternative plans for the property proposed for development as follows:</w:t>
      </w:r>
    </w:p>
    <w:p>
      <w:pPr>
        <w:numPr>
          <w:ilvl w:val="0"/>
          <w:numId w:val="2149"/>
        </w:numPr>
      </w:pPr>
      <w:r>
        <w:t xml:space="preserve">A plan(s) of a conventional subdivision • A plan(s) for the conservation development requested. •</w:t>
      </w:r>
    </w:p>
    <w:p>
      <w:pPr>
        <w:numPr>
          <w:ilvl w:val="0"/>
          <w:numId w:val="2150"/>
        </w:numPr>
      </w:pPr>
      <w:r>
        <w:t xml:space="preserve">D. At this initial stage of review, the Planning Board shall determine if a conservation development would be consistent with the purposes of the Land Development and Subdivision Regulations, and with the purposes of conservation developments set forth in Section 6.20.1, herein. Based on this determination, the Planning Board may permit the applicant to proceed with a conservation development.</w:t>
      </w:r>
    </w:p>
    <w:p>
      <w:pPr>
        <w:numPr>
          <w:ilvl w:val="0"/>
          <w:numId w:val="2151"/>
        </w:numPr>
      </w:pPr>
      <w:r>
        <w:t xml:space="preserve">E. At this initial stage of review, if the Planning Board finds that the conservation development alternative is not consistent with the purposes described in subsection D, above, the Board may disallow the conservation development and require the applicant to proceed with the conventional subdivision.</w:t>
      </w:r>
    </w:p>
    <w:p>
      <w:pPr>
        <w:numPr>
          <w:ilvl w:val="0"/>
          <w:numId w:val="2152"/>
        </w:numPr>
      </w:pPr>
      <w:r>
        <w:t xml:space="preserve">F. The applicant shall then submit plan(s) for the development preferred by the Planning Board in either subsection D. or E. above. Plans shall be submitted at the master plan stage of review (major), or preliminary stage of review (minor) in accordance with the procedures and requirements of the Land Development and Subdivision Regulations. Nothing herein shall prevent an applicant from requesting an additional pre-application meeting or informal concept review.</w:t>
      </w:r>
    </w:p>
    <w:p>
      <w:pPr>
        <w:numPr>
          <w:ilvl w:val="0"/>
          <w:numId w:val="2153"/>
        </w:numPr>
      </w:pPr>
      <w:r>
        <w:t xml:space="preserve">G. Administrative subdivisions and subdivisions that create lots which are not for the purpose of present or future development are not eligible to be developed as a Conservation Development.</w:t>
      </w:r>
    </w:p>
    <w:p>
      <w:pPr>
        <w:numPr>
          <w:ilvl w:val="0"/>
          <w:numId w:val="2154"/>
        </w:numPr>
      </w:pPr>
      <w:r>
        <w:t xml:space="preserve">H. In RU-20 zoning districts, all conservation developments must be provided with public water and sewer service. Privately owned wells and/or sewage treatment systems and/or Individual Sewage Disposal Systems (ISDS) for individual lots in a conservation development shall not be allowed in RU-20 zoning districts. Application for all conservation development land development projects shall be made in accordance with the procedures of the Town's Land Development and Subdivision Regulations, whether a subdivision or not.</w:t>
      </w:r>
    </w:p>
    <w:p>
      <w:pPr>
        <w:numPr>
          <w:ilvl w:val="0"/>
          <w:numId w:val="2155"/>
        </w:numPr>
      </w:pPr>
      <w:r>
        <w:t xml:space="preserve">6.20.3. Permitted Uses. Permitted uses in a conservation development include:</w:t>
      </w:r>
    </w:p>
    <w:p>
      <w:pPr>
        <w:numPr>
          <w:ilvl w:val="0"/>
          <w:numId w:val="2156"/>
        </w:numPr>
      </w:pPr>
      <w:r>
        <w:t xml:space="preserve">A. The following residential uses are permitted as a principal use (Y) in a conservation development:</w:t>
      </w:r>
    </w:p>
    <w:p>
      <w:pPr>
        <w:numPr>
          <w:ilvl w:val="0"/>
          <w:numId w:val="2157"/>
        </w:numPr>
      </w:pPr>
      <w:r>
        <w:t xml:space="preserve">Use Category as provided in Section 5.4 – District Use Regulations 6-43 5.4.2 (1) Single-family dwelling 5.4.2 (1a) Accessory Family Dwelling 5.4.2 (2) Single-family dwelling with office space (see Section 5.4.3)</w:t>
      </w:r>
    </w:p>
    <w:p>
      <w:pPr>
        <w:numPr>
          <w:ilvl w:val="0"/>
          <w:numId w:val="2158"/>
        </w:numPr>
      </w:pPr>
      <w:r>
        <w:t xml:space="preserve">5.4.2 (3) Two-family dwelling where one unit is deed restricted for affordable housing. Twofamily units are permitted in RU-20 zone, require a Special Use Permit in RS-40 and RA-65 zones and are prohibited in the REA-120 zone.</w:t>
      </w:r>
    </w:p>
    <w:p>
      <w:pPr>
        <w:numPr>
          <w:ilvl w:val="0"/>
          <w:numId w:val="2159"/>
        </w:numPr>
      </w:pPr>
      <w:r>
        <w:t xml:space="preserve">B. Accessory uses customarily incidental to a use permitted in the district and located on the same site are permitted by right. Any accessory use customarily incidental to a use allowed by special use permit in the district and located on the same site is permitted by special use permit.</w:t>
      </w:r>
    </w:p>
    <w:p>
      <w:pPr>
        <w:numPr>
          <w:ilvl w:val="0"/>
          <w:numId w:val="2160"/>
        </w:numPr>
      </w:pPr>
      <w:r>
        <w:t xml:space="preserve">C. The open space in a conservation development shall be devoted only to conservation purposes or for park, recreation, forest management and agricultural purposes. The following uses listed in Section 5.4 of this Ordinance shall be permitted as a principal use (Y) within the open space areas:</w:t>
      </w:r>
    </w:p>
    <w:p>
      <w:pPr>
        <w:numPr>
          <w:ilvl w:val="0"/>
          <w:numId w:val="2161"/>
        </w:numPr>
      </w:pPr>
      <w:r>
        <w:t xml:space="preserve">Use Category as provided in Section 5.4 – District Use Regulations 5.4.1 (2) Non-commercial raising of animals indoors or outdoors (excluding pets, watchdogs and apiary)</w:t>
      </w:r>
    </w:p>
    <w:p>
      <w:pPr>
        <w:numPr>
          <w:ilvl w:val="0"/>
          <w:numId w:val="2162"/>
        </w:numPr>
      </w:pPr>
      <w:r>
        <w:t xml:space="preserve">5.4.1 (5) Non-commercial raising of crops 5.4.1 (6) Commercial raising of crops In addition, the following uses are also permitted as a principal use (Y):</w:t>
      </w:r>
    </w:p>
    <w:p>
      <w:pPr>
        <w:numPr>
          <w:ilvl w:val="0"/>
          <w:numId w:val="2163"/>
        </w:numPr>
      </w:pPr>
      <w:r>
        <w:t xml:space="preserve">1. Conservation area, wildlife refuge, reforestation area or woodlot</w:t>
      </w:r>
    </w:p>
    <w:p>
      <w:pPr>
        <w:numPr>
          <w:ilvl w:val="0"/>
          <w:numId w:val="1000"/>
        </w:numPr>
      </w:pPr>
      <w:r>
        <w:t xml:space="preserve">2. Subdivision parks, playgrounds, community centers, recreation facilities and similar structures of a non-commercial nature designed for the use of the residents of the conservation development and their guests In all zoning districts where conservation developments are permitted, the following uses may also be allowed in open space areas if permitted by the Planning Board in accordance with the applicable provisions of the North Smithfield Land Development and Subdivision Regulations:</w:t>
      </w:r>
    </w:p>
    <w:p>
      <w:pPr>
        <w:numPr>
          <w:ilvl w:val="0"/>
          <w:numId w:val="2164"/>
        </w:numPr>
      </w:pPr>
      <w:r>
        <w:t xml:space="preserve">1. Storm water drainage areas;</w:t>
      </w:r>
    </w:p>
    <w:p>
      <w:pPr>
        <w:numPr>
          <w:ilvl w:val="0"/>
          <w:numId w:val="2165"/>
        </w:numPr>
      </w:pPr>
      <w:r>
        <w:t xml:space="preserve">2. Buildings, structures, parking areas or other impervious improvements which are accessory to and subordinate to a permitted open space use, may be located on any open space lot provided that, in all cases, they occupy no more than two (2) percent of the total open space area of the 6-44 conservation development.</w:t>
      </w:r>
    </w:p>
    <w:p>
      <w:pPr>
        <w:numPr>
          <w:ilvl w:val="0"/>
          <w:numId w:val="2166"/>
        </w:numPr>
      </w:pPr>
      <w:r>
        <w:t xml:space="preserve">The required amount of open space in a conservation development shall be as provided in Section 6.20.7.</w:t>
      </w:r>
    </w:p>
    <w:p>
      <w:pPr>
        <w:numPr>
          <w:ilvl w:val="0"/>
          <w:numId w:val="2167"/>
        </w:numPr>
      </w:pPr>
      <w:r>
        <w:t xml:space="preserve">6.20.4. Maximum Density for Conservation Development. The maximum density for a conservation development shall not exceed the number of lots intended for single-family dwellings which could reasonably be expected to be developed upon the conservation development site under a Conventional Yield Plan as provided in Section 4-1 (H) of the Land Development and Subdivision Regulations (The Basic Maximum Number of Dwelling Units).</w:t>
      </w:r>
    </w:p>
    <w:p>
      <w:pPr>
        <w:numPr>
          <w:ilvl w:val="0"/>
          <w:numId w:val="2168"/>
        </w:numPr>
      </w:pPr>
      <w:r>
        <w:t xml:space="preserve">6.20.5. Reserved 6.20.6. Lot Dimensional Requirements. Applicants are encouraged to modify lot area, shape, and other dimensional characteristics within a conservation development. A conservation development may be developed with dwelling units on separate lots, a single lot, or a combination thereof. Where dwellings are proposed to be located on individual lots, the dimensional regulations provided in Table 1 below shall be applicable to dwellings within a conservation development.</w:t>
      </w:r>
    </w:p>
    <w:p>
      <w:pPr>
        <w:numPr>
          <w:ilvl w:val="0"/>
          <w:numId w:val="2169"/>
        </w:numPr>
      </w:pPr>
      <w:r>
        <w:t xml:space="preserve">6.20.7. Open Space in Conservation Developments. All conservation developments shall provide open space in accordance with the following requirements and standards:</w:t>
      </w:r>
    </w:p>
    <w:p>
      <w:pPr>
        <w:pStyle w:val="Compact"/>
        <w:numPr>
          <w:ilvl w:val="0"/>
          <w:numId w:val="2170"/>
        </w:numPr>
      </w:pPr>
    </w:p>
    <w:p>
      <w:pPr>
        <w:numPr>
          <w:ilvl w:val="1"/>
          <w:numId w:val="2171"/>
        </w:numPr>
      </w:pPr>
      <w:r>
        <w:t xml:space="preserve">a. The open space shall be established as a lot or lots separate and distinct from the lot or lots intended for residential and accessory uses, and from land dedicated as street rights-of-way.</w:t>
      </w:r>
    </w:p>
    <w:p>
      <w:pPr>
        <w:pStyle w:val="Compact"/>
        <w:numPr>
          <w:ilvl w:val="0"/>
          <w:numId w:val="2172"/>
        </w:numPr>
      </w:pPr>
    </w:p>
    <w:p>
      <w:pPr>
        <w:numPr>
          <w:ilvl w:val="1"/>
          <w:numId w:val="2173"/>
        </w:numPr>
      </w:pPr>
      <w:r>
        <w:t xml:space="preserve">b. The minimum amount of required open space area shall be based on a percentage of the land suitable for development in the entire Conservation Development as provided in the table below.</w:t>
      </w:r>
    </w:p>
    <w:p>
      <w:pPr>
        <w:pStyle w:val="Compact"/>
        <w:numPr>
          <w:ilvl w:val="0"/>
          <w:numId w:val="2174"/>
        </w:numPr>
      </w:pPr>
    </w:p>
    <w:p>
      <w:pPr>
        <w:numPr>
          <w:ilvl w:val="1"/>
          <w:numId w:val="2175"/>
        </w:numPr>
      </w:pPr>
      <w:r>
        <w:t xml:space="preserve">Land deemed unsuitable for development as defined in Section 5.5.3 of this ordinance shall not count towards the minimum required open space area.</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t xml:space="preserve">Zoning District</w:t>
            </w:r>
          </w:p>
        </w:tc>
        <w:tc>
          <w:tcPr/>
          <w:p>
            <w:pPr>
              <w:pStyle w:val="Compact"/>
              <w:jc w:val="left"/>
            </w:pPr>
            <w:r>
              <w:t xml:space="preserve">Minimum Percentage Dedicated as Open</w:t>
            </w:r>
          </w:p>
        </w:tc>
        <w:tc>
          <w:tcPr/>
          <w:p>
            <w:pPr>
              <w:pStyle w:val="Compact"/>
              <w:jc w:val="left"/>
            </w:pPr>
            <w:r>
              <w:t xml:space="preserve">of Land to be Space</w:t>
            </w:r>
          </w:p>
        </w:tc>
      </w:tr>
      <w:tr>
        <w:tc>
          <w:tcPr/>
          <w:p>
            <w:pPr>
              <w:pStyle w:val="Compact"/>
              <w:jc w:val="left"/>
            </w:pPr>
            <w:r>
              <w:t xml:space="preserve">REA-120</w:t>
            </w:r>
          </w:p>
        </w:tc>
        <w:tc>
          <w:tcPr/>
          <w:p>
            <w:pPr>
              <w:pStyle w:val="Compact"/>
              <w:jc w:val="left"/>
            </w:pPr>
            <w:r>
              <w:t xml:space="preserve">65</w:t>
            </w:r>
          </w:p>
        </w:tc>
        <w:tc>
          <w:tcPr/>
          <w:p>
            <w:pPr>
              <w:pStyle w:val="Compact"/>
            </w:pPr>
          </w:p>
        </w:tc>
      </w:tr>
      <w:tr>
        <w:tc>
          <w:tcPr/>
          <w:p>
            <w:pPr>
              <w:pStyle w:val="Compact"/>
              <w:jc w:val="left"/>
            </w:pPr>
            <w:r>
              <w:t xml:space="preserve">RA-65</w:t>
            </w:r>
          </w:p>
        </w:tc>
        <w:tc>
          <w:tcPr/>
          <w:p>
            <w:pPr>
              <w:pStyle w:val="Compact"/>
              <w:jc w:val="left"/>
            </w:pPr>
            <w:r>
              <w:t xml:space="preserve">50</w:t>
            </w:r>
          </w:p>
        </w:tc>
        <w:tc>
          <w:tcPr/>
          <w:p>
            <w:pPr>
              <w:pStyle w:val="Compact"/>
            </w:pPr>
          </w:p>
        </w:tc>
      </w:tr>
      <w:tr>
        <w:tc>
          <w:tcPr/>
          <w:p>
            <w:pPr>
              <w:pStyle w:val="Compact"/>
            </w:pPr>
          </w:p>
        </w:tc>
        <w:tc>
          <w:tcPr/>
          <w:p>
            <w:pPr>
              <w:pStyle w:val="Compact"/>
              <w:jc w:val="left"/>
            </w:pPr>
            <w:r>
              <w:t xml:space="preserve">No water or sewer</w:t>
            </w:r>
          </w:p>
        </w:tc>
        <w:tc>
          <w:tcPr/>
          <w:p>
            <w:pPr>
              <w:pStyle w:val="Compact"/>
              <w:jc w:val="left"/>
            </w:pPr>
            <w:r>
              <w:t xml:space="preserve">25</w:t>
            </w:r>
          </w:p>
        </w:tc>
      </w:tr>
      <w:tr>
        <w:tc>
          <w:tcPr/>
          <w:p>
            <w:pPr>
              <w:pStyle w:val="Compact"/>
              <w:jc w:val="left"/>
            </w:pPr>
            <w:r>
              <w:t xml:space="preserve">RS-40</w:t>
            </w:r>
          </w:p>
        </w:tc>
        <w:tc>
          <w:tcPr/>
          <w:p>
            <w:pPr>
              <w:pStyle w:val="Compact"/>
              <w:jc w:val="left"/>
            </w:pPr>
            <w:r>
              <w:t xml:space="preserve">Sewer/no water OR Water /no sewer</w:t>
            </w:r>
          </w:p>
        </w:tc>
        <w:tc>
          <w:tcPr/>
          <w:p>
            <w:pPr>
              <w:pStyle w:val="Compact"/>
              <w:jc w:val="left"/>
            </w:pPr>
            <w:r>
              <w:t xml:space="preserve">50</w:t>
            </w:r>
          </w:p>
        </w:tc>
      </w:tr>
      <w:tr>
        <w:tc>
          <w:tcPr/>
          <w:p>
            <w:pPr>
              <w:pStyle w:val="Compact"/>
            </w:pPr>
          </w:p>
        </w:tc>
        <w:tc>
          <w:tcPr/>
          <w:p>
            <w:pPr>
              <w:pStyle w:val="Compact"/>
              <w:jc w:val="left"/>
            </w:pPr>
            <w:r>
              <w:t xml:space="preserve">Both sewer and water</w:t>
            </w:r>
          </w:p>
        </w:tc>
        <w:tc>
          <w:tcPr/>
          <w:p>
            <w:pPr>
              <w:pStyle w:val="Compact"/>
              <w:jc w:val="left"/>
            </w:pPr>
            <w:r>
              <w:t xml:space="preserve">60</w:t>
            </w:r>
          </w:p>
        </w:tc>
      </w:tr>
      <w:tr>
        <w:tc>
          <w:tcPr/>
          <w:p>
            <w:pPr>
              <w:pStyle w:val="Compact"/>
              <w:jc w:val="left"/>
            </w:pPr>
            <w:r>
              <w:t xml:space="preserve">RU-20</w:t>
            </w:r>
          </w:p>
        </w:tc>
        <w:tc>
          <w:tcPr/>
          <w:p>
            <w:pPr>
              <w:pStyle w:val="Compact"/>
              <w:jc w:val="left"/>
            </w:pPr>
            <w:r>
              <w:t xml:space="preserve">25</w:t>
            </w:r>
          </w:p>
        </w:tc>
        <w:tc>
          <w:tcPr/>
          <w:p>
            <w:pPr>
              <w:pStyle w:val="Compact"/>
            </w:pPr>
          </w:p>
        </w:tc>
      </w:tr>
    </w:tbl>
    <w:p>
      <w:pPr>
        <w:pStyle w:val="BodyText"/>
      </w:pPr>
      <w:r>
        <w:t xml:space="preserve">6-45</w:t>
      </w:r>
    </w:p>
    <w:tbl>
      <w:tblPr>
        <w:tblStyle w:val="Table"/>
        <w:tblW w:type="auto" w:w="0"/>
        <w:jc w:val="left"/>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t xml:space="preserve">Table 1 – Dimensional Requirements</w:t>
            </w:r>
          </w:p>
        </w:tc>
        <w:tc>
          <w:tcPr/>
          <w:p>
            <w:pPr>
              <w:pStyle w:val="Compact"/>
              <w:jc w:val="left"/>
            </w:pPr>
            <w:r>
              <w:t xml:space="preserve">in a</w:t>
            </w:r>
          </w:p>
        </w:tc>
        <w:tc>
          <w:tcPr/>
          <w:p>
            <w:pPr>
              <w:pStyle w:val="Compact"/>
              <w:jc w:val="left"/>
            </w:pPr>
            <w:r>
              <w:t xml:space="preserve">Conservation Development</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Utilities</w:t>
            </w:r>
          </w:p>
        </w:tc>
        <w:tc>
          <w:tcPr/>
          <w:p>
            <w:pPr>
              <w:pStyle w:val="Compact"/>
              <w:jc w:val="left"/>
            </w:pPr>
            <w:r>
              <w:t xml:space="preserve">Min. Lot Area (sq. ft.)</w:t>
            </w:r>
          </w:p>
        </w:tc>
        <w:tc>
          <w:tcPr/>
          <w:p>
            <w:pPr>
              <w:pStyle w:val="Compact"/>
              <w:jc w:val="left"/>
            </w:pPr>
            <w:r>
              <w:t xml:space="preserve">Min. Lot Frontage and Width (ft.)</w:t>
            </w:r>
          </w:p>
        </w:tc>
        <w:tc>
          <w:tcPr/>
          <w:p>
            <w:pPr>
              <w:pStyle w:val="Compact"/>
              <w:jc w:val="left"/>
            </w:pPr>
            <w:r>
              <w:t xml:space="preserve">Min. Front Yard Depth (ft.)</w:t>
            </w:r>
          </w:p>
        </w:tc>
        <w:tc>
          <w:tcPr/>
          <w:p>
            <w:pPr>
              <w:pStyle w:val="Compact"/>
              <w:jc w:val="left"/>
            </w:pPr>
            <w:r>
              <w:t xml:space="preserve">Min. Rear Yard Depth (ft.)</w:t>
            </w:r>
          </w:p>
        </w:tc>
        <w:tc>
          <w:tcPr/>
          <w:p>
            <w:pPr>
              <w:pStyle w:val="Compact"/>
              <w:jc w:val="left"/>
            </w:pPr>
            <w:r>
              <w:t xml:space="preserve">Minimum Side Yard (each side) (ft.)</w:t>
            </w:r>
          </w:p>
        </w:tc>
        <w:tc>
          <w:tcPr/>
          <w:p>
            <w:pPr>
              <w:pStyle w:val="Compact"/>
              <w:jc w:val="left"/>
            </w:pPr>
            <w:r>
              <w:t xml:space="preserve">Maximum Building Coverage (percent)</w:t>
            </w:r>
          </w:p>
        </w:tc>
      </w:tr>
      <w:tr>
        <w:tc>
          <w:tcPr/>
          <w:p>
            <w:pPr>
              <w:pStyle w:val="Compact"/>
              <w:jc w:val="left"/>
            </w:pPr>
            <w:r>
              <w:t xml:space="preserve">Single Family Dwelling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Both public water and sewer</w:t>
            </w:r>
          </w:p>
        </w:tc>
        <w:tc>
          <w:tcPr/>
          <w:p>
            <w:pPr>
              <w:pStyle w:val="Compact"/>
              <w:jc w:val="left"/>
            </w:pPr>
            <w:r>
              <w:t xml:space="preserve">15,000</w:t>
            </w:r>
          </w:p>
        </w:tc>
        <w:tc>
          <w:tcPr/>
          <w:p>
            <w:pPr>
              <w:pStyle w:val="Compact"/>
              <w:jc w:val="left"/>
            </w:pPr>
            <w:r>
              <w:t xml:space="preserve">85</w:t>
            </w:r>
          </w:p>
        </w:tc>
        <w:tc>
          <w:tcPr/>
          <w:p>
            <w:pPr>
              <w:pStyle w:val="Compact"/>
              <w:jc w:val="left"/>
            </w:pPr>
            <w:r>
              <w:t xml:space="preserve">25</w:t>
            </w:r>
          </w:p>
        </w:tc>
        <w:tc>
          <w:tcPr/>
          <w:p>
            <w:pPr>
              <w:pStyle w:val="Compact"/>
              <w:jc w:val="left"/>
            </w:pPr>
            <w:r>
              <w:t xml:space="preserve">30</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Either Sewer/no water OR Water /no sewer but not both</w:t>
            </w:r>
          </w:p>
        </w:tc>
        <w:tc>
          <w:tcPr/>
          <w:p>
            <w:pPr>
              <w:pStyle w:val="Compact"/>
              <w:jc w:val="left"/>
            </w:pPr>
            <w:r>
              <w:t xml:space="preserve">20,000</w:t>
            </w:r>
          </w:p>
        </w:tc>
        <w:tc>
          <w:tcPr/>
          <w:p>
            <w:pPr>
              <w:pStyle w:val="Compact"/>
              <w:jc w:val="left"/>
            </w:pPr>
            <w:r>
              <w:t xml:space="preserve">REA-120=140 RA-65=120 RS-40=100</w:t>
            </w:r>
          </w:p>
        </w:tc>
        <w:tc>
          <w:tcPr/>
          <w:p>
            <w:pPr>
              <w:pStyle w:val="Compact"/>
              <w:jc w:val="left"/>
            </w:pPr>
            <w:r>
              <w:t xml:space="preserve">25</w:t>
            </w:r>
          </w:p>
        </w:tc>
        <w:tc>
          <w:tcPr/>
          <w:p>
            <w:pPr>
              <w:pStyle w:val="Compact"/>
              <w:jc w:val="left"/>
            </w:pPr>
            <w:r>
              <w:t xml:space="preserve">30</w:t>
            </w:r>
          </w:p>
        </w:tc>
        <w:tc>
          <w:tcPr/>
          <w:p>
            <w:pPr>
              <w:pStyle w:val="Compact"/>
              <w:jc w:val="left"/>
            </w:pPr>
            <w:r>
              <w:t xml:space="preserve">15</w:t>
            </w:r>
          </w:p>
        </w:tc>
        <w:tc>
          <w:tcPr/>
          <w:p>
            <w:pPr>
              <w:pStyle w:val="Compact"/>
              <w:jc w:val="left"/>
            </w:pPr>
            <w:r>
              <w:t xml:space="preserve">20</w:t>
            </w:r>
          </w:p>
        </w:tc>
      </w:tr>
      <w:tr>
        <w:tc>
          <w:tcPr/>
          <w:p>
            <w:pPr>
              <w:pStyle w:val="Compact"/>
              <w:jc w:val="left"/>
            </w:pPr>
            <w:r>
              <w:t xml:space="preserve">No water or sewer ISDS and well located on lot</w:t>
            </w:r>
          </w:p>
        </w:tc>
        <w:tc>
          <w:tcPr/>
          <w:p>
            <w:pPr>
              <w:pStyle w:val="Compact"/>
              <w:jc w:val="left"/>
            </w:pPr>
            <w:r>
              <w:t xml:space="preserve">30,000</w:t>
            </w:r>
          </w:p>
        </w:tc>
        <w:tc>
          <w:tcPr/>
          <w:p>
            <w:pPr>
              <w:pStyle w:val="Compact"/>
              <w:jc w:val="left"/>
            </w:pPr>
            <w:r>
              <w:t xml:space="preserve">REA-120=180 RA-65=120 RS-40=100</w:t>
            </w:r>
          </w:p>
        </w:tc>
        <w:tc>
          <w:tcPr/>
          <w:p>
            <w:pPr>
              <w:pStyle w:val="Compact"/>
              <w:jc w:val="left"/>
            </w:pPr>
            <w:r>
              <w:t xml:space="preserve">24</w:t>
            </w:r>
          </w:p>
        </w:tc>
        <w:tc>
          <w:tcPr/>
          <w:p>
            <w:pPr>
              <w:pStyle w:val="Compact"/>
              <w:jc w:val="left"/>
            </w:pPr>
            <w:r>
              <w:t xml:space="preserve">32</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Two Family Dwelling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Both public water and sewer</w:t>
            </w:r>
          </w:p>
        </w:tc>
        <w:tc>
          <w:tcPr/>
          <w:p>
            <w:pPr>
              <w:pStyle w:val="Compact"/>
              <w:jc w:val="left"/>
            </w:pPr>
            <w:r>
              <w:t xml:space="preserve">20,000</w:t>
            </w:r>
          </w:p>
        </w:tc>
        <w:tc>
          <w:tcPr/>
          <w:p>
            <w:pPr>
              <w:pStyle w:val="Compact"/>
            </w:pPr>
          </w:p>
        </w:tc>
        <w:tc>
          <w:tcPr/>
          <w:p>
            <w:pPr>
              <w:pStyle w:val="Compact"/>
              <w:jc w:val="left"/>
            </w:pPr>
            <w:r>
              <w:t xml:space="preserve">30</w:t>
            </w:r>
          </w:p>
        </w:tc>
        <w:tc>
          <w:tcPr/>
          <w:p>
            <w:pPr>
              <w:pStyle w:val="Compact"/>
              <w:jc w:val="left"/>
            </w:pPr>
            <w:r>
              <w:t xml:space="preserve">32</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Either Sewer/no water OR Water /no sewer but not both</w:t>
            </w:r>
          </w:p>
        </w:tc>
        <w:tc>
          <w:tcPr/>
          <w:p>
            <w:pPr>
              <w:pStyle w:val="Compact"/>
              <w:jc w:val="left"/>
            </w:pPr>
            <w:r>
              <w:t xml:space="preserve">30,000</w:t>
            </w:r>
          </w:p>
        </w:tc>
        <w:tc>
          <w:tcPr/>
          <w:p>
            <w:pPr>
              <w:pStyle w:val="Compact"/>
              <w:jc w:val="left"/>
            </w:pPr>
            <w:r>
              <w:t xml:space="preserve">RA-65=145 RS-40=120 RU-20=100</w:t>
            </w:r>
          </w:p>
        </w:tc>
        <w:tc>
          <w:tcPr/>
          <w:p>
            <w:pPr>
              <w:pStyle w:val="Compact"/>
              <w:jc w:val="left"/>
            </w:pPr>
            <w:r>
              <w:t xml:space="preserve">30</w:t>
            </w:r>
          </w:p>
        </w:tc>
        <w:tc>
          <w:tcPr/>
          <w:p>
            <w:pPr>
              <w:pStyle w:val="Compact"/>
              <w:jc w:val="left"/>
            </w:pPr>
            <w:r>
              <w:t xml:space="preserve">32</w:t>
            </w:r>
          </w:p>
        </w:tc>
        <w:tc>
          <w:tcPr/>
          <w:p>
            <w:pPr>
              <w:pStyle w:val="Compact"/>
              <w:jc w:val="left"/>
            </w:pPr>
            <w:r>
              <w:t xml:space="preserve">15</w:t>
            </w:r>
          </w:p>
        </w:tc>
        <w:tc>
          <w:tcPr/>
          <w:p>
            <w:pPr>
              <w:pStyle w:val="Compact"/>
              <w:jc w:val="left"/>
            </w:pPr>
            <w:r>
              <w:t xml:space="preserve">20</w:t>
            </w:r>
          </w:p>
        </w:tc>
      </w:tr>
      <w:tr>
        <w:tc>
          <w:tcPr/>
          <w:p>
            <w:pPr>
              <w:pStyle w:val="Compact"/>
              <w:jc w:val="left"/>
            </w:pPr>
            <w:r>
              <w:t xml:space="preserve">No water or sewer ISDS and well located on lot</w:t>
            </w:r>
          </w:p>
        </w:tc>
        <w:tc>
          <w:tcPr/>
          <w:p>
            <w:pPr>
              <w:pStyle w:val="Compact"/>
              <w:jc w:val="left"/>
            </w:pPr>
            <w:r>
              <w:t xml:space="preserve">40,000</w:t>
            </w:r>
          </w:p>
        </w:tc>
        <w:tc>
          <w:tcPr/>
          <w:p>
            <w:pPr>
              <w:pStyle w:val="Compact"/>
            </w:pPr>
          </w:p>
        </w:tc>
        <w:tc>
          <w:tcPr/>
          <w:p>
            <w:pPr>
              <w:pStyle w:val="Compact"/>
              <w:jc w:val="left"/>
            </w:pPr>
            <w:r>
              <w:t xml:space="preserve">30</w:t>
            </w:r>
          </w:p>
        </w:tc>
        <w:tc>
          <w:tcPr/>
          <w:p>
            <w:pPr>
              <w:pStyle w:val="Compact"/>
              <w:jc w:val="left"/>
            </w:pPr>
            <w:r>
              <w:t xml:space="preserve">32</w:t>
            </w:r>
          </w:p>
        </w:tc>
        <w:tc>
          <w:tcPr/>
          <w:p>
            <w:pPr>
              <w:pStyle w:val="Compact"/>
              <w:jc w:val="left"/>
            </w:pPr>
            <w:r>
              <w:t xml:space="preserve">15</w:t>
            </w:r>
          </w:p>
        </w:tc>
        <w:tc>
          <w:tcPr/>
          <w:p>
            <w:pPr>
              <w:pStyle w:val="Compact"/>
              <w:jc w:val="left"/>
            </w:pPr>
            <w:r>
              <w:t xml:space="preserve">15</w:t>
            </w:r>
          </w:p>
        </w:tc>
      </w:tr>
    </w:tbl>
    <w:p>
      <w:pPr>
        <w:pStyle w:val="BodyText"/>
      </w:pPr>
      <w:r>
        <w:t xml:space="preserve">6-46</w:t>
      </w:r>
    </w:p>
    <w:bookmarkEnd w:id="64"/>
    <w:bookmarkStart w:id="65" w:name="illicit-discharge-storm-water"/>
    <w:p>
      <w:pPr>
        <w:pStyle w:val="Heading2"/>
      </w:pPr>
      <w:r>
        <w:t xml:space="preserve">§ 6.21. ILLICIT DISCHARGE STORM WATER</w:t>
      </w:r>
    </w:p>
    <w:p>
      <w:pPr>
        <w:pStyle w:val="FirstParagraph"/>
      </w:pPr>
      <w:r>
        <w:t xml:space="preserve">Sec. 6.21. ILLICIT DISCHARGE STORM WATER.</w:t>
      </w:r>
    </w:p>
    <w:p>
      <w:pPr>
        <w:pStyle w:val="BodyText"/>
      </w:pPr>
      <w:r>
        <w:t xml:space="preserve">Sec. 6.21.1 Purpose Contaminated storm water runoff is a major cause of impairment of water quality in lakes, ponds, streams, rivers, wetlands, and groundwater; contamination of drinking water supplies; and alteration or destruction of aquatic and wildlife habitat. Regulation of illicit connections and discharges to the municipal storm drain system is necessary for the protection of Town water bodies and groundwater, and to safeguard the public health, safety, welfare, and the environment The objectives of this ordinance are:</w:t>
      </w:r>
    </w:p>
    <w:p>
      <w:pPr>
        <w:numPr>
          <w:ilvl w:val="0"/>
          <w:numId w:val="2176"/>
        </w:numPr>
      </w:pPr>
      <w:r>
        <w:t xml:space="preserve">1. to prevent (or reduce to the maximum extent practicable) pollutants from entering the Town owned storm drainage system;</w:t>
      </w:r>
    </w:p>
    <w:p>
      <w:pPr>
        <w:numPr>
          <w:ilvl w:val="0"/>
          <w:numId w:val="2177"/>
        </w:numPr>
      </w:pPr>
      <w:r>
        <w:t xml:space="preserve">2. to prohibit illicit connections and unauthorized discharges to the storm water drainage system; 3. to require the removal of all such illicit connections and discharges;</w:t>
      </w:r>
    </w:p>
    <w:p>
      <w:pPr>
        <w:numPr>
          <w:ilvl w:val="0"/>
          <w:numId w:val="2178"/>
        </w:numPr>
      </w:pPr>
      <w:r>
        <w:t xml:space="preserve">4. to comply with state law and federal statutes and regulations relating to storm water discharges; and 5. to set forth the legal authority and procedures to carry out all inspection, detection, monitoring, and enforcement activities necessary to ensure compliance with this ordinance. Sec. 6.21.2 Authority This ordinance is promulgated pursuant to the Rhode Island Department of Environmental Management’s (“DEM”) General Permit Rhode Island Pollutant Discharge Elimination System Storm Water Discharge from Small Municipal Separate Storm Sewer Systems and from Industrial Activity at Eligible Facilities Operated by Regulated Small MS4s (“MS4 General Permit”) and in accordance with the Administrative Procedures Act, R.I.G.L. 42-35-1, et seq. Sec. 6.21.3 Definitions The following words, terms and phrases, when used in this ordinance, shall have the meanings ascribed to them in this section:</w:t>
      </w:r>
    </w:p>
    <w:p>
      <w:pPr>
        <w:numPr>
          <w:ilvl w:val="0"/>
          <w:numId w:val="2179"/>
        </w:numPr>
      </w:pPr>
      <w:r>
        <w:t xml:space="preserve">Allowable Non-Storm Water Discharges- Discharges not comprised of storm water are allowed under the MS4 General Permit Part I.B.3 but are limited to the following, provided these are not significant contributors of pollutants to the MS4: discharges which result from the washdown of vehicles at retail dealers selling new and 6-47 used automobiles where no detergents are used and individual residential car washing; external building washdown where no detergents are used; the use of water to control dust; fire-fighting activities; fire hydrant flushings; natural springs; uncontaminated groundwater; dechlorinated pool discharges; air conditioning condensate; lawn watering; potable water sources including waterline flushings; irrigation drainage; pavement washwaters where spills or leaks of toxic or hazardous materials have not occurred (unless all spilled materials have been removed) and where detergents are not used; discharges from foundation or footing drains where flows are not contaminated with process materials such as solvents, or contaminated by contact with soils where spills or leaks of toxic or hazardous materials have occurred; uncontaminated utility vault dewatering; dechlorinated water line testing water; hydrostatic test water that does not contain any treatment chemicals and is not contaminated with process chemicals.</w:t>
      </w:r>
    </w:p>
    <w:p>
      <w:pPr>
        <w:numPr>
          <w:ilvl w:val="0"/>
          <w:numId w:val="2180"/>
        </w:numPr>
      </w:pPr>
      <w:r>
        <w:t xml:space="preserve">Best Management Practices (BMPs)- Schedules of activities, prohibitions of practices, general good house-keeping practices, pollution prevention and educational practices, maintenance procedures, and other management practices; and structures, to prevent or reduce the discharge of pollutants directly or indirectly to storm water, receiving waters, or storm water conveyance systems. BMPs also include treatment practices, operating procedures, and practices to control site runoff, spillage or leaks, sludge or water disposal, or drainage from raw materials storage.</w:t>
      </w:r>
    </w:p>
    <w:p>
      <w:pPr>
        <w:numPr>
          <w:ilvl w:val="0"/>
          <w:numId w:val="2181"/>
        </w:numPr>
      </w:pPr>
      <w:r>
        <w:t xml:space="preserve">Clean Water Act (CWA)- The federal Water Pollution Control Act (33 U.S.C. § 1251 et seq.), and any subsequent amendments thereto.</w:t>
      </w:r>
    </w:p>
    <w:p>
      <w:pPr>
        <w:numPr>
          <w:ilvl w:val="0"/>
          <w:numId w:val="2182"/>
        </w:numPr>
      </w:pPr>
      <w:r>
        <w:t xml:space="preserve">Construction Activity- Activities subject to RIPDES Construction Permits, which includes construction projects resulting in land disturbance of one acre or more; and activities resulting in land disturbance of less than one acre which are subject to Planning Board approval. Such activities include but are not limited to clearing and grubbing, grading, excavating, and demolition.</w:t>
      </w:r>
    </w:p>
    <w:p>
      <w:pPr>
        <w:numPr>
          <w:ilvl w:val="0"/>
          <w:numId w:val="2183"/>
        </w:numPr>
      </w:pPr>
      <w:r>
        <w:t xml:space="preserve">Director means the Director of Public Works, or his authorized deputy, agent or representative.</w:t>
      </w:r>
    </w:p>
    <w:p>
      <w:pPr>
        <w:numPr>
          <w:ilvl w:val="0"/>
          <w:numId w:val="2184"/>
        </w:numPr>
      </w:pPr>
      <w:r>
        <w:t xml:space="preserve">Discharger- Any person who causes, allows, permits, or is otherwise responsible for a discharge, including, without limitation, any operator of a construction site or industrial facility.</w:t>
      </w:r>
    </w:p>
    <w:p>
      <w:pPr>
        <w:numPr>
          <w:ilvl w:val="0"/>
          <w:numId w:val="2185"/>
        </w:numPr>
      </w:pPr>
      <w:r>
        <w:t xml:space="preserve">Hazardous Material- Any material, including any substance, waste, or combination thereof, which because of its quantity, concentration, or physical, chemical, radioactive, or infectious characteristics may cause, or significantly contribute to, a substantial present or potential hazard to human health, safety, property, or the environment when improperly treated, stored, transported, disposed of, or otherwise managed. 6-48 Illicit Connection- An illicit connection is defined as either of the following: • Any drain or conveyance, whether on the surface or subsurface, which allows an illegal discharge to enter the storm drain system including but not limited to any conveyances which allow any non-storm water discharge including sewage, process wastewater, and wash water to enter the storm drain system and any connections to the storm drain system from indoor drains and sinks, regardless of whether said drain or connection had been previously allowed, permitted, or approved by the Director, or, • any drain or conveyance connected from a commercial or industrial land use to the storm drain system which has not been documented in plans, maps, or equivalent records and approved by the Director .</w:t>
      </w:r>
    </w:p>
    <w:p>
      <w:pPr>
        <w:numPr>
          <w:ilvl w:val="0"/>
          <w:numId w:val="2186"/>
        </w:numPr>
      </w:pPr>
      <w:r>
        <w:t xml:space="preserve">Illicit Discharge- Any direct or indirect discharge to a municipal storm drainage system that is not composed entirely of storm water, except discharges pursuant to a RIPDES permit (other than the RIPDES permit for discharges from the municipal separate storm sewer) and discharges resulting from fire fighting activities. Illicit discharges include, but are not limited to, discharges in the form of: illegal dumping, hazardous waste/material spills, sewage and wastewater, construction waste, building material, truck washout, litter, and those allowable storm water discharges found to be a significant contributor of pollutants to the MS4.</w:t>
      </w:r>
    </w:p>
    <w:p>
      <w:pPr>
        <w:numPr>
          <w:ilvl w:val="0"/>
          <w:numId w:val="2187"/>
        </w:numPr>
      </w:pPr>
      <w:r>
        <w:t xml:space="preserve">Industrial Activity- Activities subject to RIPDES Industrial Storm Water Permits as defined in RIPDES Rule 31 (b) (15).</w:t>
      </w:r>
    </w:p>
    <w:p>
      <w:pPr>
        <w:numPr>
          <w:ilvl w:val="0"/>
          <w:numId w:val="2188"/>
        </w:numPr>
      </w:pPr>
      <w:r>
        <w:t xml:space="preserve">Municipal Separate Storm Sewer System (MS4)- A conveyance or system of conveyances (including roads with drainage systems, municipal streets, catch basins, curbs, gutters, ditches, natural and man-made channels and watercourses, piped storm drains, retention and detention basins, and other drainage structures), owned or operated by the Town, or proposed for ownership or operation by the Town, and designed or used for collecting or conveying storm water, and that is not used for collecting or conveying sewage. (Also known as the ‘storm drainage system’.)</w:t>
      </w:r>
    </w:p>
    <w:p>
      <w:pPr>
        <w:numPr>
          <w:ilvl w:val="0"/>
          <w:numId w:val="2189"/>
        </w:numPr>
      </w:pPr>
      <w:r>
        <w:t xml:space="preserve">Non-Storm Water Discharge- Any discharge to the storm drain system, or that has the potential to enter the storm drain system, that is not composed entirely of storm water.</w:t>
      </w:r>
    </w:p>
    <w:p>
      <w:pPr>
        <w:numPr>
          <w:ilvl w:val="0"/>
          <w:numId w:val="2190"/>
        </w:numPr>
      </w:pPr>
      <w:r>
        <w:t xml:space="preserve">Operator- The party or parties that either individually or taken together have the day-today operational control over the facility activities and the ability to make modifications to such activities.</w:t>
      </w:r>
    </w:p>
    <w:p>
      <w:pPr>
        <w:numPr>
          <w:ilvl w:val="0"/>
          <w:numId w:val="2191"/>
        </w:numPr>
      </w:pPr>
      <w:r>
        <w:t xml:space="preserve">Owner- The party or parties that either individually or taken together has legal title to any premise. 6-49 Person- Any individual, association, organization, partnership, firm, corporation or other entity recognized by law and acting as either the owner or as the owner's agent.</w:t>
      </w:r>
    </w:p>
    <w:p>
      <w:pPr>
        <w:numPr>
          <w:ilvl w:val="0"/>
          <w:numId w:val="2192"/>
        </w:numPr>
      </w:pPr>
      <w:r>
        <w:t xml:space="preserve">Pollutants- Anything that causes or contributes to pollution. Pollutants may include, but are not limited to: paints, varnishes, and solvents; oil and other automotive fluids; nonhazardous liquid and solid wastes and yard wastes; refuse, rubbish, garbage, litter, or other discarded or abandoned objects and accumulations, so that same may cause or contribute to pollution; floatables; pesticides, herbicides, and fertilizers; hazardous substances and wastes; sewage, fecal coliform and pathogens; dissolved and particulate metals; animal and pet wastes; soil, sediment/ fines resulting from land disturbing activities; wastes and residues that result from constructing a building or structure; and noxious or offensive matter of any kind.</w:t>
      </w:r>
    </w:p>
    <w:p>
      <w:pPr>
        <w:numPr>
          <w:ilvl w:val="0"/>
          <w:numId w:val="2193"/>
        </w:numPr>
      </w:pPr>
      <w:r>
        <w:t xml:space="preserve">RIPDES- Rhode Island Pollution Discharge Elimination System means the Rhode Island system for issuing, modifying, revoking and reissuing, terminating, monitoring, and enforcing point source discharge permits and imposing and enforcing pretreatment requirements pursuant to Title 46, Chapter 12 of the General Laws of Rhode Island and the Clean Water Act.</w:t>
      </w:r>
    </w:p>
    <w:p>
      <w:pPr>
        <w:numPr>
          <w:ilvl w:val="0"/>
          <w:numId w:val="2194"/>
        </w:numPr>
      </w:pPr>
      <w:r>
        <w:t xml:space="preserve">Storm Water- Any surface flow, runoff, and drainage consisting entirely of water from any form of natural precipitation, and resulting from such precipitation.</w:t>
      </w:r>
    </w:p>
    <w:p>
      <w:pPr>
        <w:numPr>
          <w:ilvl w:val="0"/>
          <w:numId w:val="2195"/>
        </w:numPr>
      </w:pPr>
      <w:r>
        <w:t xml:space="preserve">Storm Water Management Program Plan (SWMPP)- the municipal document describing a program to reduce the discharge of pollutants from the MS4 to the maximum extent practicable, protect water quality, and satisfy the water quality requirements of the Federal Clean Water Act and Rhode Island Water Quality Standards; and which includes the following six minimum control measures: Public Education and Outreach, Public Involvement/ Participation, Illicit Discharge Detection and Elimination, Construction Site Storm Water Runoff Control, Post Construction Storm Water Management, and Pollution Prevention and Good House Keeping in Municipal Operations. Storm Water Pollution Prevention Plan (SWPPP)- A document which describes the Best Management Practices and activities to be implemented by a person or business to identify sources of pollution or contamination at a site and the actions to eliminate or reduce pollutant discharges to storm water, storm water conveyance systems, and/or receiving waters to the maximum extent practicable.</w:t>
      </w:r>
    </w:p>
    <w:p>
      <w:pPr>
        <w:numPr>
          <w:ilvl w:val="0"/>
          <w:numId w:val="2196"/>
        </w:numPr>
      </w:pPr>
      <w:r>
        <w:t xml:space="preserve">Watercourse- A natural or man-made surface drainage channel or body of water (including a lake or pond) through which a water flow occurs, either continuously or intermittently.</w:t>
      </w:r>
    </w:p>
    <w:p>
      <w:pPr>
        <w:numPr>
          <w:ilvl w:val="0"/>
          <w:numId w:val="2197"/>
        </w:numPr>
      </w:pPr>
      <w:r>
        <w:t xml:space="preserve">Waters of the State- Surface and ground waters within the boundaries of the State of Rhode Island and subject to its jurisdiction. 6-50 Sec. 6.21.4 Discharge Prohibitions (a) Prohibition of Illicit Discharges No person shall throw, drain, or otherwise discharge or cause to be discharged into the municipal storm drainage system any pollutant or non-storm water discharge unless such a non-storm water discharge is outlined in Part I.B.3 of the MS4 General Permit as an Allowable Non-Storm Water Discharge, or is authorized by a specific RIPDES permit. The allowable non-storm water discharges are permitted if deemed not to be a significant contributor of pollutants to the municipal storm drainage system. Allowable nonstormwater discharges will not be permitted under any circumstance when said discharge adversely affects a municipal right-of-way or stormwater system. Reports of illegal dumping, hazardous waste and material spills, and other complaints will be investigated under the purview of this ordinance, and Ordinance No. 28, and other applicable State and Federal laws. The commencement, conduct, or continuance of any illicit discharge to the storm drainage system is prohibited.</w:t>
      </w:r>
    </w:p>
    <w:p>
      <w:pPr>
        <w:pStyle w:val="Compact"/>
        <w:numPr>
          <w:ilvl w:val="0"/>
          <w:numId w:val="2198"/>
        </w:numPr>
      </w:pPr>
    </w:p>
    <w:p>
      <w:pPr>
        <w:numPr>
          <w:ilvl w:val="1"/>
          <w:numId w:val="2199"/>
        </w:numPr>
      </w:pPr>
      <w:r>
        <w:t xml:space="preserve">(b) Prohibition of Illicit Connections The construction, use, maintenance or continued existence of illicit connections to the municipal storm drain system is prohibited. This prohibition expressly includes, without limitation, illicit connections made in the past, regardless of whether the connection was permissible under law or practices applicable or prevailing at the time of connection. A person is considered to be in violation of this ordinance if the person connects a line conveying sewage to the MS4 or any watercourse, or allows such a connection to continue. Improper connections in violation of this ordinance must be disconnected, and if necessary, redirected to an approved onsite wastewater management system upon approval of the RIDEM, or to the sanitary sewer system. Sec. 6.21.5 Right of Entry Entry to Perform Duties Under this Ordinance. To the extent permitted by State law, or if authorized by the owner or other party in control of the property, the Director, and/or his designees may enter upon privately owned property for the purpose of performing their duties under this ordinance and may 6-51 make or cause to be made such inspections, surveys, testing, or sampling as the Director deems reasonably necessary. Sec. 6.21.6 Inspections and Monitoring The Director shall be permitted, upon the presentation of credentials and other documents as may be required by law, to:</w:t>
      </w:r>
    </w:p>
    <w:p>
      <w:pPr>
        <w:numPr>
          <w:ilvl w:val="0"/>
          <w:numId w:val="2200"/>
        </w:numPr>
      </w:pPr>
      <w:r>
        <w:t xml:space="preserve">1. Enter the dischargers premise(s) where a regulated activity is conducted, or where records must be kept related to storm water compliance;</w:t>
      </w:r>
    </w:p>
    <w:p>
      <w:pPr>
        <w:numPr>
          <w:ilvl w:val="0"/>
          <w:numId w:val="2201"/>
        </w:numPr>
      </w:pPr>
      <w:r>
        <w:t xml:space="preserve">2. Have access to and copy, at reasonable times, any records related to storm water compliance;</w:t>
      </w:r>
    </w:p>
    <w:p>
      <w:pPr>
        <w:numPr>
          <w:ilvl w:val="0"/>
          <w:numId w:val="2202"/>
        </w:numPr>
      </w:pPr>
      <w:r>
        <w:t xml:space="preserve">3. Inspect at reasonable times any equipment, practices, or operations related to storm water compliance; and</w:t>
      </w:r>
    </w:p>
    <w:p>
      <w:pPr>
        <w:numPr>
          <w:ilvl w:val="0"/>
          <w:numId w:val="1000"/>
        </w:numPr>
      </w:pPr>
      <w:r>
        <w:t xml:space="preserve">4. Take samples, perform testing, or monitor any substances or parameters at any location, at reasonable times, for the purposes of assuring compliance with this ordinance or as otherwise authorized by the CWA or R.I. law.</w:t>
      </w:r>
    </w:p>
    <w:p>
      <w:pPr>
        <w:numPr>
          <w:ilvl w:val="0"/>
          <w:numId w:val="2203"/>
        </w:numPr>
      </w:pPr>
      <w:r>
        <w:t xml:space="preserve">5. Require that the owner or occupant of the property locate any drain or conveyance that has not been documented in plans, maps or equivalent, and which may be connected to the storm drain system; and to identify the drain or conveyance as storm drain, sanitary sewer, or other, and that the outfall location or point of connection to the storm drain system, sanitary sewer system or other discharge point be identified. Results of these investigations are to be documented and provided to the Director. Sec. 6.21.7 Suspension of MS4 Access (a) Suspension due to Illicit Discharges in Emergency Situations. The Director may, without prior notice, suspend MS4 discharge access to a person when such suspension is necessary to stop an actual or threatened non-storm water discharge which presents or may present imminent and substantial danger to the environment, or to the health or welfare of persons, or to the MS4 or Waters of the State. If the violator fails to comply with a suspension order issued in an emergency, the Director may take such steps as deemed necessary to prevent or minimize damage to the MS4 or Waters of the State, or to minimize danger to persons. (b) Suspension due to the Detection of Illicit Discharge. Any person discharging to the MS4 in violation of this ordinance may have their MS4 access terminated if such termination would abate or reduce an illicit discharge. The Director will notify a violator of the proposed termination of its MS4 access. A person commits an offense if the person reinstates MS4 access to premises terminated pursuant to this Section, without the prior approval of the Director. 6-52 Sec. 6.21.8 Requirement to Secure a RIPDES Permit The Director shall refer to RIDEM all non-storm water discharges not authorized in accordance with Part I.B.3 of the MS4 General Permit or by a specific RIPDES Permit, which the Director has deemed appropriate to continue discharging to the MS4, for consideration of an appropriate permit. Sec. 6.21.9 Industrial and Construction Activity Discharge. Any person subject to an industrial or construction activity RIPDES storm water discharge permit shall comply with all provisions of such permit. Proof of compliance with said permit may be required in a form acceptable to the Director prior to the allowing of discharges to the MS4, or as a condition of a subdivision map, site plan, building permit, or development or improvement plan. Sec. 6.21.10 Requirement to Prevent, Control and Reduce Storm Water Pollutants by the use of Best Management Practices Upon confirmation of a violation of this ordinance, the Director may require, in an attempt to prevent, control, and reduce storm water pollutants, any person engaged in activities or operations, or owning facilities or property which has or may result in future pollutants entering storm water, the storm drainage system, or waters of the State shall develop and implement, at their own expense, a Storm Water Pollution Prevention Plan prescribing Best Management Practices to the extent they are technologically achievable to prevent and reduce such pollutants. The owner or operator of a commercial or industrial establishment found to be in violation of this ordinance shall provide reasonable protection from accidental discharge of prohibited materials or other wastes into the municipal storm drain system or watercourses. Facilities to prevent accidental discharge of prohibited materials or other wastes shall be provided and maintained at the owner or operator's expense. The SWMPP shall be subject to review by the Town and/or RIDEM for approval, and the cost of such review shall be at the owner or operator’s expense. Sec. 6.21.11 Notification of Spills Notwithstanding other requirements of law, as soon as any person responsible for a facility or operation, or responsible for emergency response for a facility or operation has information of any known or suspected release of materials which are resulting or may result in unauthorized discharges or pollutants discharging into storm water, the storm drain system, or waters of the State from said facility, said person shall take all necessary steps to ensure the discovery, containment, and cleanup of such release. In the event of such a release of a hazardous material said person shall immediately notify emergency response officials of the occurrence via emergency dispatch services (911). In the event 6-53 of a release of non-hazardous materials, said person shall notify the Director no later than the next business day. Notifications in person or by phone shall be confirmed by written notice addressed and mailed to the Director within two (2) business days of the phone notice. If the discharge of prohibited materials emanates from a commercial or industrial establishment, the owner or operator of such establishment shall also retain an on-site written record of the discharge and the actions taken to prevent its recurrence. Such records shall be retained for at least three years. Nothing in this section shall preclude any owner/lessee from compliance with relevant provisions of the Rhode Island Clean Water Act, R.I.G.L. 46-12-1, et seq. or other applicable laws or regulations. Sec. 6.21.12 Enforcement Notice of Violation: Whenever the Director finds that any person has violated a prohibition or failed to meet a requirement of this Ordinance, the Director may order compliance by written notice of violation to the land owner and/or responsible person. Such notice may require without limitation:</w:t>
      </w:r>
    </w:p>
    <w:p>
      <w:pPr>
        <w:numPr>
          <w:ilvl w:val="0"/>
          <w:numId w:val="2204"/>
        </w:numPr>
      </w:pPr>
      <w:r>
        <w:t xml:space="preserve">1. The performance of monitoring, analyses, and reporting;</w:t>
      </w:r>
    </w:p>
    <w:p>
      <w:pPr>
        <w:numPr>
          <w:ilvl w:val="0"/>
          <w:numId w:val="2205"/>
        </w:numPr>
      </w:pPr>
      <w:r>
        <w:t xml:space="preserve">2. The elimination of illicit connections or discharges;</w:t>
      </w:r>
    </w:p>
    <w:p>
      <w:pPr>
        <w:numPr>
          <w:ilvl w:val="0"/>
          <w:numId w:val="2206"/>
        </w:numPr>
      </w:pPr>
      <w:r>
        <w:t xml:space="preserve">3. That violating discharges, practices, or operations shall cease and desist;</w:t>
      </w:r>
    </w:p>
    <w:p>
      <w:pPr>
        <w:numPr>
          <w:ilvl w:val="0"/>
          <w:numId w:val="2207"/>
        </w:numPr>
      </w:pPr>
      <w:r>
        <w:t xml:space="preserve">4. The abatement or remediation of storm water pollution or contamination hazards and the restoration of any affected property; and</w:t>
      </w:r>
    </w:p>
    <w:p>
      <w:pPr>
        <w:numPr>
          <w:ilvl w:val="0"/>
          <w:numId w:val="1000"/>
        </w:numPr>
      </w:pPr>
      <w:r>
        <w:t xml:space="preserve">5. Payment of a fine to cover administrative and remediation costs; and</w:t>
      </w:r>
    </w:p>
    <w:p>
      <w:pPr>
        <w:numPr>
          <w:ilvl w:val="0"/>
          <w:numId w:val="1000"/>
        </w:numPr>
      </w:pPr>
      <w:r>
        <w:t xml:space="preserve">6. The implementation of source control or treatment BMPs; and</w:t>
      </w:r>
    </w:p>
    <w:p>
      <w:pPr>
        <w:numPr>
          <w:ilvl w:val="0"/>
          <w:numId w:val="1000"/>
        </w:numPr>
      </w:pPr>
      <w:r>
        <w:t xml:space="preserve">7. The development and approval of a Storm Water Pollution Prevention Plan If abatement of a violation and/or restoration of affected property is required, the notice shall set forth a deadline within which such remediation or restoration must be completed. Said notice shall further advise that, should the violator fail to remediate or restore established deadline, the work will be done by a designated governmental agency or a contractor and the expense thereof shall be charged to the violator. Sec. 6.21.13 Administrative Orders The Director is authorized to issue the following administrative orders at any time he/ she deem such action appropriate to secure timely and effective compliance with this Ordinance or a discharge permit or order issued pursuant to this Ordinance, whether or not any previous notifications of violation have been provided to the user. 6-54</w:t>
      </w:r>
    </w:p>
    <w:p>
      <w:pPr>
        <w:pStyle w:val="Compact"/>
        <w:numPr>
          <w:ilvl w:val="0"/>
          <w:numId w:val="2208"/>
        </w:numPr>
      </w:pPr>
    </w:p>
    <w:p>
      <w:pPr>
        <w:numPr>
          <w:ilvl w:val="1"/>
          <w:numId w:val="2209"/>
        </w:numPr>
      </w:pPr>
      <w:r>
        <w:t xml:space="preserve">A. Cease and Desist Order: The Director may issue an order to cease and desist a violation or an action or inaction which threatens a violation and to direct the user to comply forthwith or to take such appropriate remedial or preventive action as may be needed to properly address the violation or threatened violation, including halting operations and terminating the discharge.</w:t>
      </w:r>
    </w:p>
    <w:p>
      <w:pPr>
        <w:pStyle w:val="Compact"/>
        <w:numPr>
          <w:ilvl w:val="0"/>
          <w:numId w:val="2210"/>
        </w:numPr>
      </w:pPr>
    </w:p>
    <w:p>
      <w:pPr>
        <w:numPr>
          <w:ilvl w:val="1"/>
          <w:numId w:val="2211"/>
        </w:numPr>
      </w:pPr>
      <w:r>
        <w:t xml:space="preserve">B. Consent Order: The Director may enter into consent orders, assurances of voluntary compliance, or other similar documents establishing an agreement with a user. Such orders shall include specific actions to be taken by the user and specific time frames to correct a violation or to remove the threat of a violation. A consent order may also direct that a user provide improved operation and maintenance of existing discharge facilities, conduct additional self-monitoring, or submit appropriate reports or management plans. Sec. 6.21.14 Abatement by Town If the violation has not been corrected pursuant to the requirements set forth in the Notice of Violation, than the Town or a contractor designated by the Director shall enter upon the subject private property and is authorized to take any and all measures necessary to abate the violation and/or restore the property. It shall be unlawful for any person, owner, agent or person in possession of any premises to refuse to allow the Town or designated contractor to enter upon the premises for the purposes set forth above. Sec. 6.21.15 Cost of Abatement of the Violation Within thirty days after abatement of the violation by or under the direction of the Director, the owner of the property will be notified by the enforcement agency or municipality of the cost of abatement, including administrative costs. If the amount due is not paid within a timely manner as determined by the Director, the charges shall become a special assessment against the property and shall constitute a lien on the property for the amount of the assessment. Any person violating any of the provisions of this section shall become liable to the Town by reason of such violation. The liability shall be paid in not more than 12 equal payments. Interest at the rate of 12 percent per annum shall be assessed on the balance beginning on the first day following discovery of the violation. Sec. 6.21.16 Injunctive Relief It shall be unlawful for any person to violate any provision or fail to comply with any of the requirements of this Ordinance. If a person has violated or continues to violate the provisions of this ordinance, the Director may petition for a temporary, preliminary, or permanent injunction restraining the person from activities which would create further violations or compelling the person to perform abatement or remediation of the violation. 6-55 Sec. 6.21.17 Violations Deemed a Public Nuisance In addition to the enforcement processes and penalties provided, any condition caused or permitted to exist in violation of any of the provisions of this Ordinance is a threat to public health, safety, and welfare, and is declared and deemed a nuisance, and may be summarily abated or restored at the violator's expense, and/or a civil action to abate, enjoin, or otherwise compel the cessation of such nuisance may be taken by the Town. Sec. 6.21.18 Criminal Prosecution Any person that has violated or continues to violate this Ordinance shall be liable to criminal prosecution to the fullest extent of the law, and shall be subject to a criminal penalty of $500 dollars per violation per day and/or imprisonment for a period of time not to exceed five (5) days. The Director may recover all attorney's fees, court costs, and other expenses associated with enforcement of this Ordinance, including sampling and monitoring expenses. Sec. 6.21.19 Remedies Not Exclusive The remedies listed in this ordinance are not exclusive of any other remedies available under any applicable federal, state, or local law and it is within the discretion of the authorized enforcement agency to seek cumulative remedies. (Ord. of 10/3/16)</w:t>
      </w:r>
    </w:p>
    <w:bookmarkEnd w:id="65"/>
    <w:bookmarkStart w:id="66" w:name="post-construction-stormwater-control"/>
    <w:p>
      <w:pPr>
        <w:pStyle w:val="Heading2"/>
      </w:pPr>
      <w:r>
        <w:t xml:space="preserve">§ 6.22. Post-Construction Stormwater Control</w:t>
      </w:r>
    </w:p>
    <w:p>
      <w:pPr>
        <w:pStyle w:val="FirstParagraph"/>
      </w:pPr>
      <w:r>
        <w:t xml:space="preserve">Sec. 6.22. Post-Construction Stormwater Control.</w:t>
      </w:r>
    </w:p>
    <w:p>
      <w:pPr>
        <w:pStyle w:val="BodyText"/>
      </w:pPr>
      <w:r>
        <w:t xml:space="preserve">Section 6.22.1 Purpose (a) Unmitigated storm water from areas altered by development may pose public health and safety threats. Potential contaminants in storm water runoff may include suspended solids, nitrogen, phosphorus, hydrocarbons, heavy metals, pathogenic organisms (bacteria and viruses), and road salts.</w:t>
      </w:r>
    </w:p>
    <w:p>
      <w:pPr>
        <w:numPr>
          <w:ilvl w:val="0"/>
          <w:numId w:val="2212"/>
        </w:numPr>
      </w:pPr>
      <w:r>
        <w:t xml:space="preserve">(b) This article establishes the administrative mechanisms necessary for the town to ensure proper storm water management of runoff from new development and redevelopment projects. The ordinance from which this article is derived is written to work in conjunction with the Rhode Island Department of Environmental Management's General Permit, Rhode Island Pollutant Discharge Elimination System (RIPDES) Storm Water Discharge from Small Municipal Separate Storm Sewer Systems and from Industrial Activity at Eligible Facilities Operated by Regulated Small MS4s.</w:t>
      </w:r>
    </w:p>
    <w:p>
      <w:pPr>
        <w:numPr>
          <w:ilvl w:val="0"/>
          <w:numId w:val="2213"/>
        </w:numPr>
      </w:pPr>
      <w:r>
        <w:t xml:space="preserve">(c) This ordinance is responsive to Rhode Island General Law 45-61.2-1 Findings. – (a)</w:t>
      </w:r>
    </w:p>
    <w:p>
      <w:pPr>
        <w:numPr>
          <w:ilvl w:val="0"/>
          <w:numId w:val="2214"/>
        </w:numPr>
      </w:pPr>
      <w:r>
        <w:t xml:space="preserve">The general assembly hereby recognizes and declares that: 6-56 (1) Stormwater, when not properly controlled and treated, causes pollution of the waters of the state, threatens public health, and damages property. Stormwater carries pollutants into rivers, streams, ponds, coves, drinking water aquifers and Narragansett Bay;</w:t>
      </w:r>
    </w:p>
    <w:p>
      <w:pPr>
        <w:pStyle w:val="Compact"/>
        <w:numPr>
          <w:ilvl w:val="0"/>
          <w:numId w:val="2215"/>
        </w:numPr>
      </w:pPr>
    </w:p>
    <w:p>
      <w:pPr>
        <w:numPr>
          <w:ilvl w:val="1"/>
          <w:numId w:val="2216"/>
        </w:numPr>
      </w:pPr>
      <w:r>
        <w:t xml:space="preserve">(2) Stormwater reaches the state's waters by streets, roads, lawns and other means. As a result, public use of the state's natural resources for drinking water, swimming, fishing, shellfishing and other forms of recreation is limited and in some cases prohibited;</w:t>
      </w:r>
    </w:p>
    <w:p>
      <w:pPr>
        <w:pStyle w:val="Compact"/>
        <w:numPr>
          <w:ilvl w:val="0"/>
          <w:numId w:val="2217"/>
        </w:numPr>
      </w:pPr>
    </w:p>
    <w:p>
      <w:pPr>
        <w:numPr>
          <w:ilvl w:val="1"/>
          <w:numId w:val="2218"/>
        </w:numPr>
      </w:pPr>
      <w:r>
        <w:t xml:space="preserve">(3) Development often results in increased stormwater runoff by increasing the size and number of paved and other impervious surfaces within the state, and decreasing the amount of natural surface areas that naturally control stormwater runoff through natural filtration and groundwater recharge systems;</w:t>
      </w:r>
    </w:p>
    <w:p>
      <w:pPr>
        <w:pStyle w:val="Compact"/>
        <w:numPr>
          <w:ilvl w:val="0"/>
          <w:numId w:val="2219"/>
        </w:numPr>
      </w:pPr>
    </w:p>
    <w:p>
      <w:pPr>
        <w:numPr>
          <w:ilvl w:val="1"/>
          <w:numId w:val="2220"/>
        </w:numPr>
      </w:pPr>
      <w:r>
        <w:t xml:space="preserve">(4) Development in the Town of North Smithfield will strive to maintain predevelopment groundwater recharge and infiltration on site to the maximum extent practicable;</w:t>
      </w:r>
    </w:p>
    <w:p>
      <w:pPr>
        <w:pStyle w:val="Compact"/>
        <w:numPr>
          <w:ilvl w:val="0"/>
          <w:numId w:val="2221"/>
        </w:numPr>
      </w:pPr>
    </w:p>
    <w:p>
      <w:pPr>
        <w:numPr>
          <w:ilvl w:val="1"/>
          <w:numId w:val="2222"/>
        </w:numPr>
      </w:pPr>
      <w:r>
        <w:t xml:space="preserve">(5) Demonstrate that post-construction stormwater runoff is controlled, and that postdevelopment peak discharge rates do not exceed pre-development peak discharge rates; and</w:t>
      </w:r>
    </w:p>
    <w:p>
      <w:pPr>
        <w:numPr>
          <w:ilvl w:val="1"/>
          <w:numId w:val="1000"/>
        </w:numPr>
      </w:pPr>
      <w:r>
        <w:t xml:space="preserve">(6) Use low impact-design techniques as the primary method of stormwater control to the maximum extent practicable. Section 6.22.2 Definitions.</w:t>
      </w:r>
    </w:p>
    <w:p>
      <w:pPr>
        <w:pStyle w:val="Compact"/>
        <w:numPr>
          <w:ilvl w:val="0"/>
          <w:numId w:val="2223"/>
        </w:numPr>
      </w:pPr>
    </w:p>
    <w:p>
      <w:pPr>
        <w:numPr>
          <w:ilvl w:val="1"/>
          <w:numId w:val="2224"/>
        </w:numPr>
      </w:pPr>
      <w:r>
        <w:t xml:space="preserve">For the purposes of this section, the following words and terms shall have the meanings respectively ascribed, unless the context otherwise requires:</w:t>
      </w:r>
    </w:p>
    <w:p>
      <w:pPr>
        <w:pStyle w:val="Compact"/>
        <w:numPr>
          <w:ilvl w:val="0"/>
          <w:numId w:val="2225"/>
        </w:numPr>
      </w:pPr>
    </w:p>
    <w:p>
      <w:pPr>
        <w:numPr>
          <w:ilvl w:val="1"/>
          <w:numId w:val="2226"/>
        </w:numPr>
      </w:pPr>
      <w:r>
        <w:t xml:space="preserve">Applicant means any person proposing a development project in accordance with this article. The applicant must be the person who holds a valid purchase and sales agreement for the real property associated with said development project.</w:t>
      </w:r>
    </w:p>
    <w:p>
      <w:pPr>
        <w:pStyle w:val="Compact"/>
        <w:numPr>
          <w:ilvl w:val="0"/>
          <w:numId w:val="2227"/>
        </w:numPr>
      </w:pPr>
    </w:p>
    <w:p>
      <w:pPr>
        <w:numPr>
          <w:ilvl w:val="1"/>
          <w:numId w:val="2228"/>
        </w:numPr>
      </w:pPr>
      <w:r>
        <w:t xml:space="preserve">Authorized enforcement agent means the building official, zoning officer, or other town official authorized to enforce standards in accordance with this article.</w:t>
      </w:r>
    </w:p>
    <w:p>
      <w:pPr>
        <w:pStyle w:val="Compact"/>
        <w:numPr>
          <w:ilvl w:val="0"/>
          <w:numId w:val="2229"/>
        </w:numPr>
      </w:pPr>
    </w:p>
    <w:p>
      <w:pPr>
        <w:numPr>
          <w:ilvl w:val="1"/>
          <w:numId w:val="2230"/>
        </w:numPr>
      </w:pPr>
      <w:r>
        <w:t xml:space="preserve">Best Management Practice (BMP) means any structural and nonstructural means applied to a development project with the intent of controlling storm water flow and quality. Best management practices include, but are not necessarily limited to, means of storm water management described in with the Rhode Island Stormwater Design and Installation Standard Manual (RISDISM), as amended. Use and acceptability of best management practices is at the discretion of the town.</w:t>
      </w:r>
    </w:p>
    <w:p>
      <w:pPr>
        <w:pStyle w:val="Compact"/>
        <w:numPr>
          <w:ilvl w:val="0"/>
          <w:numId w:val="2231"/>
        </w:numPr>
      </w:pPr>
    </w:p>
    <w:p>
      <w:pPr>
        <w:numPr>
          <w:ilvl w:val="1"/>
          <w:numId w:val="2232"/>
        </w:numPr>
      </w:pPr>
      <w:r>
        <w:t xml:space="preserve">Development project means any construction, reconstruction, demolition, or removal of structures, roadways, parking, or other paved areas, utilities, or other similar facilities, including any action requiring a building permit by the town. 6-57 Low-impact development means a best management practice intended to maintain or replicate predevelopment hydrology through the use of site planning, source control, and small-scale structures integrated throughout the site to prevent, infiltrate and manage storm water as close to its source as possible. Low-impact development practices include, but are not necessarily limited to, those described in the state storm water design and installation standards manual, as amended. use and acceptability of low-impact development practices is at the discretion of the town.</w:t>
      </w:r>
    </w:p>
    <w:p>
      <w:pPr>
        <w:pStyle w:val="Compact"/>
        <w:numPr>
          <w:ilvl w:val="0"/>
          <w:numId w:val="2233"/>
        </w:numPr>
      </w:pPr>
    </w:p>
    <w:p>
      <w:pPr>
        <w:numPr>
          <w:ilvl w:val="1"/>
          <w:numId w:val="2234"/>
        </w:numPr>
      </w:pPr>
      <w:r>
        <w:t xml:space="preserve">Owner or operator means any person who holds legal title to any real property, development project or structural best management practice; or has possession or control of any real property, development project or structural best management practice through any agent, executor, administrator, trustee or guardian of the estate of a holder of a legal title.</w:t>
      </w:r>
    </w:p>
    <w:p>
      <w:pPr>
        <w:pStyle w:val="Compact"/>
        <w:numPr>
          <w:ilvl w:val="0"/>
          <w:numId w:val="2235"/>
        </w:numPr>
      </w:pPr>
    </w:p>
    <w:p>
      <w:pPr>
        <w:numPr>
          <w:ilvl w:val="1"/>
          <w:numId w:val="2236"/>
        </w:numPr>
      </w:pPr>
      <w:r>
        <w:t xml:space="preserve">Person shall include an individual, trust, firm, joint stock company, corporation (including a quasi-governmental corporation), partnership, association, syndicate, municipality, municipal or state agency, fire district, club, non-profit agency or any subdivision, commission, department, bureau, agency or department of state or federal government (including any quasi-governmental corporation) or of any interstate body.</w:t>
      </w:r>
    </w:p>
    <w:p>
      <w:pPr>
        <w:pStyle w:val="Compact"/>
        <w:numPr>
          <w:ilvl w:val="0"/>
          <w:numId w:val="2237"/>
        </w:numPr>
      </w:pPr>
    </w:p>
    <w:p>
      <w:pPr>
        <w:numPr>
          <w:ilvl w:val="1"/>
          <w:numId w:val="2238"/>
        </w:numPr>
      </w:pPr>
      <w:r>
        <w:t xml:space="preserve">Storm water management plan means a plan that prescribes site design elements and</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construction practices, that if employed,</w:t>
            </w:r>
          </w:p>
        </w:tc>
        <w:tc>
          <w:tcPr/>
          <w:p>
            <w:pPr>
              <w:pStyle w:val="Compact"/>
              <w:jc w:val="left"/>
            </w:pPr>
            <w:r>
              <w:t xml:space="preserve">improves area water quality by preventing</w:t>
            </w:r>
          </w:p>
        </w:tc>
      </w:tr>
      <w:tr>
        <w:tc>
          <w:tcPr/>
          <w:p>
            <w:pPr>
              <w:pStyle w:val="Compact"/>
              <w:jc w:val="left"/>
            </w:pPr>
            <w:r>
              <w:t xml:space="preserve">harmful pollutants from being carried by</w:t>
            </w:r>
          </w:p>
        </w:tc>
        <w:tc>
          <w:tcPr/>
          <w:p>
            <w:pPr>
              <w:pStyle w:val="Compact"/>
              <w:jc w:val="left"/>
            </w:pPr>
            <w:r>
              <w:t xml:space="preserve">stormwater runoff into local water bodies.</w:t>
            </w:r>
          </w:p>
        </w:tc>
      </w:tr>
    </w:tbl>
    <w:p>
      <w:pPr>
        <w:pStyle w:val="BodyText"/>
      </w:pPr>
      <w:r>
        <w:t xml:space="preserve">Storm water means the surface discharge of water associated with a precipitation event or snowmelt.</w:t>
      </w:r>
    </w:p>
    <w:p>
      <w:pPr>
        <w:pStyle w:val="BodyText"/>
      </w:pPr>
      <w:r>
        <w:t xml:space="preserve">Section 6.22.3 Applicability This article shall apply to all subdivision and land development applications that disturb one acre or more of land. No person shall engage in development projects without receiving approval from the building official and or Planning Board unless specifically exempted by Section 6.22.4. Section 6.22.4 Exemptions The following development projects do not require written approval pursuant to this article:</w:t>
      </w:r>
    </w:p>
    <w:p>
      <w:pPr>
        <w:numPr>
          <w:ilvl w:val="0"/>
          <w:numId w:val="2239"/>
        </w:numPr>
      </w:pPr>
      <w:r>
        <w:t xml:space="preserve">(1) Construction, alteration, or use of any additions to existing single-family or twofamily homes or related structures, when determined by the building official to be insignificant, and such construction, alteration and use does not exceed 1 acre of land, does not occur within 200 feet of any watercourse or coastal feature, and the slopes at the site of land disturbance do not exceed ten percent.</w:t>
      </w:r>
    </w:p>
    <w:p>
      <w:pPr>
        <w:numPr>
          <w:ilvl w:val="0"/>
          <w:numId w:val="2240"/>
        </w:numPr>
      </w:pPr>
      <w:r>
        <w:t xml:space="preserve">(2) Accepted agricultural management practices such as seasonal tilling and harvest activities associated with property utilized for private or commercial agricultural or silvicultural purposes.</w:t>
      </w:r>
    </w:p>
    <w:p>
      <w:pPr>
        <w:numPr>
          <w:ilvl w:val="0"/>
          <w:numId w:val="2241"/>
        </w:numPr>
      </w:pPr>
      <w:r>
        <w:t xml:space="preserve">(3) An excavation which exhibits all of the following characteristics: 6-58</w:t>
      </w:r>
    </w:p>
    <w:p>
      <w:pPr>
        <w:numPr>
          <w:ilvl w:val="0"/>
          <w:numId w:val="2242"/>
        </w:numPr>
      </w:pPr>
      <w:r>
        <w:t xml:space="preserve">a. Is less than four feet in vertical depth at its deepest point as measured from the average elevation of the natural ground surface.</w:t>
      </w:r>
    </w:p>
    <w:p>
      <w:pPr>
        <w:numPr>
          <w:ilvl w:val="0"/>
          <w:numId w:val="2243"/>
        </w:numPr>
      </w:pPr>
      <w:r>
        <w:t xml:space="preserve">b. Does not result in a total displacement of more than 50 cubic yards of material on any lot, land, parcel or subdivision.</w:t>
      </w:r>
    </w:p>
    <w:p>
      <w:pPr>
        <w:numPr>
          <w:ilvl w:val="0"/>
          <w:numId w:val="2244"/>
        </w:numPr>
      </w:pPr>
      <w:r>
        <w:t xml:space="preserve">c. Has no slopes steeper than ten feet vertical in 100 feet horizontal (ten percent).</w:t>
      </w:r>
    </w:p>
    <w:p>
      <w:pPr>
        <w:numPr>
          <w:ilvl w:val="0"/>
          <w:numId w:val="2245"/>
        </w:numPr>
      </w:pPr>
      <w:r>
        <w:t xml:space="preserve">d. Has all disturbed surface areas promptly and effectively protected to prevent soil erosion and sedimentation from occurring including seeding or sodding, and provided that all disturbed surface areas which will be exposed for a period of time in excess of 30 days shall be covered with a suitable temporary protective ground cover until permanent ground cover is in place.</w:t>
      </w:r>
    </w:p>
    <w:p>
      <w:pPr>
        <w:pStyle w:val="Compact"/>
        <w:numPr>
          <w:ilvl w:val="0"/>
          <w:numId w:val="2246"/>
        </w:numPr>
      </w:pPr>
    </w:p>
    <w:p>
      <w:pPr>
        <w:numPr>
          <w:ilvl w:val="1"/>
          <w:numId w:val="2247"/>
        </w:numPr>
      </w:pPr>
      <w:r>
        <w:t xml:space="preserve">(4) Grading, as a maintenance measure, or for landscaping purposes on existing developed land parcels or lots, provided that all of the following conditions are met:</w:t>
      </w:r>
    </w:p>
    <w:p>
      <w:pPr>
        <w:numPr>
          <w:ilvl w:val="0"/>
          <w:numId w:val="2248"/>
        </w:numPr>
      </w:pPr>
      <w:r>
        <w:t xml:space="preserve">a. The aggregate area of activity does not exceed 1 acre.</w:t>
      </w:r>
    </w:p>
    <w:p>
      <w:pPr>
        <w:numPr>
          <w:ilvl w:val="0"/>
          <w:numId w:val="2249"/>
        </w:numPr>
      </w:pPr>
      <w:r>
        <w:t xml:space="preserve">b. All bare surface area is promptly seeded, sodded, or otherwise effectively protected from erosive actions.</w:t>
      </w:r>
    </w:p>
    <w:p>
      <w:pPr>
        <w:pStyle w:val="Compact"/>
        <w:numPr>
          <w:ilvl w:val="0"/>
          <w:numId w:val="2250"/>
        </w:numPr>
      </w:pPr>
    </w:p>
    <w:p>
      <w:pPr>
        <w:numPr>
          <w:ilvl w:val="1"/>
          <w:numId w:val="2251"/>
        </w:numPr>
      </w:pPr>
      <w:r>
        <w:t xml:space="preserve">(5) Grading, filling, removal or excavation activities and operations undertaken by the town under the direction and supervision of the Director of Public Works for work on streets, roads or rights-of-way dedicated to public use; provided, however, that adequate and acceptable erosion and sediment controls are incorporated in engineering plans and specifications and employed. Appropriate controls shall apply during construction as well as after the completion of such activities.</w:t>
      </w:r>
    </w:p>
    <w:p>
      <w:pPr>
        <w:pStyle w:val="Compact"/>
        <w:numPr>
          <w:ilvl w:val="0"/>
          <w:numId w:val="2252"/>
        </w:numPr>
      </w:pPr>
    </w:p>
    <w:p>
      <w:pPr>
        <w:numPr>
          <w:ilvl w:val="1"/>
          <w:numId w:val="2253"/>
        </w:numPr>
      </w:pPr>
      <w:r>
        <w:t xml:space="preserve">(6) Use of a home garden in association with residential use. Section 6.22.5 Variance The building official reviewing an application under this article may:</w:t>
      </w:r>
    </w:p>
    <w:p>
      <w:pPr>
        <w:pStyle w:val="Compact"/>
        <w:numPr>
          <w:ilvl w:val="0"/>
          <w:numId w:val="2254"/>
        </w:numPr>
      </w:pPr>
    </w:p>
    <w:p>
      <w:pPr>
        <w:numPr>
          <w:ilvl w:val="1"/>
          <w:numId w:val="2255"/>
        </w:numPr>
      </w:pPr>
      <w:r>
        <w:t xml:space="preserve">(1) Vary requirements of this article when strict implementation of the requirements will create an unnecessary hardship or are not feasible.</w:t>
      </w:r>
    </w:p>
    <w:p>
      <w:pPr>
        <w:pStyle w:val="Compact"/>
        <w:numPr>
          <w:ilvl w:val="0"/>
          <w:numId w:val="2256"/>
        </w:numPr>
      </w:pPr>
    </w:p>
    <w:p>
      <w:pPr>
        <w:numPr>
          <w:ilvl w:val="1"/>
          <w:numId w:val="2257"/>
        </w:numPr>
      </w:pPr>
      <w:r>
        <w:t xml:space="preserve">(2) Allow use of an innovative management practice where strict adherence to existing criteria would be costly or of negligible environmental benefit.</w:t>
      </w:r>
    </w:p>
    <w:p>
      <w:pPr>
        <w:pStyle w:val="Compact"/>
        <w:numPr>
          <w:ilvl w:val="0"/>
          <w:numId w:val="2258"/>
        </w:numPr>
      </w:pPr>
    </w:p>
    <w:p>
      <w:pPr>
        <w:numPr>
          <w:ilvl w:val="1"/>
          <w:numId w:val="2259"/>
        </w:numPr>
      </w:pPr>
      <w:r>
        <w:t xml:space="preserve">(3) Allow use of an innovative management practice where the innovative practice is expected to have an environmental benefit, which cannot be practicably realized using standardized management practices. Section 6.22.6 Submissions and Approvals (a) In accordance with this article, all persons must obtain approval from the building official prior to engaging in any development project, unless exempted by section 6.22.4. To obtain approval applicants must demonstrate compliance with all policy, standards and requirements of this article to the satisfaction of the building official. 6-59 Applicants may demonstrate compliance via submission of materials and documentation including but not limited to a storm water management plan, site plan and maintenance agreement in accordance with this article. Plans will be reviewed in conjunction with site plan reviewed by the building official.</w:t>
      </w:r>
    </w:p>
    <w:p>
      <w:pPr>
        <w:pStyle w:val="Compact"/>
        <w:numPr>
          <w:ilvl w:val="0"/>
          <w:numId w:val="2260"/>
        </w:numPr>
      </w:pPr>
    </w:p>
    <w:p>
      <w:pPr>
        <w:pStyle w:val="Compact"/>
        <w:numPr>
          <w:ilvl w:val="1"/>
          <w:numId w:val="2261"/>
        </w:numPr>
      </w:pPr>
    </w:p>
    <w:p>
      <w:pPr>
        <w:numPr>
          <w:ilvl w:val="2"/>
          <w:numId w:val="2262"/>
        </w:numPr>
      </w:pPr>
      <w:r>
        <w:t xml:space="preserve">(b) Pre-application meetings may be requested by the applicant and held at the discretion of the town for the purpose of informing the representatives of construction projects of any local requirements, state environmental permitting requirements, and any additional limitations that may be imposed. Section 6.22.7 Technical Standards All applicants are required to develop and submit a storm water management plan prepared by a professional engineer licensed in the state. All storm water management plans must address storm water management on a site-by-site basis and all requirements of this article. All storm water management practices shall be consistent with the RISDISM and the state soil erosion and sediment control handbook, as amended.</w:t>
      </w:r>
    </w:p>
    <w:p>
      <w:pPr>
        <w:pStyle w:val="Compact"/>
        <w:numPr>
          <w:ilvl w:val="0"/>
          <w:numId w:val="2263"/>
        </w:numPr>
      </w:pPr>
    </w:p>
    <w:p>
      <w:pPr>
        <w:numPr>
          <w:ilvl w:val="1"/>
          <w:numId w:val="2264"/>
        </w:numPr>
      </w:pPr>
      <w:r>
        <w:t xml:space="preserve">(1) Performance standards. Storm water management plans shall incorporate structural and nonstructural best management practices for water quality control, in accordance with the state storm water design and installation standards manual. Development in special resource protection waters or watersheds of impaired waters as defined pursuant to the state water quality regulations may be held to higher standards. As part of such higher standards, low-impact development shall be used as the primary method of storm water control to the maximum extent practicable to manage water quality and maintain groundwater recharge to predevelopment levels.</w:t>
      </w:r>
    </w:p>
    <w:p>
      <w:pPr>
        <w:pStyle w:val="Compact"/>
        <w:numPr>
          <w:ilvl w:val="0"/>
          <w:numId w:val="2265"/>
        </w:numPr>
      </w:pPr>
    </w:p>
    <w:p>
      <w:pPr>
        <w:numPr>
          <w:ilvl w:val="1"/>
          <w:numId w:val="2266"/>
        </w:numPr>
      </w:pPr>
      <w:r>
        <w:t xml:space="preserve">(2) Disallowed storm water best management practices. The placement of storm water structures within a floodplain shall be avoided. If there is no alternative, the applicant must show what effects, if any, the tailwaters created by the floodplain will have on the outflow and effective storage capacity of the storm water best management practice.</w:t>
      </w:r>
    </w:p>
    <w:p>
      <w:pPr>
        <w:pStyle w:val="Compact"/>
        <w:numPr>
          <w:ilvl w:val="0"/>
          <w:numId w:val="2267"/>
        </w:numPr>
      </w:pPr>
    </w:p>
    <w:p>
      <w:pPr>
        <w:numPr>
          <w:ilvl w:val="1"/>
          <w:numId w:val="2268"/>
        </w:numPr>
      </w:pPr>
      <w:r>
        <w:t xml:space="preserve">(3) Facilitation of maintenance. Facilities that require maintenance shall be designed to minimize the need for regular maintenance, facilitate required maintenance, and ensure accessibility of components that require maintenance.</w:t>
      </w:r>
    </w:p>
    <w:p>
      <w:pPr>
        <w:pStyle w:val="Compact"/>
        <w:numPr>
          <w:ilvl w:val="0"/>
          <w:numId w:val="2269"/>
        </w:numPr>
      </w:pPr>
    </w:p>
    <w:p>
      <w:pPr>
        <w:numPr>
          <w:ilvl w:val="1"/>
          <w:numId w:val="2270"/>
        </w:numPr>
      </w:pPr>
      <w:r>
        <w:t xml:space="preserve">At a minimum, all storm water management plans must incorporate best management practices with appropriate maintenance design in accordance with the state storm water design and installation standards manual, as amended.</w:t>
      </w:r>
    </w:p>
    <w:p>
      <w:pPr>
        <w:pStyle w:val="Compact"/>
        <w:numPr>
          <w:ilvl w:val="0"/>
          <w:numId w:val="2271"/>
        </w:numPr>
      </w:pPr>
    </w:p>
    <w:p>
      <w:pPr>
        <w:numPr>
          <w:ilvl w:val="1"/>
          <w:numId w:val="2272"/>
        </w:numPr>
      </w:pPr>
      <w:r>
        <w:t xml:space="preserve">(4) Flood protection. Storm water management plans shall demonstrate that a proposed project provides for protection of life and property from flooding and flood flows. Water quantities must be controlled in accordance with the RISDISM, as amended, or a municipally approved regional storm water management plan for the watershed in which the project site is located. Storm water management plans shall demonstrate incorporation of the following standards into the proposed project: 6-60</w:t>
      </w:r>
    </w:p>
    <w:p>
      <w:pPr>
        <w:numPr>
          <w:ilvl w:val="0"/>
          <w:numId w:val="2273"/>
        </w:numPr>
      </w:pPr>
      <w:r>
        <w:t xml:space="preserve">a. Control and maintenance of post-development peak discharge rates from the 1-year, 2-year, 10-year, 25-year, and 100-year storm events to predevelopment levels.</w:t>
      </w:r>
    </w:p>
    <w:p>
      <w:pPr>
        <w:numPr>
          <w:ilvl w:val="0"/>
          <w:numId w:val="2274"/>
        </w:numPr>
      </w:pPr>
      <w:r>
        <w:t xml:space="preserve">b. Downstream analysis of the 100-year storm event and control of the peak discharge rate for the 100-year storm to mitigate downstream impacts.</w:t>
      </w:r>
    </w:p>
    <w:p>
      <w:pPr>
        <w:numPr>
          <w:ilvl w:val="0"/>
          <w:numId w:val="2275"/>
        </w:numPr>
      </w:pPr>
      <w:r>
        <w:t xml:space="preserve">c. Discharge from any storm water facility must be conveyed through properly constructed conveyance system to provide for nonerosive flows during all storm events. The proposed storm water conveyance system consisting of open channels, pipes, and other conveyance devices shall at a minimum accommodate the runoff from a 25-year storm event. The storm water conveyance system must provide for nonerosive flows to receiving waters.</w:t>
      </w:r>
    </w:p>
    <w:p>
      <w:pPr>
        <w:pStyle w:val="Compact"/>
        <w:numPr>
          <w:ilvl w:val="0"/>
          <w:numId w:val="2276"/>
        </w:numPr>
      </w:pPr>
    </w:p>
    <w:p>
      <w:pPr>
        <w:numPr>
          <w:ilvl w:val="1"/>
          <w:numId w:val="2277"/>
        </w:numPr>
      </w:pPr>
      <w:r>
        <w:t xml:space="preserve">(5) Surface water and groundwater. Storm water management plans shall, in accordance with the RISDISM, as amended, demonstrate that during development and post-development, all receiving waters will be recharged in a manner closely resembling predevelopment conditions and that the developed site will retain hydrological conditions that closely resemble of those prior to disturbance. The goal of the storm water design shall be that hydrologic conditions in each subwatershed match predevelopment conditions.</w:t>
      </w:r>
    </w:p>
    <w:p>
      <w:pPr>
        <w:pStyle w:val="Compact"/>
        <w:numPr>
          <w:ilvl w:val="0"/>
          <w:numId w:val="2278"/>
        </w:numPr>
      </w:pPr>
    </w:p>
    <w:p>
      <w:pPr>
        <w:numPr>
          <w:ilvl w:val="1"/>
          <w:numId w:val="2279"/>
        </w:numPr>
      </w:pPr>
      <w:r>
        <w:t xml:space="preserve">Where practicable, development and redevelopment projects should aim to reduce runoff volumes. This may include minimizing and eliminating impervious surface areas such as roads, parking, paving or other surfaces, encouraging infiltration of noncontaminated runoff, preventing channelization, encouraging sheet flow, and where appropriate, preserving, enhancing or establishing buffers along surface water bodies and tributaries. Section 6.22.8 Stormwater Management Plans (a) Calculations. In addition to the information required for the site plan the following information must also be included with the application, where applicable:</w:t>
      </w:r>
    </w:p>
    <w:p>
      <w:pPr>
        <w:pStyle w:val="Compact"/>
        <w:numPr>
          <w:ilvl w:val="0"/>
          <w:numId w:val="2280"/>
        </w:numPr>
      </w:pPr>
    </w:p>
    <w:p>
      <w:pPr>
        <w:numPr>
          <w:ilvl w:val="1"/>
          <w:numId w:val="2281"/>
        </w:numPr>
      </w:pPr>
      <w:r>
        <w:t xml:space="preserve">(1) The area of each subwatershed shall be identified on final site plans.</w:t>
      </w:r>
    </w:p>
    <w:p>
      <w:pPr>
        <w:pStyle w:val="Compact"/>
        <w:numPr>
          <w:ilvl w:val="0"/>
          <w:numId w:val="2282"/>
        </w:numPr>
      </w:pPr>
    </w:p>
    <w:p>
      <w:pPr>
        <w:numPr>
          <w:ilvl w:val="1"/>
          <w:numId w:val="2283"/>
        </w:numPr>
      </w:pPr>
      <w:r>
        <w:t xml:space="preserve">(2) The area of impervious surfaces (including all roads, driveways, rooftops, sidewalks, etc.) for each sub-basin as identified in the state storm water design and installation standards manual, as amended.</w:t>
      </w:r>
    </w:p>
    <w:p>
      <w:pPr>
        <w:pStyle w:val="Compact"/>
        <w:numPr>
          <w:ilvl w:val="0"/>
          <w:numId w:val="2284"/>
        </w:numPr>
      </w:pPr>
    </w:p>
    <w:p>
      <w:pPr>
        <w:numPr>
          <w:ilvl w:val="1"/>
          <w:numId w:val="2285"/>
        </w:numPr>
      </w:pPr>
      <w:r>
        <w:t xml:space="preserve">(3) Weighted curve numbers as determined using urban hydrology for small watersheds (USDA Soil Conservation Service, 1986 or as amended).</w:t>
      </w:r>
    </w:p>
    <w:p>
      <w:pPr>
        <w:pStyle w:val="Compact"/>
        <w:numPr>
          <w:ilvl w:val="0"/>
          <w:numId w:val="2286"/>
        </w:numPr>
      </w:pPr>
    </w:p>
    <w:p>
      <w:pPr>
        <w:numPr>
          <w:ilvl w:val="1"/>
          <w:numId w:val="2287"/>
        </w:numPr>
      </w:pPr>
      <w:r>
        <w:t xml:space="preserve">(4) Invert elevations for inlets and outlets. In addition, invert elevations shall be provided for all basins including permanent and/or flood pool stages, including peak discharge rates for each stage.</w:t>
      </w:r>
    </w:p>
    <w:p>
      <w:pPr>
        <w:pStyle w:val="Compact"/>
        <w:numPr>
          <w:ilvl w:val="0"/>
          <w:numId w:val="2288"/>
        </w:numPr>
      </w:pPr>
    </w:p>
    <w:p>
      <w:pPr>
        <w:numPr>
          <w:ilvl w:val="1"/>
          <w:numId w:val="2289"/>
        </w:numPr>
      </w:pPr>
      <w:r>
        <w:t xml:space="preserve">(5) The total volume capacity for all flood control and water quality best management practices (e.g., infiltration basin, detention basins, wet ponds, etc.).</w:t>
      </w:r>
    </w:p>
    <w:p>
      <w:pPr>
        <w:pStyle w:val="Compact"/>
        <w:numPr>
          <w:ilvl w:val="0"/>
          <w:numId w:val="2290"/>
        </w:numPr>
      </w:pPr>
    </w:p>
    <w:p>
      <w:pPr>
        <w:numPr>
          <w:ilvl w:val="1"/>
          <w:numId w:val="2291"/>
        </w:numPr>
      </w:pPr>
      <w:r>
        <w:t xml:space="preserve">Volumes must be segregated into permanent and flood pool stage volumes where applicable. Furthermore, the volumes of all sediment storage (basins, forebays, etc.) areas must also be provided. 6-61 (6) Predevelopment and post-development peak discharge rates and runoff volumes for the 1-year, 2-year, 10-year, 25-year, and 100-year frequency storm events for each subwatershed to each separate water or discharge point. The water quality volume (WQV) must also be calculated for each subwatershed. All relevant variables such as curve numbers and time of concentration, along with the supporting computations and worksheets must be included. The entire site shall be included in an evaluated subwatershed.</w:t>
      </w:r>
    </w:p>
    <w:p>
      <w:pPr>
        <w:pStyle w:val="Compact"/>
        <w:numPr>
          <w:ilvl w:val="0"/>
          <w:numId w:val="2292"/>
        </w:numPr>
      </w:pPr>
    </w:p>
    <w:p>
      <w:pPr>
        <w:numPr>
          <w:ilvl w:val="1"/>
          <w:numId w:val="2293"/>
        </w:numPr>
      </w:pPr>
      <w:r>
        <w:t xml:space="preserve">(7) Supporting calculations to demonstrate that the proposed development project will meet section 6.22.7.</w:t>
      </w:r>
    </w:p>
    <w:p>
      <w:pPr>
        <w:pStyle w:val="Compact"/>
        <w:numPr>
          <w:ilvl w:val="0"/>
          <w:numId w:val="2294"/>
        </w:numPr>
      </w:pPr>
    </w:p>
    <w:p>
      <w:pPr>
        <w:pStyle w:val="Compact"/>
        <w:numPr>
          <w:ilvl w:val="1"/>
          <w:numId w:val="2295"/>
        </w:numPr>
      </w:pPr>
    </w:p>
    <w:p>
      <w:pPr>
        <w:numPr>
          <w:ilvl w:val="2"/>
          <w:numId w:val="2296"/>
        </w:numPr>
      </w:pPr>
      <w:r>
        <w:t xml:space="preserve">(b) Narrative description. As part of the storm water management plan, the applicant shall include a discussion of the protection of environmental resource functions and values. The following outline is provided as guidance for preparing a narrative description for the storm water management plan. Depending on the size and scope of the proposed project, the amount of information required by the town may vary; therefore, it is advised to consult the town for specific requirements.</w:t>
      </w:r>
    </w:p>
    <w:p>
      <w:pPr>
        <w:pStyle w:val="Compact"/>
        <w:numPr>
          <w:ilvl w:val="0"/>
          <w:numId w:val="2297"/>
        </w:numPr>
      </w:pPr>
    </w:p>
    <w:p>
      <w:pPr>
        <w:numPr>
          <w:ilvl w:val="1"/>
          <w:numId w:val="2298"/>
        </w:numPr>
      </w:pPr>
      <w:r>
        <w:t xml:space="preserve">(1) Site description. General topography, soil types, current vegetative composition and relative abundance, existing infrastructure, and/or adjacent properties, identification of major resources (e.g., wetlands, groundwater, surface waters, etc.), name of receiving water(s), potential water quality and/or hydrologic impacts on resources.</w:t>
      </w:r>
    </w:p>
    <w:p>
      <w:pPr>
        <w:pStyle w:val="Compact"/>
        <w:numPr>
          <w:ilvl w:val="0"/>
          <w:numId w:val="2299"/>
        </w:numPr>
      </w:pPr>
    </w:p>
    <w:p>
      <w:pPr>
        <w:numPr>
          <w:ilvl w:val="1"/>
          <w:numId w:val="2300"/>
        </w:numPr>
      </w:pPr>
      <w:r>
        <w:t xml:space="preserve">(2) Site input data. Watershed characteristics, area of all impervious surfaces, total area of site, annual mean rainfall, runoff coefficients, curve numbers for various land uses, peak discharge rates.</w:t>
      </w:r>
    </w:p>
    <w:p>
      <w:pPr>
        <w:pStyle w:val="Compact"/>
        <w:numPr>
          <w:ilvl w:val="0"/>
          <w:numId w:val="2301"/>
        </w:numPr>
      </w:pPr>
    </w:p>
    <w:p>
      <w:pPr>
        <w:numPr>
          <w:ilvl w:val="1"/>
          <w:numId w:val="2302"/>
        </w:numPr>
      </w:pPr>
      <w:r>
        <w:t xml:space="preserve">(3) Land use planning and source control plan.</w:t>
      </w:r>
    </w:p>
    <w:p>
      <w:pPr>
        <w:pStyle w:val="Compact"/>
        <w:numPr>
          <w:ilvl w:val="0"/>
          <w:numId w:val="2303"/>
        </w:numPr>
      </w:pPr>
    </w:p>
    <w:p>
      <w:pPr>
        <w:numPr>
          <w:ilvl w:val="1"/>
          <w:numId w:val="2304"/>
        </w:numPr>
      </w:pPr>
      <w:r>
        <w:t xml:space="preserve">(4) Best management practices. Identify the type of best management practice(s) employed both during and post construction and justification for selection, including any deviation from the state storm water design and installation standards manual, as amended, and the potential effect on pollutant removal efficiency.</w:t>
      </w:r>
    </w:p>
    <w:p>
      <w:pPr>
        <w:pStyle w:val="Compact"/>
        <w:numPr>
          <w:ilvl w:val="0"/>
          <w:numId w:val="2305"/>
        </w:numPr>
      </w:pPr>
    </w:p>
    <w:p>
      <w:pPr>
        <w:numPr>
          <w:ilvl w:val="1"/>
          <w:numId w:val="2306"/>
        </w:numPr>
      </w:pPr>
      <w:r>
        <w:t xml:space="preserve">(5) Technical feasibility. Include sizing, location, hydraulic and environmental impacts. Alternatives, which were considered but determined not to be feasible, should also be discussed.</w:t>
      </w:r>
    </w:p>
    <w:p>
      <w:pPr>
        <w:pStyle w:val="Compact"/>
        <w:numPr>
          <w:ilvl w:val="0"/>
          <w:numId w:val="2307"/>
        </w:numPr>
      </w:pPr>
    </w:p>
    <w:p>
      <w:pPr>
        <w:numPr>
          <w:ilvl w:val="1"/>
          <w:numId w:val="2308"/>
        </w:numPr>
      </w:pPr>
      <w:r>
        <w:t xml:space="preserve">(6) Maintenance schedule of best management practices to be used, both during and post construction including frequency of inspection and maintenance. Section 6.22.9 Inspections for Stormwater Best Management Practices (BMPs)</w:t>
      </w:r>
    </w:p>
    <w:p>
      <w:pPr>
        <w:pStyle w:val="Compact"/>
        <w:numPr>
          <w:ilvl w:val="0"/>
          <w:numId w:val="2309"/>
        </w:numPr>
      </w:pPr>
    </w:p>
    <w:p>
      <w:pPr>
        <w:numPr>
          <w:ilvl w:val="1"/>
          <w:numId w:val="2310"/>
        </w:numPr>
      </w:pPr>
      <w:r>
        <w:t xml:space="preserve">The town shall have the right to inspect best management practices constructed after the passage of the ordinance from which this article is derived. Inspections shall address whether best management practices have been installed in accordance with approved storm water management plans. 6-62 Section 6.22.10 Operation and Maintenance Requirements for BMPs (a) Routine operation and maintenance and repair procedures. Routine maintenance shall be performed on a regular basis to ensure proper performance and may include such routine procedures as training of staff, periodic inspections, grass cutting elimination of mosquito breeding habitats, and pond maintenance in accordance with a storm water management plan approved pursuant to this article. Repair procedures may be required to correct a problem or malfunction of a best management practice and to restore the management practice's intended operation and safe condition.</w:t>
      </w:r>
    </w:p>
    <w:p>
      <w:pPr>
        <w:pStyle w:val="Compact"/>
        <w:numPr>
          <w:ilvl w:val="0"/>
          <w:numId w:val="2311"/>
        </w:numPr>
      </w:pPr>
    </w:p>
    <w:p>
      <w:pPr>
        <w:numPr>
          <w:ilvl w:val="1"/>
          <w:numId w:val="2312"/>
        </w:numPr>
      </w:pPr>
      <w:r>
        <w:t xml:space="preserve">Repairs may include such procedures as structural repairs, removal of debris, sediment and trash removal, erosion repair, snow and ice removal, fence repair, mosquito extermination, and restoration of vegetated and nonvegetated linings.</w:t>
      </w:r>
    </w:p>
    <w:p>
      <w:pPr>
        <w:pStyle w:val="Compact"/>
        <w:numPr>
          <w:ilvl w:val="0"/>
          <w:numId w:val="2313"/>
        </w:numPr>
      </w:pPr>
    </w:p>
    <w:p>
      <w:pPr>
        <w:pStyle w:val="Compact"/>
        <w:numPr>
          <w:ilvl w:val="1"/>
          <w:numId w:val="2314"/>
        </w:numPr>
      </w:pPr>
    </w:p>
    <w:p>
      <w:pPr>
        <w:numPr>
          <w:ilvl w:val="2"/>
          <w:numId w:val="2315"/>
        </w:numPr>
      </w:pPr>
      <w:r>
        <w:t xml:space="preserve">(b) General operation and maintenance standards for storm water best management practices. Maintenance design and maintenance procedures for all best management practices shall be documented in storm water management plans in accordance with the state storm water design and installation standards manual, as amended; or manufacturer's specifications. A maintenance schedule for each type of best management practice must be included in the storm water management plan. These schedules shall list the frequency and type of maintenance operations necessary along with the legally responsible party's name, address, and telephone number. The owner, as well as all future owners, shall be required to implement the maintenance schedule of the best management practices. If the storm water facility is to be deeded to the town, the applicant must obtain a letter from the town acknowledging maintenance responsibility and intent of ownership. Section 6.22.11 Maintenance Agreements (a) Maintenance agreements shall provide written, contractual documentation, which demonstrates compliance with this article and legal arrangements for the upkeep of storm water facilities to assure their proper function and safety in accordance with this article.</w:t>
      </w:r>
    </w:p>
    <w:p>
      <w:pPr>
        <w:pStyle w:val="Compact"/>
        <w:numPr>
          <w:ilvl w:val="0"/>
          <w:numId w:val="2316"/>
        </w:numPr>
      </w:pPr>
    </w:p>
    <w:p>
      <w:pPr>
        <w:pStyle w:val="Compact"/>
        <w:numPr>
          <w:ilvl w:val="1"/>
          <w:numId w:val="2317"/>
        </w:numPr>
      </w:pPr>
    </w:p>
    <w:p>
      <w:pPr>
        <w:numPr>
          <w:ilvl w:val="2"/>
          <w:numId w:val="2318"/>
        </w:numPr>
      </w:pPr>
      <w:r>
        <w:t xml:space="preserve">(b) After final construction is completed, the owner or responsible person shall maintain "as built" plans of storm water management practices located on site. The plans must show the final design specifications for all storm water management facilities and must be certified by a professional engineer.</w:t>
      </w:r>
    </w:p>
    <w:p>
      <w:pPr>
        <w:pStyle w:val="Compact"/>
        <w:numPr>
          <w:ilvl w:val="0"/>
          <w:numId w:val="2319"/>
        </w:numPr>
      </w:pPr>
    </w:p>
    <w:p>
      <w:pPr>
        <w:pStyle w:val="Compact"/>
        <w:numPr>
          <w:ilvl w:val="1"/>
          <w:numId w:val="2320"/>
        </w:numPr>
      </w:pPr>
    </w:p>
    <w:p>
      <w:pPr>
        <w:numPr>
          <w:ilvl w:val="2"/>
          <w:numId w:val="2321"/>
        </w:numPr>
      </w:pPr>
      <w:r>
        <w:t xml:space="preserve">(c) Maintenance agreements, which describe maintenance schedules and requirements, must be developed for each storm water management facility unless the facility is dedicated to and accepted by the town. Schedules shall be based on the complexity and frequency of maintenance needs and shall be subject to the approval of the town.</w:t>
      </w:r>
    </w:p>
    <w:p>
      <w:pPr>
        <w:pStyle w:val="Compact"/>
        <w:numPr>
          <w:ilvl w:val="0"/>
          <w:numId w:val="2322"/>
        </w:numPr>
      </w:pPr>
    </w:p>
    <w:p>
      <w:pPr>
        <w:pStyle w:val="Compact"/>
        <w:numPr>
          <w:ilvl w:val="1"/>
          <w:numId w:val="2323"/>
        </w:numPr>
      </w:pPr>
    </w:p>
    <w:p>
      <w:pPr>
        <w:numPr>
          <w:ilvl w:val="2"/>
          <w:numId w:val="2324"/>
        </w:numPr>
      </w:pPr>
      <w:r>
        <w:t xml:space="preserve">At a minimum, maintenance frequency should be in accordance with the RISDISM, as amended.</w:t>
      </w:r>
    </w:p>
    <w:p>
      <w:pPr>
        <w:pStyle w:val="Compact"/>
        <w:numPr>
          <w:ilvl w:val="0"/>
          <w:numId w:val="2325"/>
        </w:numPr>
      </w:pPr>
    </w:p>
    <w:p>
      <w:pPr>
        <w:pStyle w:val="Compact"/>
        <w:numPr>
          <w:ilvl w:val="1"/>
          <w:numId w:val="2326"/>
        </w:numPr>
      </w:pPr>
    </w:p>
    <w:p>
      <w:pPr>
        <w:numPr>
          <w:ilvl w:val="2"/>
          <w:numId w:val="2327"/>
        </w:numPr>
      </w:pPr>
      <w:r>
        <w:t xml:space="preserve">(d) Right of entry. Upon the presentation of credentials and other documents, as may be required by law, or if authorized by the owner or other party in control of the property, the Director of Public Works, Building Official, Zoning Officer, and other town representatives designated by the Building Official, Zoning Officer, or Director 6-63 of Public Works may enter upon privately owned property for the purpose of performing their duties under this article and may make or cause to be made such inspections as the town deems reasonably necessary.</w:t>
      </w:r>
    </w:p>
    <w:p>
      <w:pPr>
        <w:pStyle w:val="Compact"/>
        <w:numPr>
          <w:ilvl w:val="0"/>
          <w:numId w:val="2328"/>
        </w:numPr>
      </w:pPr>
    </w:p>
    <w:p>
      <w:pPr>
        <w:pStyle w:val="Compact"/>
        <w:numPr>
          <w:ilvl w:val="1"/>
          <w:numId w:val="2329"/>
        </w:numPr>
      </w:pPr>
    </w:p>
    <w:p>
      <w:pPr>
        <w:numPr>
          <w:ilvl w:val="2"/>
          <w:numId w:val="2330"/>
        </w:numPr>
      </w:pPr>
      <w:r>
        <w:t xml:space="preserve">(e) Record keeping for maintenance activities. Maintenance agreements shall include provisions for maintenance record keeping. All activities conducted in accordance with a maintenance agreement must be recorded in a work order and inspection log.</w:t>
      </w:r>
    </w:p>
    <w:p>
      <w:pPr>
        <w:pStyle w:val="Compact"/>
        <w:numPr>
          <w:ilvl w:val="0"/>
          <w:numId w:val="2331"/>
        </w:numPr>
      </w:pPr>
    </w:p>
    <w:p>
      <w:pPr>
        <w:pStyle w:val="Compact"/>
        <w:numPr>
          <w:ilvl w:val="1"/>
          <w:numId w:val="2332"/>
        </w:numPr>
      </w:pPr>
    </w:p>
    <w:p>
      <w:pPr>
        <w:numPr>
          <w:ilvl w:val="2"/>
          <w:numId w:val="2333"/>
        </w:numPr>
      </w:pPr>
      <w:r>
        <w:t xml:space="preserve">Timely updates of the log shall be the responsibility of the storm water management facility owner or other responsible party pursuant to this article. Review of the maintenance and inspection log shall be completed by the town to determine the effectiveness of operation, maintenance and safety activities. Reviews shall occur as part of each on-site inspection. Additional reviews may be made as deemed appropriate by the town.</w:t>
      </w:r>
    </w:p>
    <w:p>
      <w:pPr>
        <w:pStyle w:val="Compact"/>
        <w:numPr>
          <w:ilvl w:val="0"/>
          <w:numId w:val="2334"/>
        </w:numPr>
      </w:pPr>
    </w:p>
    <w:p>
      <w:pPr>
        <w:pStyle w:val="Compact"/>
        <w:numPr>
          <w:ilvl w:val="1"/>
          <w:numId w:val="2335"/>
        </w:numPr>
      </w:pPr>
    </w:p>
    <w:p>
      <w:pPr>
        <w:numPr>
          <w:ilvl w:val="2"/>
          <w:numId w:val="2336"/>
        </w:numPr>
      </w:pPr>
      <w:r>
        <w:t xml:space="preserve">(f) Responsibility for maintenance to assure function and safety. Appropriate maintenance to assure function and safety of storm water management facilities shall be the responsibility the owner or may be assumed by another party via a written contractual arrangement in accordance with this article.</w:t>
      </w:r>
    </w:p>
    <w:p>
      <w:pPr>
        <w:pStyle w:val="Compact"/>
        <w:numPr>
          <w:ilvl w:val="0"/>
          <w:numId w:val="2337"/>
        </w:numPr>
      </w:pPr>
    </w:p>
    <w:p>
      <w:pPr>
        <w:pStyle w:val="Compact"/>
        <w:numPr>
          <w:ilvl w:val="1"/>
          <w:numId w:val="2338"/>
        </w:numPr>
      </w:pPr>
    </w:p>
    <w:p>
      <w:pPr>
        <w:numPr>
          <w:ilvl w:val="2"/>
          <w:numId w:val="2339"/>
        </w:numPr>
      </w:pPr>
      <w:r>
        <w:t xml:space="preserve">(g) Alterations to maintenance agreements. Any alterations in maintenance responsibility or alterations to maintenance agreements must be either reviewed and approved by the planning board (as applicable) or building official or designee. If portions of the land serviced by a storm water management facility are to be sold, written contractual arrangements shall be made to pass all responsibility of the maintenance agreement to the purchaser and shall be subject to review and approval of the department of public works or designee. All alterations to maintenance agreements shall be made and recorded in accordance with this article. Section 6.22.12 Application Fees The town shall be empowered to collect fees from permit applicants, which are commensurate with the cost of administering this article. Section 6.22.13 Notification of Noncompliance If the authorized enforcement agent finds a violation of this article then a written notice from the authorized enforcement agent to compel correction shall be transmitted to the owner or operator. Such notice shall set forth the nature of corrections required and the time limit within which corrections shall be completed. Failure to comply with the required corrections within the specified time limit shall be considered a violation of this chapter. Section 6.22.14 Appeal of Notice of Noncompliance Any person receiving a notice of noncompliance may appeal the determination of the authorized enforcement agent. The appeal must be received within 30 days from the date of the receipt of the notice of noncompliance. The appeal shall be in writing and contain a detailed basis upon which the appeal was taken. The authorized enforcement agent shall then determine whether to accept the appeal or proceed to cause summons of the appellant in accordance with section 6.22.15. 6-64 Section 6.22.15 Penalties for Violation Any person who shall violate any provision of this article shall be punished in accordance with section 16.1. The authorized enforcement agent may, at the discretion of the court, undertake measures necessary to abate the violation and restore the property at the owner or operators expense. Section 6.22.16 Cost of Abatement of the Violation Within 30 days after abatement of the violation by or under the direction of the authorized enforcement agent, the owner or operator will be notified by the authorized enforcement agent of the cost of abatement, including administrative costs. If the amount due is not paid within a timely manner as determined by the authorized enforcement agent, the charges shall become a special assessment against the property and shall constitute a lien on the property for the amount of the assessment. Any person violating any of the provisions of this section shall become liable to the Town by reason of such violation. The liability shall be paid in not more than 12 equal payments. Interest at the rate of 12 percent per annum shall be assessed on the balance beginning on the 31st day following discovery of the violation. Section 6.22.17 Revocation or Suspension of Approval The approval of a storm water management plan under this chapter may be revoked or suspended by an authorized enforcement agent and all work on the development or redevelopment project halted for an indefinite time period after written notification is transmitted by the authorized enforcement agent to the owner or operator for one or more of the following reasons:</w:t>
      </w:r>
    </w:p>
    <w:p>
      <w:pPr>
        <w:pStyle w:val="Compact"/>
        <w:numPr>
          <w:ilvl w:val="0"/>
          <w:numId w:val="2340"/>
        </w:numPr>
      </w:pPr>
    </w:p>
    <w:p>
      <w:pPr>
        <w:numPr>
          <w:ilvl w:val="1"/>
          <w:numId w:val="2341"/>
        </w:numPr>
      </w:pPr>
      <w:r>
        <w:t xml:space="preserve">(1) Violation of any condition of the approved plan, or specifications pertaining thereto.</w:t>
      </w:r>
    </w:p>
    <w:p>
      <w:pPr>
        <w:pStyle w:val="Compact"/>
        <w:numPr>
          <w:ilvl w:val="0"/>
          <w:numId w:val="2342"/>
        </w:numPr>
      </w:pPr>
    </w:p>
    <w:p>
      <w:pPr>
        <w:numPr>
          <w:ilvl w:val="1"/>
          <w:numId w:val="2343"/>
        </w:numPr>
      </w:pPr>
      <w:r>
        <w:t xml:space="preserve">(2) Violation of any provision of this article.</w:t>
      </w:r>
    </w:p>
    <w:p>
      <w:pPr>
        <w:pStyle w:val="Compact"/>
        <w:numPr>
          <w:ilvl w:val="0"/>
          <w:numId w:val="2344"/>
        </w:numPr>
      </w:pPr>
    </w:p>
    <w:p>
      <w:pPr>
        <w:numPr>
          <w:ilvl w:val="1"/>
          <w:numId w:val="2345"/>
        </w:numPr>
      </w:pPr>
      <w:r>
        <w:t xml:space="preserve">(3) The existence of any condition or the performance of any act constituting or creating a nuisance, hazard, or endangerment to human life or property of others, or contrary to the spirit or intent of this article. Section 6.22.18 Remedies not Exclusive The remedies listed in this article are not exclusive of any other remedies available under any applicable federal, state or local law and it is within the discretion of the authorized enforcement agent to seek cumulative remedies. (Ord. of 6/13/2017) 6-65</w:t>
      </w:r>
    </w:p>
    <w:bookmarkEnd w:id="66"/>
    <w:bookmarkStart w:id="67" w:name="Xbc99eea0567d14cfcfe17b726d72a133626ff9f"/>
    <w:p>
      <w:pPr>
        <w:pStyle w:val="Heading1"/>
      </w:pPr>
      <w:r>
        <w:t xml:space="preserve">§ 7. Administration and Enforcement; Building Permits and Certificates of Zoning</w:t>
      </w:r>
    </w:p>
    <w:p>
      <w:pPr>
        <w:pStyle w:val="FirstParagraph"/>
      </w:pPr>
      <w:r>
        <w:t xml:space="preserve">SECTION 7. ADMINISTRATION AND ENFORCEMENT; BUILDING PERMITS AND CERTIFICATES OF ZONING COMPLIANCE</w:t>
      </w:r>
    </w:p>
    <w:bookmarkEnd w:id="67"/>
    <w:bookmarkStart w:id="68" w:name="administration-and-enforcement"/>
    <w:p>
      <w:pPr>
        <w:pStyle w:val="Heading2"/>
      </w:pPr>
      <w:r>
        <w:t xml:space="preserve">§ 7.1. Administration and enforcement</w:t>
      </w:r>
    </w:p>
    <w:p>
      <w:pPr>
        <w:pStyle w:val="FirstParagraph"/>
      </w:pPr>
      <w:r>
        <w:t xml:space="preserve">Sec. 7.1. Administration and enforcement.</w:t>
      </w:r>
    </w:p>
    <w:p>
      <w:pPr>
        <w:pStyle w:val="BodyText"/>
      </w:pPr>
      <w:r>
        <w:t xml:space="preserve">A Zoning Inspector, hereinafter referred to as an Inspector, shall be designated to administer and enforce this ordinance. He may be provided with the assistance of such other persons as required. The Inspector shall have minimum qualifications as set forth by the Town Administrator and approved by the Town Council.</w:t>
      </w:r>
    </w:p>
    <w:p>
      <w:pPr>
        <w:pStyle w:val="BodyText"/>
      </w:pPr>
      <w:r>
        <w:t xml:space="preserve">He is not a judicial officer and shall not exercise quasi-judicial authority granted solely to the Board. He shall not issue special use permit or variances. His discretion is bounded by the ordinance, and he has no authority to mitigate the severity of the application of the ordinance to individuals. Appeals lie from his decision only to the Board. No other person(s) or no Board(s) shall have authority to overrule his decisions excepting the Zoning Board, as provided in this ordinance, or order that he grant a specific permit or take a particular action while he is in office except indirectly through the amending of this ordinance. If the Inspector shall find that any of the provisions of this ordinance are being violated, he shall, prior to the close of the following Town workday, notify by certified or registered mail, the person responsible for such violations, indicate the nature of the violation and order the action necessary to correct it. He shall order discontinuance of illegal use of land, buildings, or structures; removal of illegal buildings or structures or of illegal additions, alterations, or structural changes; discontinuance of any illegal work being done; or shall take any other action authorized by this ordinance or law to ensure compliance with or to prevent violation of its provisions.</w:t>
      </w:r>
    </w:p>
    <w:p>
      <w:pPr>
        <w:pStyle w:val="BodyText"/>
      </w:pPr>
      <w:r>
        <w:t xml:space="preserve">The Inspector shall, amongst others, be responsible for the following:</w:t>
      </w:r>
    </w:p>
    <w:p>
      <w:pPr>
        <w:numPr>
          <w:ilvl w:val="0"/>
          <w:numId w:val="2346"/>
        </w:numPr>
      </w:pPr>
      <w:r>
        <w:t xml:space="preserve">(1) Issuing of any required permits or certificates;</w:t>
      </w:r>
    </w:p>
    <w:p>
      <w:pPr>
        <w:numPr>
          <w:ilvl w:val="0"/>
          <w:numId w:val="2347"/>
        </w:numPr>
      </w:pPr>
      <w:r>
        <w:t xml:space="preserve">(2) Collection of required fees;</w:t>
      </w:r>
    </w:p>
    <w:p>
      <w:pPr>
        <w:numPr>
          <w:ilvl w:val="0"/>
          <w:numId w:val="2348"/>
        </w:numPr>
      </w:pPr>
      <w:r>
        <w:t xml:space="preserve">(3) Keeping of records showing the compliance of uses of land;</w:t>
      </w:r>
    </w:p>
    <w:p>
      <w:pPr>
        <w:numPr>
          <w:ilvl w:val="0"/>
          <w:numId w:val="2349"/>
        </w:numPr>
      </w:pPr>
      <w:r>
        <w:t xml:space="preserve">(4) Authorizing commencement of uses or development under the provisions of the Zoning Ordinance;</w:t>
      </w:r>
    </w:p>
    <w:p>
      <w:pPr>
        <w:numPr>
          <w:ilvl w:val="0"/>
          <w:numId w:val="2350"/>
        </w:numPr>
      </w:pPr>
      <w:r>
        <w:t xml:space="preserve">(5) Inspection of suspected violations;</w:t>
      </w:r>
    </w:p>
    <w:p>
      <w:pPr>
        <w:numPr>
          <w:ilvl w:val="0"/>
          <w:numId w:val="2351"/>
        </w:numPr>
      </w:pPr>
      <w:r>
        <w:t xml:space="preserve">(6) Issuance of violation notices with required correction action;</w:t>
      </w:r>
    </w:p>
    <w:p>
      <w:pPr>
        <w:numPr>
          <w:ilvl w:val="0"/>
          <w:numId w:val="2352"/>
        </w:numPr>
      </w:pPr>
      <w:r>
        <w:t xml:space="preserve">(7) Collection of fines for violations;</w:t>
      </w:r>
    </w:p>
    <w:p>
      <w:pPr>
        <w:numPr>
          <w:ilvl w:val="0"/>
          <w:numId w:val="2353"/>
        </w:numPr>
      </w:pPr>
      <w:r>
        <w:t xml:space="preserve">(8) Performing such other duties and taking such actions as may be assigned in the ordinance.</w:t>
      </w:r>
    </w:p>
    <w:bookmarkEnd w:id="68"/>
    <w:bookmarkStart w:id="69" w:name="building-permits-required"/>
    <w:p>
      <w:pPr>
        <w:pStyle w:val="Heading2"/>
      </w:pPr>
      <w:r>
        <w:t xml:space="preserve">§ 7.2. Building permits required</w:t>
      </w:r>
    </w:p>
    <w:p>
      <w:pPr>
        <w:pStyle w:val="FirstParagraph"/>
      </w:pPr>
      <w:r>
        <w:t xml:space="preserve">Sec. 7.2. Building permits required.</w:t>
      </w:r>
    </w:p>
    <w:p>
      <w:pPr>
        <w:pStyle w:val="BodyText"/>
      </w:pPr>
      <w:r>
        <w:t xml:space="preserve">No building or other structure shall be erected, moved, added to, or structurally altered without a permit approved or issued by the Inspector. No building permit shall be approved or issued by the Inspector except in conformity with the provisions of this ordinance, unless he receives a written order from the Zoning Board of Review in the form of an administrative appeal special-use permit, or variance as provided by this ordinance.</w:t>
      </w:r>
    </w:p>
    <w:p>
      <w:pPr>
        <w:pStyle w:val="BodyText"/>
      </w:pPr>
      <w:r>
        <w:t xml:space="preserve">Nothing in this ordinance shall be deemed to prevent the completion of any construction as defined in section 4.1 for which a valid building permit was previously issued.</w:t>
      </w:r>
    </w:p>
    <w:bookmarkEnd w:id="69"/>
    <w:bookmarkStart w:id="70" w:name="application-for-building-permit"/>
    <w:p>
      <w:pPr>
        <w:pStyle w:val="Heading2"/>
      </w:pPr>
      <w:r>
        <w:t xml:space="preserve">§ 7.3. Application for building permit</w:t>
      </w:r>
    </w:p>
    <w:p>
      <w:pPr>
        <w:pStyle w:val="FirstParagraph"/>
      </w:pPr>
      <w:r>
        <w:t xml:space="preserve">Sec. 7.3. Application for building permit.</w:t>
      </w:r>
    </w:p>
    <w:p>
      <w:pPr>
        <w:pStyle w:val="BodyText"/>
      </w:pPr>
      <w:r>
        <w:t xml:space="preserve">All applications (see Application, section 20, Definitions) for building permits shall be accompanied by duplicate plans drawn to scale, showing the actual dimensions and shape of the lot to be built upon, the exact sizes and locations on the lot of buildings already existing, if any, and the location and dimensions of the proposed building, wetlands, waterbodies or alteration. The application shall include all setbacks and such other information as lawfully may be required by the Inspector, including existing or proposed building or alteration, existing or proposed uses of the building and land, the number of families, housekeeping units, or rental units the building is designed to accommodate, conditions existing on the lot, and such other matters as may be necessary to determine conformance with, and provide for the enforcement of this ordinance.</w:t>
      </w:r>
    </w:p>
    <w:p>
      <w:pPr>
        <w:pStyle w:val="BodyText"/>
      </w:pPr>
      <w:r>
        <w:t xml:space="preserve">One copy of the plans shall be returned to the applicant by the Inspector, after he shall have marked such copy either as approved or disapproved and attested to same by his signature on such copy. The original, similarly marked, shall be retained by the Inspector as a Town record.</w:t>
      </w:r>
    </w:p>
    <w:p>
      <w:pPr>
        <w:numPr>
          <w:ilvl w:val="0"/>
          <w:numId w:val="2354"/>
        </w:numPr>
      </w:pPr>
      <w:r>
        <w:t xml:space="preserve">7.3.1. The applicant, upon presentation to the Inspector for the purpose of a building permit utilizing any combination of contiguous lots for the purpose of said building permit, shall provide to the Inspector a deed description in which said combination of lots is unified into one lot. Said deed description/deed shall be recorded in the land evidence records of the Town of North Smithfield.</w:t>
      </w:r>
    </w:p>
    <w:bookmarkEnd w:id="70"/>
    <w:bookmarkStart w:id="71" w:name="Xf060c9be6046a74abe05a0e7a88c1dd29622321"/>
    <w:p>
      <w:pPr>
        <w:pStyle w:val="Heading2"/>
      </w:pPr>
      <w:r>
        <w:t xml:space="preserve">§ 7.4. Certificates of zoning compliance for new, altered, or nonconforming uses</w:t>
      </w:r>
    </w:p>
    <w:p>
      <w:pPr>
        <w:pStyle w:val="FirstParagraph"/>
      </w:pPr>
      <w:r>
        <w:t xml:space="preserve">Sec. 7.4. Certificates of zoning compliance for new, altered, or nonconforming uses.</w:t>
      </w:r>
    </w:p>
    <w:p>
      <w:pPr>
        <w:pStyle w:val="BodyText"/>
      </w:pPr>
      <w:r>
        <w:t xml:space="preserve">It shall be unlawful to use or occupy or permit the use or occupancy of any building or premises, or both, or part thereof hereafter created, erected, changed, converted, or wholly or partly altered or enlarged in its use or structure until a Certificate of Zoning Compliance shall have been issued by the Inspector stating that the proposed use of the building or land conforms to the requirements of this ordinance; and the Inspector shall state the facts upon which the certificate is issued.</w:t>
      </w:r>
    </w:p>
    <w:p>
      <w:pPr>
        <w:pStyle w:val="BodyText"/>
      </w:pPr>
      <w:r>
        <w:t xml:space="preserve">No nonconforming structure or use shall be maintained, renewed, changed, or extended until a Certificate of Zoning Compliance shall have been issued by the Inspector. The Certificate of Zoning Compliance shall state specifically wherein the nonconforming use differs from the provisions of this ordinance, provided that upon enactment or amendment of this ordinance, owners or occupants of nonconforming uses or structures shall have 15 months to apply for certificates of zoning compliance. Failure to make such application within 15 months shall be presumptive evidence that at the time of enactment or amendment of the ordinance:</w:t>
      </w:r>
    </w:p>
    <w:p>
      <w:pPr>
        <w:numPr>
          <w:ilvl w:val="0"/>
          <w:numId w:val="2355"/>
        </w:numPr>
      </w:pPr>
      <w:r>
        <w:t xml:space="preserve">(a) The use of the property and any structures thereon were in conformity with the provisions of the ordinance, including special uses approved by action of the Zoning Board of Review, or</w:t>
      </w:r>
    </w:p>
    <w:p>
      <w:pPr>
        <w:numPr>
          <w:ilvl w:val="0"/>
          <w:numId w:val="1000"/>
        </w:numPr>
      </w:pPr>
      <w:r>
        <w:t xml:space="preserve">(b) The property is vacant, unused, or unoccupied and may or may not conform to the dimensional regulations of the district in which it is located.</w:t>
      </w:r>
    </w:p>
    <w:p>
      <w:pPr>
        <w:numPr>
          <w:ilvl w:val="0"/>
          <w:numId w:val="2356"/>
        </w:numPr>
      </w:pPr>
      <w:r>
        <w:t xml:space="preserve">No permit for erection, alteration, moving, repair of any building shall be issued until an application has been made for a Certificate of Zoning Compliance, and the certificate shall be issued in conformity with the provisions of this ordinance upon completion of work.</w:t>
      </w:r>
    </w:p>
    <w:p>
      <w:pPr>
        <w:numPr>
          <w:ilvl w:val="0"/>
          <w:numId w:val="2357"/>
        </w:numPr>
      </w:pPr>
      <w:r>
        <w:t xml:space="preserve">The Inspector shall maintain a record of all certificates of zoning compliance, and a copy shall be furnished upon request to any person.</w:t>
      </w:r>
    </w:p>
    <w:p>
      <w:pPr>
        <w:numPr>
          <w:ilvl w:val="0"/>
          <w:numId w:val="2358"/>
        </w:numPr>
      </w:pPr>
      <w:r>
        <w:t xml:space="preserve">Failure to obtain a Certificate of Zoning Compliance shall be a violation of this ordinance and punishable under section 16 of this ordinance.</w:t>
      </w:r>
    </w:p>
    <w:bookmarkEnd w:id="71"/>
    <w:bookmarkStart w:id="72" w:name="X20d20022f092497dcf610703043933d3cb4d4dd"/>
    <w:p>
      <w:pPr>
        <w:pStyle w:val="Heading2"/>
      </w:pPr>
      <w:r>
        <w:t xml:space="preserve">§ 7.5. Relation to other codes, regulations and ordinances</w:t>
      </w:r>
    </w:p>
    <w:p>
      <w:pPr>
        <w:pStyle w:val="FirstParagraph"/>
      </w:pPr>
      <w:r>
        <w:t xml:space="preserve">Sec. 7.5. Relation to other codes, regulations and ordinances.</w:t>
      </w:r>
    </w:p>
    <w:p>
      <w:pPr>
        <w:pStyle w:val="BodyText"/>
      </w:pPr>
      <w:r>
        <w:t xml:space="preserve">The issuance of a building permit or a Certificate of Zoning Compliance shall, in no way, relieve the applicant of the responsibility of obtaining such permits or approvals as may be required under the provisions of other codes, regulations and ordinances relating to the use, erection, alteration or modification of a building or structure or to the use or subdivision of land.</w:t>
      </w:r>
    </w:p>
    <w:bookmarkEnd w:id="72"/>
    <w:bookmarkStart w:id="73" w:name="expiration-of-building-permit"/>
    <w:p>
      <w:pPr>
        <w:pStyle w:val="Heading2"/>
      </w:pPr>
      <w:r>
        <w:t xml:space="preserve">§ 7.6. Expiration of building permit</w:t>
      </w:r>
    </w:p>
    <w:p>
      <w:pPr>
        <w:pStyle w:val="FirstParagraph"/>
      </w:pPr>
      <w:r>
        <w:t xml:space="preserve">Sec. 7.6. Expiration of building permit.</w:t>
      </w:r>
    </w:p>
    <w:p>
      <w:pPr>
        <w:pStyle w:val="BodyText"/>
      </w:pPr>
      <w:r>
        <w:t xml:space="preserve">If the work described in any building permit has not begun within 180 days from the date of issuance thereof, said permit shall expire; it shall be canceled by the Inspector; and written notice thereof shall be given to the persons affected.</w:t>
      </w:r>
    </w:p>
    <w:p>
      <w:pPr>
        <w:pStyle w:val="BodyText"/>
      </w:pPr>
      <w:r>
        <w:t xml:space="preserve">If the work described in any building permit has not been substantially completed within two years of the date of issuance thereof, said permit shall expire and be canceled by the Inspector, provided, however, that the Inspector may upon application thereof and for cause shown, grant an extension. Said application should be filed prior to the expiration within the original two-year period of the permit and further provided that not more than one such extension for a period of one year be granted. In event of cancellation, written notice thereof shall be given to the persons affected, together with notice that further work as described in the canceled permit shall not proceed unless and until a new building permit has been obtained.</w:t>
      </w:r>
    </w:p>
    <w:bookmarkEnd w:id="73"/>
    <w:bookmarkStart w:id="74" w:name="X921376f09dd43b9b74f665d38f1b9d61c723cc0"/>
    <w:p>
      <w:pPr>
        <w:pStyle w:val="Heading2"/>
      </w:pPr>
      <w:r>
        <w:t xml:space="preserve">§ 7.7. Expiration of Certificate of Zoning Compliance</w:t>
      </w:r>
    </w:p>
    <w:p>
      <w:pPr>
        <w:pStyle w:val="FirstParagraph"/>
      </w:pPr>
      <w:r>
        <w:t xml:space="preserve">Sec. 7.7. Expiration of Certificate of Zoning Compliance.</w:t>
      </w:r>
    </w:p>
    <w:p>
      <w:pPr>
        <w:pStyle w:val="BodyText"/>
      </w:pPr>
      <w:r>
        <w:t xml:space="preserve">A Certificate of Zoning Compliance shall be valid for the duration of the use which was the subject of the original application and issuance and shall expire upon termination of that use.</w:t>
      </w:r>
    </w:p>
    <w:bookmarkEnd w:id="74"/>
    <w:bookmarkStart w:id="75" w:name="X4b167d0c76885646a51d659df5e436f8ce73744"/>
    <w:p>
      <w:pPr>
        <w:pStyle w:val="Heading2"/>
      </w:pPr>
      <w:r>
        <w:t xml:space="preserve">§ 7.8. Construction and use to be as provided in applications, plans, permits, and Certificates of</w:t>
      </w:r>
    </w:p>
    <w:p>
      <w:pPr>
        <w:pStyle w:val="FirstParagraph"/>
      </w:pPr>
      <w:r>
        <w:t xml:space="preserve">Sec. 7.8. Construction and use to be as provided in applications, plans, permits, and Certificates of.</w:t>
      </w:r>
    </w:p>
    <w:p>
      <w:pPr>
        <w:pStyle w:val="BodyText"/>
      </w:pPr>
      <w:r>
        <w:t xml:space="preserve">Zoning Compliance.</w:t>
      </w:r>
    </w:p>
    <w:p>
      <w:pPr>
        <w:pStyle w:val="BodyText"/>
      </w:pPr>
      <w:r>
        <w:t xml:space="preserve">Building permits or Certificates of Zoning Compliance issued on the basis of plans and applications approved by the Inspector authorize only the use, arrangement, and construction set forth in such approved plans and applications. Any other use, arrangement, or construction use, or construction differing from that authorized shall be deemed a violation of this ordinance, and punishable as provided by section 16 hereof.</w:t>
      </w:r>
    </w:p>
    <w:bookmarkEnd w:id="75"/>
    <w:bookmarkStart w:id="76" w:name="use-of-dumpsters"/>
    <w:p>
      <w:pPr>
        <w:pStyle w:val="Heading2"/>
      </w:pPr>
      <w:r>
        <w:t xml:space="preserve">§ 7.9. Use of Dumpsters</w:t>
      </w:r>
    </w:p>
    <w:p>
      <w:pPr>
        <w:pStyle w:val="FirstParagraph"/>
      </w:pPr>
      <w:r>
        <w:t xml:space="preserve">Sec. 7.9. Use of Dumpsters.</w:t>
      </w:r>
    </w:p>
    <w:p>
      <w:pPr>
        <w:pStyle w:val="BodyText"/>
      </w:pPr>
      <w:r>
        <w:t xml:space="preserve">Any person, corporation, partnership or any other entity requiring the use of a temporary dumpster shall, prior to placing a dumpster on public or private property for any period of time, obtain a dumpster permit from the Building and Zoning Department. Said permit shall specify the size of the dumpster, location and the name and phone number of the dumpster company and the length of time that said dumpster may be used on the said public/private property.</w:t>
      </w:r>
    </w:p>
    <w:p>
      <w:pPr>
        <w:pStyle w:val="BodyText"/>
      </w:pPr>
      <w:r>
        <w:t xml:space="preserve">Clean out dumpster permits are valid for 30 days from date of issuance. New construction dumpsters are valid for 180 days from date of issuance. Each permit is renewable once. After a renewal permit has expired, a 90 day waiting period is required before another dumpster permit can be issued.</w:t>
      </w:r>
    </w:p>
    <w:p>
      <w:pPr>
        <w:numPr>
          <w:ilvl w:val="0"/>
          <w:numId w:val="2359"/>
        </w:numPr>
      </w:pPr>
      <w:r>
        <w:t xml:space="preserve">(1) Minimum standards. Any dumpster used in the town shall meet the following standards:</w:t>
      </w:r>
    </w:p>
    <w:p>
      <w:pPr>
        <w:numPr>
          <w:ilvl w:val="0"/>
          <w:numId w:val="2360"/>
        </w:numPr>
      </w:pPr>
      <w:r>
        <w:t xml:space="preserve">a. The dumpster shall be painted so as to be reasonably resistant to rust and corrosion.</w:t>
      </w:r>
    </w:p>
    <w:p>
      <w:pPr>
        <w:numPr>
          <w:ilvl w:val="0"/>
          <w:numId w:val="2361"/>
        </w:numPr>
      </w:pPr>
      <w:r>
        <w:t xml:space="preserve">b. The name and telephone number of the dumpster owner shall be clearly painted on at least two sides, except when opened for deposit or servicing.</w:t>
      </w:r>
    </w:p>
    <w:p>
      <w:pPr>
        <w:numPr>
          <w:ilvl w:val="0"/>
          <w:numId w:val="2362"/>
        </w:numPr>
      </w:pPr>
      <w:r>
        <w:t xml:space="preserve">c. Dumpsters less than twenty (20) cubic yards in size shall be capable of being closed on all sides, except when open for deposit and servicing.</w:t>
      </w:r>
    </w:p>
    <w:p>
      <w:pPr>
        <w:numPr>
          <w:ilvl w:val="0"/>
          <w:numId w:val="2363"/>
        </w:numPr>
      </w:pPr>
      <w:r>
        <w:t xml:space="preserve">d. Dumpsters greater than (20) cubic yards in size shall be capable of being secured so as to prevent the spillage or overflow of material from the container.</w:t>
      </w:r>
    </w:p>
    <w:p>
      <w:pPr>
        <w:numPr>
          <w:ilvl w:val="0"/>
          <w:numId w:val="2364"/>
        </w:numPr>
      </w:pPr>
      <w:r>
        <w:t xml:space="preserve">e. Dumpsters shall be serviced only during the hours of 7:30 am and 6 pm on weekdays, 7:30 am and 4 pm on Saturdays, and prohibited on Sundays and legal holidays.</w:t>
      </w:r>
    </w:p>
    <w:p>
      <w:pPr>
        <w:numPr>
          <w:ilvl w:val="0"/>
          <w:numId w:val="2365"/>
        </w:numPr>
      </w:pPr>
      <w:r>
        <w:t xml:space="preserve">f. Dumpster placement must meet accessory structure setbacks for the zoning district where the property is located.</w:t>
      </w:r>
    </w:p>
    <w:p>
      <w:pPr>
        <w:pStyle w:val="Compact"/>
        <w:numPr>
          <w:ilvl w:val="0"/>
          <w:numId w:val="2366"/>
        </w:numPr>
      </w:pPr>
    </w:p>
    <w:p>
      <w:pPr>
        <w:numPr>
          <w:ilvl w:val="1"/>
          <w:numId w:val="2367"/>
        </w:numPr>
      </w:pPr>
      <w:r>
        <w:t xml:space="preserve">(2) Use. All dumpsters used in the town shall be maintained and with a frequency sufficient to prevent spillage or overflow, to prevent the buildup of offensive odors, and to prevent a public hazard. The responsibility for the maintenance and servicing of dumpsters shall rest with the property owner. The maintenance of dumpsters shall include the cleanup and removal of all litter thrown or left on the dumpster premises to prevent litter from drifting or blowing on to adjacent premises. Dumpsters shall only be used for construction and/or household debris. Decomposable matter shall not be disposed of in these dumpsters.</w:t>
      </w:r>
    </w:p>
    <w:p>
      <w:pPr>
        <w:pStyle w:val="Compact"/>
        <w:numPr>
          <w:ilvl w:val="0"/>
          <w:numId w:val="2368"/>
        </w:numPr>
      </w:pPr>
    </w:p>
    <w:p>
      <w:pPr>
        <w:numPr>
          <w:ilvl w:val="1"/>
          <w:numId w:val="2369"/>
        </w:numPr>
      </w:pPr>
      <w:r>
        <w:t xml:space="preserve">(3) Violations and penalties. Any person, corporation, partnership or any other entity who shall violate any provision of this section, or any provisions of any rules or regulation adopted pursuant to authority granted by this section, will be assessed a fine of up to $100 for the first offense, $250 for the second offense, and $500 for each additional offense payable by the permit holder to the North Smithfield Municipal Court. That upon determination by the building official or his/her designee, that the public health, safety and welfare would be better served, the building official may give notice of such violation and abate said condition according to statute or give notice of said violation and petition the municipal court for an order to abate any such violation.</w:t>
      </w:r>
    </w:p>
    <w:p>
      <w:pPr>
        <w:pStyle w:val="Compact"/>
        <w:numPr>
          <w:ilvl w:val="0"/>
          <w:numId w:val="2370"/>
        </w:numPr>
      </w:pPr>
    </w:p>
    <w:p>
      <w:pPr>
        <w:numPr>
          <w:ilvl w:val="1"/>
          <w:numId w:val="2371"/>
        </w:numPr>
      </w:pPr>
      <w:r>
        <w:t xml:space="preserve">(4) Enforcement. The provisions or this section shall be enforced by the Zoning Official or his or her designee.</w:t>
      </w:r>
    </w:p>
    <w:p>
      <w:pPr>
        <w:pStyle w:val="Compact"/>
        <w:numPr>
          <w:ilvl w:val="0"/>
          <w:numId w:val="2372"/>
        </w:numPr>
      </w:pPr>
    </w:p>
    <w:p>
      <w:pPr>
        <w:numPr>
          <w:ilvl w:val="1"/>
          <w:numId w:val="2373"/>
        </w:numPr>
      </w:pPr>
      <w:r>
        <w:t xml:space="preserve">(5) Exemptions. Land classified by the Town of North Smithfield Tax Assessor as Farmland or Forestland under The State of Rhode Island Farm, Forest and Open Space Act is exempt from Section 7.9 of the Code of Ordinances. (Ord. of 11/16/2015)</w:t>
      </w:r>
    </w:p>
    <w:bookmarkEnd w:id="76"/>
    <w:bookmarkStart w:id="77" w:name="X9137a0f37e16f356201c18b559d827bffd723d1"/>
    <w:p>
      <w:pPr>
        <w:pStyle w:val="Heading1"/>
      </w:pPr>
      <w:r>
        <w:t xml:space="preserve">§ 8. Zoning Board of Review; Establishment and Procedure</w:t>
      </w:r>
    </w:p>
    <w:p>
      <w:pPr>
        <w:pStyle w:val="FirstParagraph"/>
      </w:pPr>
      <w:r>
        <w:t xml:space="preserve">SECTION 8. Zoning Board of Review; Establishment and Procedure ZONING BOARD OF REVIEW; ESTABLISHMENT AND PROCEDURE</w:t>
      </w:r>
    </w:p>
    <w:bookmarkEnd w:id="77"/>
    <w:bookmarkStart w:id="78" w:name="membership"/>
    <w:p>
      <w:pPr>
        <w:pStyle w:val="Heading2"/>
      </w:pPr>
      <w:r>
        <w:t xml:space="preserve">§ 8.1. Membership</w:t>
      </w:r>
    </w:p>
    <w:p>
      <w:pPr>
        <w:pStyle w:val="FirstParagraph"/>
      </w:pPr>
      <w:r>
        <w:t xml:space="preserve">Sec. 8.1. Membership.</w:t>
      </w:r>
    </w:p>
    <w:p>
      <w:pPr>
        <w:pStyle w:val="BodyText"/>
      </w:pPr>
      <w:r>
        <w:t xml:space="preserve">A Zoning Board of Review, otherwise referred to as the Board, is hereby created. The Board shall be appointed by the Town Council and shall consist of five members, each to hold office for the term of five years; provided, however, that the original appointments shall be made for terms of one, two, three, four, and five years, respectively. The Zoning Board of Review shall also include two alternates to be designated as the first (1st) and second (2nd) alternate members, and shall be appointed for a term of one year, sit as active members, and may actively participate in hearings. The first (1st) alternate shall vote if a member of the Board is unable to serve at a hearing and the second (2nd) shall vote if two members of the Board are unable to serve at a hearing. In the absence of the first (1st) alternate member, the second (2nd) alternate member shall serve in the position of the first (1st) alternate. No member or alternate may vote on any matter before the Board unless they have attended all hearings concerning such matter. If a vacancy occurs in the Board, the Town Council shall appoint a new member for the unexpired term. All members of the Board shall be residents of the Town and no member shall be an elected official or salaried employee of the Town. The Board, as constituted at the time of the passage of this ordinance, shall be continued and the original appointments, as specified above, shall be deemed to have been made. Members of the Board may be removed from office for cause by the unanimous vote of the Town Council upon written charges and after a public hearing.</w:t>
      </w:r>
    </w:p>
    <w:bookmarkEnd w:id="78"/>
    <w:bookmarkStart w:id="79" w:name="organization"/>
    <w:p>
      <w:pPr>
        <w:pStyle w:val="Heading2"/>
      </w:pPr>
      <w:r>
        <w:t xml:space="preserve">§ 8.2. Organization</w:t>
      </w:r>
    </w:p>
    <w:p>
      <w:pPr>
        <w:pStyle w:val="FirstParagraph"/>
      </w:pPr>
      <w:r>
        <w:t xml:space="preserve">Sec. 8.2. Organization.</w:t>
      </w:r>
    </w:p>
    <w:p>
      <w:pPr>
        <w:pStyle w:val="BodyText"/>
      </w:pPr>
      <w:r>
        <w:t xml:space="preserve">Once each year the Board shall organize electing from its membership a chairman and vice chairman. The Board may engage the services of a secretary or recorder within the limit of the funds available to it or may appoint one of its membership as secretary.</w:t>
      </w:r>
    </w:p>
    <w:bookmarkEnd w:id="79"/>
    <w:bookmarkStart w:id="80" w:name="proceedings-of-the-board"/>
    <w:p>
      <w:pPr>
        <w:pStyle w:val="Heading2"/>
      </w:pPr>
      <w:r>
        <w:t xml:space="preserve">§ 8.3. Proceedings of the Board</w:t>
      </w:r>
    </w:p>
    <w:p>
      <w:pPr>
        <w:pStyle w:val="FirstParagraph"/>
      </w:pPr>
      <w:r>
        <w:t xml:space="preserve">Sec. 8.3. Proceedings of the Board.</w:t>
      </w:r>
    </w:p>
    <w:p>
      <w:pPr>
        <w:pStyle w:val="BodyText"/>
      </w:pPr>
      <w:r>
        <w:t xml:space="preserve">The Board shall adopt and publish rules necessary to the conduct of its affairs, and in keeping with the provisions of the ordinance. Meetings shall be held at the call of the chairman and at such other times as the Board may determine. In conducting hearings and arriving at its decisions, the Board shall consist of only five voting members. The chairman, or in his absence, the vice-chairman, may administer oaths and compel the attendance of witnesses and the submission of evidence. All hearings of the Board shall be open to the public.</w:t>
      </w:r>
    </w:p>
    <w:p>
      <w:pPr>
        <w:pStyle w:val="BodyText"/>
      </w:pPr>
      <w:r>
        <w:t xml:space="preserve">The Board shall include in its decision, all findings of fact and conditions, showing the vote of each member participating thereon, and the absence of a member or his or her failure to vote. No member or alternate may vote on any matter before the Board unless they have attended all hearings concerning such matter. Decisions shall be recorded and filed in the office of the Board within 30 days from the date when the decision was rendered, and shall be a public record. The Zoning Board of Review shall keep written minutes of its proceedings, showing the vote of each member, upon each question; or, if absent or failing to vote, indicating such fact, and keep records of its examinations, findings of fact, and other official actions, all of which shall be recorded and filed in the office of the Board in an expeditious manner upon completion of the proceeding. For any proceeding in which the right of appeal lies to the Superior or Supreme Court, the Zoning Board of Review shall have the minutes taken either by a competent stenographer or recorded by a sound-recording device.</w:t>
      </w:r>
    </w:p>
    <w:bookmarkEnd w:id="80"/>
    <w:bookmarkStart w:id="81" w:name="hearings-appeals-notice"/>
    <w:p>
      <w:pPr>
        <w:pStyle w:val="Heading2"/>
      </w:pPr>
      <w:r>
        <w:t xml:space="preserve">§ 8.4. Hearings; appeals; notice</w:t>
      </w:r>
    </w:p>
    <w:p>
      <w:pPr>
        <w:pStyle w:val="FirstParagraph"/>
      </w:pPr>
      <w:r>
        <w:t xml:space="preserve">Sec. 8.4. Hearings; appeals; notice.</w:t>
      </w:r>
    </w:p>
    <w:p>
      <w:pPr>
        <w:pStyle w:val="BodyText"/>
      </w:pPr>
      <w:r>
        <w:t xml:space="preserve">Appeals to the Board may be taken by any party aggrieved or by any officer, department, board, or bureau affected by any order or decision of the Inspector concerning the provisions of this ordinance. Such appeal shall be taken within 20 days by filing with the Inspector and with the Board a notice of appeal specifying the grounds for the appeal. The Inspector shall make available to the Board all papers constituting the record upon which the action appealed from was taken. In filing for an appeal, the applicant, in addition to filing any plans and specifications supporting the request, shall accompany the request with a list of property owners within 200 feet of the property in question and a filing fee payable to the Town.</w:t>
      </w:r>
    </w:p>
    <w:p>
      <w:pPr>
        <w:pStyle w:val="BodyText"/>
      </w:pPr>
      <w:r>
        <w:t xml:space="preserve">Participation in a zoning hearing or other proceeding by a party shall not be a cause for civil action or liability except for acts not in good faith, intentional misconduct, knowing violation of law, transactions where there is an improper personal benefit, or malicious, wanton, or wilful misconduct.</w:t>
      </w:r>
    </w:p>
    <w:bookmarkEnd w:id="81"/>
    <w:bookmarkStart w:id="82" w:name="procedure"/>
    <w:p>
      <w:pPr>
        <w:pStyle w:val="Heading2"/>
      </w:pPr>
      <w:r>
        <w:t xml:space="preserve">§ 8.5. Procedure</w:t>
      </w:r>
    </w:p>
    <w:p>
      <w:pPr>
        <w:pStyle w:val="FirstParagraph"/>
      </w:pPr>
      <w:r>
        <w:t xml:space="preserve">Sec. 8.5. Procedure.</w:t>
      </w:r>
    </w:p>
    <w:p>
      <w:pPr>
        <w:pStyle w:val="BodyText"/>
      </w:pPr>
      <w:r>
        <w:t xml:space="preserve">A Zoning Ordinance adopted pursuant to this chapter shall provide that the Zoning Board of Review shall have the following powers and duties:</w:t>
      </w:r>
    </w:p>
    <w:p>
      <w:pPr>
        <w:numPr>
          <w:ilvl w:val="0"/>
          <w:numId w:val="2374"/>
        </w:numPr>
      </w:pPr>
      <w:r>
        <w:t xml:space="preserve">(1) To hear and decide appeals in a timely fashion where it is alleged there is error in any order, requirement, decision, or determination made by the Inspector in the enforcement or interpretation of this chapter, or of any ordinance adopted pursuant hereto.</w:t>
      </w:r>
    </w:p>
    <w:p>
      <w:pPr>
        <w:numPr>
          <w:ilvl w:val="0"/>
          <w:numId w:val="2375"/>
        </w:numPr>
      </w:pPr>
      <w:r>
        <w:t xml:space="preserve">(2) To hear and decide appeals from a party aggrieved by a decision of an Historic District commission, pursuant to R.I.G.L. 45-24.1-7.1 and 45-24.1-7.2.</w:t>
      </w:r>
    </w:p>
    <w:p>
      <w:pPr>
        <w:numPr>
          <w:ilvl w:val="0"/>
          <w:numId w:val="2376"/>
        </w:numPr>
      </w:pPr>
      <w:r>
        <w:t xml:space="preserve">(3) To hear and decide appeals where the Zoning Board of Review is appointed as the Board of Appeals for airport zoning regulations pursuant to section 1-3-19.</w:t>
      </w:r>
    </w:p>
    <w:p>
      <w:pPr>
        <w:numPr>
          <w:ilvl w:val="0"/>
          <w:numId w:val="2377"/>
        </w:numPr>
      </w:pPr>
      <w:r>
        <w:t xml:space="preserve">(4) To authorize upon application, in specific cases of hardship, variances in the application of the terms of the Zoning Ordinance, pursuant to R.I.G.L. 45-24-41 of this chapter.</w:t>
      </w:r>
    </w:p>
    <w:p>
      <w:pPr>
        <w:numPr>
          <w:ilvl w:val="0"/>
          <w:numId w:val="2378"/>
        </w:numPr>
      </w:pPr>
      <w:r>
        <w:t xml:space="preserve">(5) To authorize upon application, in specific cases, special-use permits, pursuant to subsection (A) of R.I.G.L. 45-24-42 of this chapter, where the Zoning Board of Review is designated as a permit authority for special-use permits.</w:t>
      </w:r>
    </w:p>
    <w:p>
      <w:pPr>
        <w:numPr>
          <w:ilvl w:val="0"/>
          <w:numId w:val="2379"/>
        </w:numPr>
      </w:pPr>
      <w:r>
        <w:t xml:space="preserve">(6) To refer matters to the Planning Board, or to other boards of the Town as the Zoning Board of Review may deem appropriate, for findings and recommendations.</w:t>
      </w:r>
    </w:p>
    <w:p>
      <w:pPr>
        <w:numPr>
          <w:ilvl w:val="0"/>
          <w:numId w:val="2380"/>
        </w:numPr>
      </w:pPr>
      <w:r>
        <w:t xml:space="preserve">(7) To provide for issuance of conditional zoning approvals where a proposed application would otherwise be approved except that one or more state or federal agency approvals which are necessary are pending. A conditional zoning approval shall be revoked in the instance where any necessary state or federal agency approvals are not received within a specified time period.</w:t>
      </w:r>
    </w:p>
    <w:p>
      <w:pPr>
        <w:numPr>
          <w:ilvl w:val="0"/>
          <w:numId w:val="2381"/>
        </w:numPr>
      </w:pPr>
      <w:r>
        <w:t xml:space="preserve">(8) To hear and decide such other matters, according to the terms of this ordinance or other statutes, and upon which such board may be authorized to pass under such ordinance or other statutes.</w:t>
      </w:r>
    </w:p>
    <w:bookmarkEnd w:id="82"/>
    <w:bookmarkStart w:id="83" w:name="stay-of-proceedings"/>
    <w:p>
      <w:pPr>
        <w:pStyle w:val="Heading2"/>
      </w:pPr>
      <w:r>
        <w:t xml:space="preserve">§ 8.6. Stay of proceedings</w:t>
      </w:r>
    </w:p>
    <w:p>
      <w:pPr>
        <w:pStyle w:val="FirstParagraph"/>
      </w:pPr>
      <w:r>
        <w:t xml:space="preserve">Sec. 8.6. Stay of proceedings.</w:t>
      </w:r>
    </w:p>
    <w:p>
      <w:pPr>
        <w:pStyle w:val="BodyText"/>
      </w:pPr>
      <w:r>
        <w:t xml:space="preserve">An appeal shall stay all proceedings in furtherance of the action appealed from, unless the zoning enforcement officer or agency from whom the appeal is taken certifies to the Zoning Board of Review, after an appeal shall have been duly filed, that by reason of facts stated in the certificate a stay would in the officer's or agency's opinion cause imminent peril to life or property. In such case, proceedings shall not be stayed other than by a restraining order which may be granted by a court of competent jurisdiction on application thereof and upon notice to the officer or agency from whom the appeal is taken on due cause shown.</w:t>
      </w:r>
    </w:p>
    <w:bookmarkEnd w:id="83"/>
    <w:bookmarkStart w:id="84" w:name="vested-rights"/>
    <w:p>
      <w:pPr>
        <w:pStyle w:val="Heading2"/>
      </w:pPr>
      <w:r>
        <w:t xml:space="preserve">§ 8.7. Vested rights</w:t>
      </w:r>
    </w:p>
    <w:p>
      <w:pPr>
        <w:pStyle w:val="FirstParagraph"/>
      </w:pPr>
      <w:r>
        <w:t xml:space="preserve">Sec. 8.7. Vested rights.</w:t>
      </w:r>
    </w:p>
    <w:p>
      <w:pPr>
        <w:pStyle w:val="BodyText"/>
      </w:pPr>
      <w:r>
        <w:t xml:space="preserve">A petition before the Zoning Board for a building permit, special-use permit, variance or appeal shall be considered substantially complete when all required documents, including plans, together with required fees are received by the official designated therein to receive such applications. The Zoning Ordinance of 1973 (as amended to date) will apply, even if at some later date, but prior to the project receiving complete or final approval, the Zoning Ordinance and/or zoning map is changed.</w:t>
      </w:r>
    </w:p>
    <w:bookmarkEnd w:id="84"/>
    <w:bookmarkStart w:id="85" w:name="zoning-board-of-review-powers-and-duties"/>
    <w:p>
      <w:pPr>
        <w:pStyle w:val="Heading1"/>
      </w:pPr>
      <w:r>
        <w:t xml:space="preserve">§ 9. Zoning Board of Review; Powers and Duties</w:t>
      </w:r>
    </w:p>
    <w:p>
      <w:pPr>
        <w:pStyle w:val="FirstParagraph"/>
      </w:pPr>
      <w:r>
        <w:t xml:space="preserve">SECTION 9. Zoning Board of Review; Powers and Duties ZONING BOARD OF REVIEW; POWERS AND DUTIES The Zoning Board of Review shall have the following powers and duties:</w:t>
      </w:r>
    </w:p>
    <w:bookmarkEnd w:id="85"/>
    <w:bookmarkStart w:id="86" w:name="Xc5857cd4f7c7edd9f87b83d045e70a1e9e77fab"/>
    <w:p>
      <w:pPr>
        <w:pStyle w:val="Heading2"/>
      </w:pPr>
      <w:r>
        <w:t xml:space="preserve">§ 9.1. Board has powers of Inspector on appeals; reversing decision of Inspector</w:t>
      </w:r>
    </w:p>
    <w:p>
      <w:pPr>
        <w:pStyle w:val="FirstParagraph"/>
      </w:pPr>
      <w:r>
        <w:t xml:space="preserve">Sec. 9.1. Board has powers of Inspector on appeals; reversing decision of Inspector.</w:t>
      </w:r>
    </w:p>
    <w:p>
      <w:pPr>
        <w:pStyle w:val="BodyText"/>
      </w:pPr>
      <w:r>
        <w:t xml:space="preserve">The Board shall hear and decide appeals where it is alleged there is error in any order, requirement, decision, or determination made by the Inspector in the enforcement of this ordinance. In exercising the above-mentioned powers, the Board may, so long as such action is in conformity with the terms of this ordinance, reverse or affirm, wholly or partly or may modify the order, requirement, decision, or determination appealed from and may make such order, requirement, decision, or determination as ought to be made, and to that end shall have the powers of the Inspector from whom the appeal is taken. The concurring vote of three members shall be necessary to reverse any order, requirement, decision, or determination of the Inspector.</w:t>
      </w:r>
    </w:p>
    <w:p>
      <w:pPr>
        <w:pStyle w:val="BodyText"/>
      </w:pPr>
      <w:r>
        <w:t xml:space="preserve">The Board shall fix a reasonable time for the hearing of such appeal. It shall publish notice of the hearing at least once each week for two successive weeks prior to the date of such hearing in a newspaper of general circulation in the Town, the date of the first notice shall be at a minimum 14 days prior to the date of the hearing, shall give due notice to the applicant, abutting owners, and other parties in interest; and shall hear and decide the appeal within a reasonable time. Any party may appear at the hearing in person, by agent, or by attorney.</w:t>
      </w:r>
    </w:p>
    <w:bookmarkEnd w:id="86"/>
    <w:bookmarkStart w:id="87" w:name="Xd20570b7dba6025c14d5676f46d6276331b6f47"/>
    <w:p>
      <w:pPr>
        <w:pStyle w:val="Heading2"/>
      </w:pPr>
      <w:r>
        <w:t xml:space="preserve">§ 9.2. Special-use permits; conditions governing applications; procedures</w:t>
      </w:r>
    </w:p>
    <w:p>
      <w:pPr>
        <w:pStyle w:val="FirstParagraph"/>
      </w:pPr>
      <w:r>
        <w:t xml:space="preserve">Sec. 9.2. Special-use permits; conditions governing applications; procedures.</w:t>
      </w:r>
    </w:p>
    <w:p>
      <w:pPr>
        <w:pStyle w:val="BodyText"/>
      </w:pPr>
      <w:r>
        <w:t xml:space="preserve">To hear and decide only such special-use permits as the Board is specifically authorized to pass on by the terms of this ordinance; to decide such questions as are involved in determining whether special-use permits should be granted; and to grant special-use permits with such conditions and safeguards as are appropriate under this ordinance, or to deny special-use permits when not in harmony with the purpose and intent of this ordinance. The Board, immediately upon receipt of an application for special-use permit, shall request that the Planning Board and staff report its findings and recommendations, including the statement on the general consistency of the application with the goals and purposes of the comprehensive plan for the Town. The findings and recommendations, in writing, shall be forwarded to the zoning Board of Review within 30 days of receipt of the application from said Board.</w:t>
      </w:r>
    </w:p>
    <w:p>
      <w:pPr>
        <w:pStyle w:val="BodyText"/>
      </w:pPr>
      <w:r>
        <w:t xml:space="preserve">The Board shall fix a reasonable time for the hearing of a special-use permit. It shall publish notice of the hearing at least once each week for two successive weeks immediately prior to the date of such hearing in a newspaper of general circulation in the Town, the date of the first notice shall be at a minimum 14 days prior to the date of the hearing. Notice of hearing shall be sent by certified mail return receipt requested to the applicant, and to all those who would require notice under section 45-24-33 of the Rhode Island General Laws. Said notice shall also include the street address of the subject property. The cost of such notification shall be borne by the applicant. The Board shall hear and decide on the application within a reasonable time. Any party may appear at the hearing in person, by agent, or by attorney.</w:t>
      </w:r>
    </w:p>
    <w:p>
      <w:pPr>
        <w:pStyle w:val="BodyText"/>
      </w:pPr>
      <w:r>
        <w:t xml:space="preserve">The concurring vote of four members shall be required to decide in favor of an applicant on any matter concerning a special-use permit upon which it is required to pass under this ordinance. In granting a special-use permit, the Board may impose such additional safeguards and conditions on the proposed use as are deemed necessary in order to conform to these requirements. The Board shall make a written decision, including findings of fact, certifying compliance with the rules governing that special-use permit, and that satisfactory provision and arrangement has been made, where applicable concerning the following:</w:t>
      </w:r>
    </w:p>
    <w:p>
      <w:pPr>
        <w:numPr>
          <w:ilvl w:val="0"/>
          <w:numId w:val="2382"/>
        </w:numPr>
      </w:pPr>
      <w:r>
        <w:t xml:space="preserve">(1) Ingress and egress to property and proposed structures thereon with particular reference to fire or catastrophe;</w:t>
      </w:r>
    </w:p>
    <w:p>
      <w:pPr>
        <w:numPr>
          <w:ilvl w:val="0"/>
          <w:numId w:val="2383"/>
        </w:numPr>
      </w:pPr>
      <w:r>
        <w:t xml:space="preserve">(2) Off-street parking and loading areas where required, with particular attention to the items in (1) above and the economic, noise, glare, or odor effects of the special-use permit on adjoining properties and properties generally in the district;</w:t>
      </w:r>
    </w:p>
    <w:p>
      <w:pPr>
        <w:numPr>
          <w:ilvl w:val="0"/>
          <w:numId w:val="2384"/>
        </w:numPr>
      </w:pPr>
      <w:r>
        <w:t xml:space="preserve">(3) Refuse and service areas, with particular reference to the items in (1) and (2) previous;</w:t>
      </w:r>
    </w:p>
    <w:p>
      <w:pPr>
        <w:numPr>
          <w:ilvl w:val="0"/>
          <w:numId w:val="2385"/>
        </w:numPr>
      </w:pPr>
      <w:r>
        <w:t xml:space="preserve">(4) Utilities, with reference to locations, availability, and compatibility;</w:t>
      </w:r>
    </w:p>
    <w:p>
      <w:pPr>
        <w:numPr>
          <w:ilvl w:val="0"/>
          <w:numId w:val="2386"/>
        </w:numPr>
      </w:pPr>
      <w:r>
        <w:t xml:space="preserve">(5) Screening and buffering with reference to type, dimensions, and character;</w:t>
      </w:r>
    </w:p>
    <w:p>
      <w:pPr>
        <w:numPr>
          <w:ilvl w:val="0"/>
          <w:numId w:val="2387"/>
        </w:numPr>
      </w:pPr>
      <w:r>
        <w:t xml:space="preserve">(6) Signs, if any, and proposed exterior lighting with reference to glare, traffic safety, economic effect, and compatibility and harmony with properties in the district;</w:t>
      </w:r>
    </w:p>
    <w:p>
      <w:pPr>
        <w:numPr>
          <w:ilvl w:val="0"/>
          <w:numId w:val="2388"/>
        </w:numPr>
      </w:pPr>
      <w:r>
        <w:t xml:space="preserve">(7) Required yards and other open space;</w:t>
      </w:r>
    </w:p>
    <w:p>
      <w:pPr>
        <w:numPr>
          <w:ilvl w:val="0"/>
          <w:numId w:val="2389"/>
        </w:numPr>
      </w:pPr>
      <w:r>
        <w:t xml:space="preserve">(8) General compatibility with adjacent properties and other property in the district;</w:t>
      </w:r>
    </w:p>
    <w:p>
      <w:pPr>
        <w:numPr>
          <w:ilvl w:val="0"/>
          <w:numId w:val="2390"/>
        </w:numPr>
      </w:pPr>
      <w:r>
        <w:t xml:space="preserve">All zone and area regulations of the district in which the special-use permit is sought shall apply to such uses, except where specifically exempted or amended by the conditions under which the specialuse permit is granted by the Board. The disregarding of any such condition or safeguard shall be considered as a violation.</w:t>
      </w:r>
    </w:p>
    <w:p>
      <w:pPr>
        <w:numPr>
          <w:ilvl w:val="0"/>
          <w:numId w:val="2391"/>
        </w:numPr>
      </w:pPr>
      <w:r>
        <w:t xml:space="preserve">All stipulations imposed by the Board in granting a special-use permit shall be recorded in Town Land Evidence Records. A copy of such shall be filed in the Inspector's office.</w:t>
      </w:r>
    </w:p>
    <w:p>
      <w:pPr>
        <w:numPr>
          <w:ilvl w:val="0"/>
          <w:numId w:val="2392"/>
        </w:numPr>
      </w:pPr>
      <w:r>
        <w:t xml:space="preserve">Following establishment of this ordinance, any use permitted as a special-use permit under the terms of this ordinance shall be considered as a permitted use. (See section 4.7)</w:t>
      </w:r>
    </w:p>
    <w:p>
      <w:pPr>
        <w:numPr>
          <w:ilvl w:val="0"/>
          <w:numId w:val="2393"/>
        </w:numPr>
      </w:pPr>
      <w:r>
        <w:t xml:space="preserve">9.2.1 Dimensional variance in conjunction with special use permit. An applicant may apply for, and be issued, a dimensional variance in conjunction with a Special Use Permit. If the Special Use Permit could not exist without the dimensional variance, the Zoning Board of Review shall consider the Special Use Permit and the dimensional variance together to determine if granting the Special Use Permit is appropriate based on the special use criteria set forth herein and the dimensional variance evidentiary standards set forth herein.</w:t>
      </w:r>
    </w:p>
    <w:bookmarkEnd w:id="87"/>
    <w:bookmarkStart w:id="88" w:name="X1dfb767381a06ecf7cd893eba3b3bdb2cb3c560"/>
    <w:p>
      <w:pPr>
        <w:pStyle w:val="Heading2"/>
      </w:pPr>
      <w:r>
        <w:t xml:space="preserve">§ 9.3. Variances, conditions governing applications; procedures</w:t>
      </w:r>
    </w:p>
    <w:p>
      <w:pPr>
        <w:pStyle w:val="FirstParagraph"/>
      </w:pPr>
      <w:r>
        <w:t xml:space="preserve">Sec. 9.3. Variances, conditions governing applications; procedures.</w:t>
      </w:r>
    </w:p>
    <w:p>
      <w:pPr>
        <w:pStyle w:val="BodyText"/>
      </w:pPr>
      <w:r>
        <w:t xml:space="preserve">An application for relief from the literal requirements of a Zoning Ordinance because of hardship may be made by any person, group, agency or corporation by filing with the Inspector an application describing the request and supported by such data and evidence as may be required by the Zoning Board of Review or by the terms of this ordinance. There shall be only two categories of variance, a use variance or a dimensional variance.</w:t>
      </w:r>
    </w:p>
    <w:p>
      <w:pPr>
        <w:pStyle w:val="BodyText"/>
      </w:pPr>
      <w:r>
        <w:t xml:space="preserve">The Inspector shall immediately transmit each such application once all required information has been received to the Zoning Board of Review and shall transmit a copy of each application to the Planning Board.</w:t>
      </w:r>
    </w:p>
    <w:p>
      <w:pPr>
        <w:pStyle w:val="BodyText"/>
      </w:pPr>
      <w:r>
        <w:t xml:space="preserve">The Zoning Board of Review, immediately upon receipt of an application for a variance in the application of the literal terms of the Zoning Ordinance, may request that the Planning Board and/or staff shall report its findings and recommendations, including a statement on the general consistency of the application with the goals and purposes of the comprehensive plan for the Town, in writing to said Zoning Board of Review within 30 days of receipt of the application from said Board. The Zoning Board shall hold a public hearing on any application for variance in an expeditious manner, after receipt, in proper form, of an application. The Zoning Board of Review shall publish notice of the hearing at least once each week for two successive weeks immediately prior to the date of such hearing in a newspaper of general circulation in the Town, the date of the first notice shall be at a minimum 14 days prior to the date of the hearing. Notice of hearing shall be sent by certified mail with return receipt requested to the applicant, and to at least all those who would require notice under section 45-24-53 of the Rhode Island General Laws. Said notice shall also include the street address of the subject property. The cost of such notification shall be borne by the applicant.</w:t>
      </w:r>
    </w:p>
    <w:p>
      <w:pPr>
        <w:numPr>
          <w:ilvl w:val="0"/>
          <w:numId w:val="2394"/>
        </w:numPr>
      </w:pPr>
      <w:r>
        <w:t xml:space="preserve">9.3.1. In granting a variance, the Zoning Board of Review shall require that evidence to the satisfaction of the following standards be entered into the record of the proceedings:</w:t>
      </w:r>
    </w:p>
    <w:p>
      <w:pPr>
        <w:pStyle w:val="Compact"/>
        <w:numPr>
          <w:ilvl w:val="0"/>
          <w:numId w:val="2395"/>
        </w:numPr>
      </w:pPr>
    </w:p>
    <w:p>
      <w:pPr>
        <w:numPr>
          <w:ilvl w:val="1"/>
          <w:numId w:val="2396"/>
        </w:numPr>
      </w:pPr>
      <w:r>
        <w:t xml:space="preserve">(a) That the hardship from which the applicant seeks relief is due to the unique characteristics of the subject land or structure and not to the general characteristics of the surrounding area; and is not due to a physical or economic disability of the applicant;</w:t>
      </w:r>
    </w:p>
    <w:p>
      <w:pPr>
        <w:pStyle w:val="Compact"/>
        <w:numPr>
          <w:ilvl w:val="0"/>
          <w:numId w:val="2397"/>
        </w:numPr>
      </w:pPr>
    </w:p>
    <w:p>
      <w:pPr>
        <w:numPr>
          <w:ilvl w:val="1"/>
          <w:numId w:val="2398"/>
        </w:numPr>
      </w:pPr>
      <w:r>
        <w:t xml:space="preserve">(b) That the hardship is not the result of any prior action of the applicant and does not result primarily from the desire of the applicant to realize greater financial gain;</w:t>
      </w:r>
    </w:p>
    <w:p>
      <w:pPr>
        <w:pStyle w:val="Compact"/>
        <w:numPr>
          <w:ilvl w:val="0"/>
          <w:numId w:val="2399"/>
        </w:numPr>
      </w:pPr>
    </w:p>
    <w:p>
      <w:pPr>
        <w:numPr>
          <w:ilvl w:val="1"/>
          <w:numId w:val="2400"/>
        </w:numPr>
      </w:pPr>
      <w:r>
        <w:t xml:space="preserve">(c) That the granting of the requested variance will not alter the general character of the surrounding area or impair the intent or purpose of this Zoning Ordinance or the comprehensive plan upon which this ordinance is based;</w:t>
      </w:r>
    </w:p>
    <w:p>
      <w:pPr>
        <w:pStyle w:val="Compact"/>
        <w:numPr>
          <w:ilvl w:val="0"/>
          <w:numId w:val="2401"/>
        </w:numPr>
      </w:pPr>
    </w:p>
    <w:p>
      <w:pPr>
        <w:numPr>
          <w:ilvl w:val="1"/>
          <w:numId w:val="2402"/>
        </w:numPr>
      </w:pPr>
      <w:r>
        <w:t xml:space="preserve">(d) That the relief to be granted is the least relief necessary.</w:t>
      </w:r>
    </w:p>
    <w:p>
      <w:pPr>
        <w:pStyle w:val="Compact"/>
        <w:numPr>
          <w:ilvl w:val="0"/>
          <w:numId w:val="2403"/>
        </w:numPr>
      </w:pPr>
    </w:p>
    <w:p>
      <w:pPr>
        <w:numPr>
          <w:ilvl w:val="1"/>
          <w:numId w:val="2404"/>
        </w:numPr>
      </w:pPr>
      <w:r>
        <w:t xml:space="preserve">(e) That granting the variance requested will not confer on the applicant any special privilege that is denied by this ordinance to other lands, structures, or buildings in the same district.</w:t>
      </w:r>
    </w:p>
    <w:p>
      <w:pPr>
        <w:numPr>
          <w:ilvl w:val="0"/>
          <w:numId w:val="2405"/>
        </w:numPr>
      </w:pPr>
      <w:r>
        <w:t xml:space="preserve">9.3.2. The Zoning Board of Review shall, in addition to the standards in 9.3.1., require that evidence be entered into the record of the proceedings showing that:</w:t>
      </w:r>
    </w:p>
    <w:p>
      <w:pPr>
        <w:pStyle w:val="Compact"/>
        <w:numPr>
          <w:ilvl w:val="0"/>
          <w:numId w:val="2406"/>
        </w:numPr>
      </w:pPr>
    </w:p>
    <w:p>
      <w:pPr>
        <w:numPr>
          <w:ilvl w:val="1"/>
          <w:numId w:val="2407"/>
        </w:numPr>
      </w:pPr>
      <w:r>
        <w:t xml:space="preserve">(a) In granting a use variance, the subject land or structure cannot yield any beneficial use if it is required to conform to the provisions of the Zoning Ordinance. Nonconforming use of neighboring land or structures in the same district and permitted use of lands or structures in an adjacent district shall not be considered in granting a use variance; and</w:t>
      </w:r>
    </w:p>
    <w:p>
      <w:pPr>
        <w:numPr>
          <w:ilvl w:val="1"/>
          <w:numId w:val="1000"/>
        </w:numPr>
      </w:pPr>
      <w:r>
        <w:t xml:space="preserve">(b) In granting a dimensional variance, that the hardship that will be suffered by the owner of the subject property if the dimensional variance is not granted shall amount to more than a mere inconvenience, which shall mean that there is no other reasonable alternative to enjoy a legally permitted beneficial use of one's property. The fact that use may be more profitable or that a structure may be valuable after the relief is granted shall not be grounds for relief.</w:t>
      </w:r>
    </w:p>
    <w:p>
      <w:pPr>
        <w:numPr>
          <w:ilvl w:val="0"/>
          <w:numId w:val="2408"/>
        </w:numPr>
      </w:pPr>
      <w:r>
        <w:t xml:space="preserve">9.3.3. A variance from the terms of this ordinance shall not be granted by the Board unless and until:</w:t>
      </w:r>
    </w:p>
    <w:p>
      <w:pPr>
        <w:pStyle w:val="Compact"/>
        <w:numPr>
          <w:ilvl w:val="0"/>
          <w:numId w:val="2409"/>
        </w:numPr>
      </w:pPr>
    </w:p>
    <w:p>
      <w:pPr>
        <w:numPr>
          <w:ilvl w:val="1"/>
          <w:numId w:val="2410"/>
        </w:numPr>
      </w:pPr>
      <w:r>
        <w:t xml:space="preserve">(a) The Board shall make written findings certifying that the application requirements have been met and;</w:t>
      </w:r>
    </w:p>
    <w:p>
      <w:pPr>
        <w:pStyle w:val="Compact"/>
        <w:numPr>
          <w:ilvl w:val="0"/>
          <w:numId w:val="2411"/>
        </w:numPr>
      </w:pPr>
    </w:p>
    <w:p>
      <w:pPr>
        <w:numPr>
          <w:ilvl w:val="1"/>
          <w:numId w:val="2412"/>
        </w:numPr>
      </w:pPr>
      <w:r>
        <w:t xml:space="preserve">(b) The concurring vote of four members shall be required to decide in favor of an applicant on any matter concerning a variance, upon which it is required to pass under this ordinance. In granting any variance, the Board may prescribe appropriate conditions and safeguards in conformity with this ordinance. Violation of such conditions and safeguards, when made a part of the terms under which the variance is granted, shall be deemed a violation.</w:t>
      </w:r>
    </w:p>
    <w:p>
      <w:pPr>
        <w:pStyle w:val="Compact"/>
        <w:numPr>
          <w:ilvl w:val="0"/>
          <w:numId w:val="2413"/>
        </w:numPr>
      </w:pPr>
    </w:p>
    <w:p>
      <w:pPr>
        <w:numPr>
          <w:ilvl w:val="1"/>
          <w:numId w:val="2414"/>
        </w:numPr>
      </w:pPr>
      <w:r>
        <w:t xml:space="preserve">All stipulations imposed by the Board in granting a variance permit shall be recorded in Town Land Evidence Records. A copy of such shall be filed in the Inspector's office.</w:t>
      </w:r>
    </w:p>
    <w:bookmarkEnd w:id="88"/>
    <w:bookmarkStart w:id="89" w:name="X11fa581d91b4f444b4ab2cc96cdb541f8019dfa"/>
    <w:p>
      <w:pPr>
        <w:pStyle w:val="Heading2"/>
      </w:pPr>
      <w:r>
        <w:t xml:space="preserve">§ 9.4. Expiration of special-use permits, variances</w:t>
      </w:r>
    </w:p>
    <w:p>
      <w:pPr>
        <w:pStyle w:val="FirstParagraph"/>
      </w:pPr>
      <w:r>
        <w:t xml:space="preserve">Sec. 9.4. Expiration of special-use permits, variances.</w:t>
      </w:r>
    </w:p>
    <w:p>
      <w:pPr>
        <w:pStyle w:val="BodyText"/>
      </w:pPr>
      <w:r>
        <w:t xml:space="preserve">A special-use permit or a variance from the provisions of this ordinance shall expire 18 months from the date granted by the Zoning Board of Review unless the applicant exercises the permission granted or receives a building permit to do so and commences construction and diligently prosecutes the construction until completed. No re-application for a special-use permit or variance shall be granted without a hearing.</w:t>
      </w:r>
    </w:p>
    <w:bookmarkEnd w:id="89"/>
    <w:bookmarkStart w:id="90" w:name="repetitive-petitions"/>
    <w:p>
      <w:pPr>
        <w:pStyle w:val="Heading2"/>
      </w:pPr>
      <w:r>
        <w:t xml:space="preserve">§ 9.5. Repetitive petitions</w:t>
      </w:r>
    </w:p>
    <w:p>
      <w:pPr>
        <w:pStyle w:val="FirstParagraph"/>
      </w:pPr>
      <w:r>
        <w:t xml:space="preserve">Sec. 9.5. Repetitive petitions.</w:t>
      </w:r>
    </w:p>
    <w:p>
      <w:pPr>
        <w:pStyle w:val="BodyText"/>
      </w:pPr>
      <w:r>
        <w:t xml:space="preserve">Where the Zoning Board of Review denies a request for a special-use permit, variance or otherwise rules against the applicant on other than procedural grounds, the Zoning Board of Review may not consider another application requesting any or all the same changes, except:</w:t>
      </w:r>
    </w:p>
    <w:p>
      <w:pPr>
        <w:numPr>
          <w:ilvl w:val="0"/>
          <w:numId w:val="2415"/>
        </w:numPr>
      </w:pPr>
      <w:r>
        <w:t xml:space="preserve">(a) Where ordered to do so by a court order;</w:t>
      </w:r>
    </w:p>
    <w:p>
      <w:pPr>
        <w:numPr>
          <w:ilvl w:val="0"/>
          <w:numId w:val="2416"/>
        </w:numPr>
      </w:pPr>
      <w:r>
        <w:t xml:space="preserve">(b) Or where, after six months of the date of such denial or withdrawal, the application is accompanied by an affidavit setting forth facts, to the satisfaction of said Board, showing a substantial change of circumstances justifying a rehearing.</w:t>
      </w:r>
    </w:p>
    <w:bookmarkEnd w:id="90"/>
    <w:bookmarkStart w:id="91" w:name="appeals-from-the-board"/>
    <w:p>
      <w:pPr>
        <w:pStyle w:val="Heading1"/>
      </w:pPr>
      <w:r>
        <w:t xml:space="preserve">§ 10. Appeals from The Board</w:t>
      </w:r>
    </w:p>
    <w:p>
      <w:pPr>
        <w:pStyle w:val="FirstParagraph"/>
      </w:pPr>
      <w:r>
        <w:t xml:space="preserve">SECTION 10. Appeals from The Board APPEALS FROM THE BOARD</w:t>
      </w:r>
    </w:p>
    <w:bookmarkEnd w:id="91"/>
    <w:bookmarkStart w:id="92" w:name="procedure-1"/>
    <w:p>
      <w:pPr>
        <w:pStyle w:val="Heading2"/>
      </w:pPr>
      <w:r>
        <w:t xml:space="preserve">§ 10.1. Procedure</w:t>
      </w:r>
    </w:p>
    <w:p>
      <w:pPr>
        <w:pStyle w:val="FirstParagraph"/>
      </w:pPr>
      <w:r>
        <w:t xml:space="preserve">Sec. 10.1. Procedure.</w:t>
      </w:r>
    </w:p>
    <w:p>
      <w:pPr>
        <w:pStyle w:val="BodyText"/>
      </w:pPr>
      <w:r>
        <w:t xml:space="preserve">An aggrieved party may appeal a decision of the Zoning Board of Review to the Superior Court for the county in which the Town is situated by filing a complaint setting forth the reasons of appeal within 20 days after such decision has been recorded and posted in the office of the Town Clerk. The decision shall be posted in a location visible to the public in the Town Hall for a period of 20 days following the recording of the decision. The Zoning Board of Review shall file the original documents acted upon by it and constituting the record of the case appealed from, or certified copies thereof, together with such other facts as may be pertinent, with the Clerk of the Court within 30 days after being served with a copy of the complaint. When the complaint is filed by someone other than the original applicant or appellant, such original applicant or appellant and the members of the Zoning Board shall be made parties to such proceedings. The appeal shall not stay proceedings upon the decision appealed from, but the Court may, in its discretion, grant a stay on appropriate terms and make such other orders as it deems necessary for an equitable disposition of the appeal.</w:t>
      </w:r>
    </w:p>
    <w:p>
      <w:pPr>
        <w:pStyle w:val="BodyText"/>
      </w:pPr>
      <w:r>
        <w:t xml:space="preserve">If, before the date set for hearing in the Superior Court, application is made to the Court for leave to present additional evidence before the Zoning Board of Review and it is shown to the satisfaction of the Court that the additional evidence is material and that there were good reasons for the failure to present it at the hearing before the Zoning Board of Review, the Court may order that the additional evidence be taken before the Zoning Board of Review upon conditions determined by the Court. The Zoning Board of Review may modify its findings and decision by reason of such additional evidence and shall file that evidence and any new findings or decisions with the Superior Court.</w:t>
      </w:r>
    </w:p>
    <w:p>
      <w:pPr>
        <w:pStyle w:val="BodyText"/>
      </w:pPr>
      <w:r>
        <w:t xml:space="preserve">The review shall be conducted by the Superior Court without a jury. The Court shall consider the record of the hearing before the Zoning Board of Review and if it shall appear to the Court that additional evidence is necessary for the proper disposition of the matter, it may allow any part to such appeal to present such evidence in open court, which evidence along with the said report shall constitute the record upon which the determination of the Court shall be made.</w:t>
      </w:r>
    </w:p>
    <w:p>
      <w:pPr>
        <w:pStyle w:val="BodyText"/>
      </w:pPr>
      <w:r>
        <w:t xml:space="preserve">The Court shall not substitute its judgment for that of the Zoning Board of Review as to the weight of the evidence on questions of fact. The Court may affirm the decision of the Zoning Board of Review or remand the case for further proceedings, or may reverse or modify the decision if substantial rights of the appellant have been prejudiced because of findings, inferences, conclusions or decisions which are:</w:t>
      </w:r>
    </w:p>
    <w:p>
      <w:pPr>
        <w:numPr>
          <w:ilvl w:val="0"/>
          <w:numId w:val="2417"/>
        </w:numPr>
      </w:pPr>
      <w:r>
        <w:t xml:space="preserve">(1) In violation of constitutional, statutory or ordinance provisions:</w:t>
      </w:r>
    </w:p>
    <w:p>
      <w:pPr>
        <w:numPr>
          <w:ilvl w:val="0"/>
          <w:numId w:val="2418"/>
        </w:numPr>
      </w:pPr>
      <w:r>
        <w:t xml:space="preserve">(2) In excess of the authority granted to the Zoning Board of Review by statute or ordinance;</w:t>
      </w:r>
    </w:p>
    <w:p>
      <w:pPr>
        <w:numPr>
          <w:ilvl w:val="0"/>
          <w:numId w:val="2419"/>
        </w:numPr>
      </w:pPr>
      <w:r>
        <w:t xml:space="preserve">(3) Made upon unlawful procedure;</w:t>
      </w:r>
    </w:p>
    <w:p>
      <w:pPr>
        <w:numPr>
          <w:ilvl w:val="0"/>
          <w:numId w:val="2420"/>
        </w:numPr>
      </w:pPr>
      <w:r>
        <w:t xml:space="preserve">(4) Affected by other error of law;</w:t>
      </w:r>
    </w:p>
    <w:p>
      <w:pPr>
        <w:numPr>
          <w:ilvl w:val="0"/>
          <w:numId w:val="2421"/>
        </w:numPr>
      </w:pPr>
      <w:r>
        <w:t xml:space="preserve">(5) Clearly erroneous in view of the reliable, probative and substantial evidence of the whole record; or</w:t>
      </w:r>
    </w:p>
    <w:p>
      <w:pPr>
        <w:numPr>
          <w:ilvl w:val="0"/>
          <w:numId w:val="1000"/>
        </w:numPr>
      </w:pPr>
      <w:r>
        <w:t xml:space="preserve">(6) Arbitrary or capricious or characterized by abuse of discretion or clearly unwarranted exercise of discretion.</w:t>
      </w:r>
    </w:p>
    <w:bookmarkEnd w:id="92"/>
    <w:bookmarkStart w:id="93" w:name="reserved"/>
    <w:p>
      <w:pPr>
        <w:pStyle w:val="Heading1"/>
      </w:pPr>
      <w:r>
        <w:t xml:space="preserve">§ 11. Reserved</w:t>
      </w:r>
    </w:p>
    <w:p>
      <w:pPr>
        <w:pStyle w:val="FirstParagraph"/>
      </w:pPr>
      <w:r>
        <w:t xml:space="preserve">SECTION 11. RESERVED FOR FUTURE USE</w:t>
      </w:r>
    </w:p>
    <w:bookmarkEnd w:id="93"/>
    <w:bookmarkStart w:id="94" w:name="mixed-use-districts-mu"/>
    <w:p>
      <w:pPr>
        <w:pStyle w:val="Heading1"/>
      </w:pPr>
      <w:r>
        <w:t xml:space="preserve">§ 12. Mixed Use Districts (MU)</w:t>
      </w:r>
    </w:p>
    <w:p>
      <w:pPr>
        <w:pStyle w:val="FirstParagraph"/>
      </w:pPr>
      <w:r>
        <w:t xml:space="preserve">SECTION 12. Mixed Use Districts (MU)</w:t>
      </w:r>
    </w:p>
    <w:p>
      <w:pPr>
        <w:pStyle w:val="BodyText"/>
      </w:pPr>
      <w:r>
        <w:t xml:space="preserve">MIXED USE DISTRICTS (MU)</w:t>
      </w:r>
    </w:p>
    <w:bookmarkEnd w:id="94"/>
    <w:bookmarkStart w:id="95" w:name="purpose"/>
    <w:p>
      <w:pPr>
        <w:pStyle w:val="Heading2"/>
      </w:pPr>
      <w:r>
        <w:t xml:space="preserve">§ 12.1. Purpose</w:t>
      </w:r>
    </w:p>
    <w:p>
      <w:pPr>
        <w:pStyle w:val="FirstParagraph"/>
      </w:pPr>
      <w:r>
        <w:t xml:space="preserve">Sec. 12.1. Purpose.</w:t>
      </w:r>
    </w:p>
    <w:p>
      <w:pPr>
        <w:pStyle w:val="BodyText"/>
      </w:pPr>
      <w:r>
        <w:t xml:space="preserve">The Mixed Use District (MU) is hereby established in order to:</w:t>
      </w:r>
    </w:p>
    <w:p>
      <w:pPr>
        <w:numPr>
          <w:ilvl w:val="0"/>
          <w:numId w:val="2422"/>
        </w:numPr>
      </w:pPr>
      <w:r>
        <w:t xml:space="preserve">(1) Provide an area for economic development in the Town that allows for efficient development of businesses that serve the residents of the district and adjacent neighborhoods while reducing the reliance upon the automobile, particularly within the district.</w:t>
      </w:r>
    </w:p>
    <w:p>
      <w:pPr>
        <w:numPr>
          <w:ilvl w:val="0"/>
          <w:numId w:val="2423"/>
        </w:numPr>
      </w:pPr>
      <w:r>
        <w:t xml:space="preserve">(2) Provide guidance and a framework for redevelopment and new growth that is sustainable, conserves land and natural resources and that employs best practices in environmental protection.</w:t>
      </w:r>
    </w:p>
    <w:p>
      <w:pPr>
        <w:numPr>
          <w:ilvl w:val="0"/>
          <w:numId w:val="2424"/>
        </w:numPr>
      </w:pPr>
      <w:r>
        <w:t xml:space="preserve">(3) Encourage the orientation of buildings to activate the street edge and encourage traditional architecture and historical village settlement patterns that are well integrated into the existing community.</w:t>
      </w:r>
    </w:p>
    <w:p>
      <w:pPr>
        <w:numPr>
          <w:ilvl w:val="0"/>
          <w:numId w:val="2425"/>
        </w:numPr>
      </w:pPr>
      <w:r>
        <w:t xml:space="preserve">(4) Provide innovative shared and off-site parking allowances and make pedestrian mobility a focal point for parking lot design.</w:t>
      </w:r>
    </w:p>
    <w:p>
      <w:pPr>
        <w:numPr>
          <w:ilvl w:val="0"/>
          <w:numId w:val="2426"/>
        </w:numPr>
      </w:pPr>
      <w:r>
        <w:t xml:space="preserve">(5) Avoid the creation of large-scale shopping centers, and avoid the creation of new business or industrial parks having little or no relation to the surrounding community, and mitigate the impacts of existing business or industrial parks.</w:t>
      </w:r>
    </w:p>
    <w:p>
      <w:pPr>
        <w:numPr>
          <w:ilvl w:val="0"/>
          <w:numId w:val="2427"/>
        </w:numPr>
      </w:pPr>
      <w:r>
        <w:t xml:space="preserve">(6) Provide a safe atmosphere for pedestrian and bicycle uses and a logical connection of destinations within and adjacent to the district.</w:t>
      </w:r>
    </w:p>
    <w:p>
      <w:pPr>
        <w:numPr>
          <w:ilvl w:val="0"/>
          <w:numId w:val="2428"/>
        </w:numPr>
      </w:pPr>
      <w:r>
        <w:t xml:space="preserve">(7) Provide appropriate site and building design standards to create a varied but coherent streetscape.</w:t>
      </w:r>
    </w:p>
    <w:p>
      <w:pPr>
        <w:numPr>
          <w:ilvl w:val="0"/>
          <w:numId w:val="2429"/>
        </w:numPr>
      </w:pPr>
      <w:r>
        <w:t xml:space="preserve">(8) Provide for compatible uses and development densities, including limited residential, commercial, professional service, light industrial/ research, and institutional, as well as recreation and open space.</w:t>
      </w:r>
    </w:p>
    <w:p>
      <w:pPr>
        <w:numPr>
          <w:ilvl w:val="0"/>
          <w:numId w:val="2430"/>
        </w:numPr>
      </w:pPr>
      <w:r>
        <w:t xml:space="preserve">(9) Encourage mixed income residential development with a variety of unit types at densities appropriate for the district and the Town and that is consistent with North Smithfield’s currently approved Affordable Housing Plan.</w:t>
      </w:r>
    </w:p>
    <w:bookmarkEnd w:id="95"/>
    <w:bookmarkStart w:id="96" w:name="sub-districts"/>
    <w:p>
      <w:pPr>
        <w:pStyle w:val="Heading2"/>
      </w:pPr>
      <w:r>
        <w:t xml:space="preserve">§ 12.2. Sub-Districts</w:t>
      </w:r>
    </w:p>
    <w:p>
      <w:pPr>
        <w:pStyle w:val="FirstParagraph"/>
      </w:pPr>
      <w:r>
        <w:t xml:space="preserve">Sec. 12.2. Sub-Districts.</w:t>
      </w:r>
    </w:p>
    <w:p>
      <w:pPr>
        <w:pStyle w:val="BodyText"/>
      </w:pPr>
      <w:r>
        <w:t xml:space="preserve">In addition to the general requirements for development in the MU district established in this Article, there are two (2) sub-districts. Each sub-district shall have the same basic requirements, including procedures for design review and approval. However, permitted uses and dimensional requirements of each sub-district shall vary based on the overall size of the sub-district and the surrounding neighborhood and environment. Development within each sub-district of the MU shall comply with all standards for both the overall district and the sub-district. The following sub-districts are hereby created:</w:t>
      </w:r>
    </w:p>
    <w:p>
      <w:pPr>
        <w:numPr>
          <w:ilvl w:val="0"/>
          <w:numId w:val="2431"/>
        </w:numPr>
      </w:pPr>
      <w:r>
        <w:t xml:space="preserve">(1) MU-1 It is intended to provide for compact, planned mixed use development of a village nature with existing commercial, but not big-box retail, with a mix of small-scale businesses such as restaurants, coffee shops, bookstores, retail shops, and service industries. Buildings along the street should be 2-3 stories in height, with retail on the ground floor and professional offices, studios or residential units on the upper floors.</w:t>
      </w:r>
    </w:p>
    <w:p>
      <w:pPr>
        <w:numPr>
          <w:ilvl w:val="0"/>
          <w:numId w:val="2432"/>
        </w:numPr>
      </w:pPr>
      <w:r>
        <w:t xml:space="preserve">Shared parking lots on the interior of each block should provide parking for surrounding businesses, which should have entrances on both sides of the building for the convenience of customers.</w:t>
      </w:r>
    </w:p>
    <w:p>
      <w:pPr>
        <w:numPr>
          <w:ilvl w:val="0"/>
          <w:numId w:val="2433"/>
        </w:numPr>
      </w:pPr>
      <w:r>
        <w:t xml:space="preserve">(2) MU-2 –This sub-district is intended to provide for compact, planned mixed use light industrial/office/accommodation-type development where buildings are preferred to be clustered, campus-style, around shared open space amenities, with most parking preferred to the side and rear of structures. Innovative design may include public squares and new buildings should be lined up around and connected with sidewalks and landscaped areas. In addition, this sub-district may be applied to adjacent undeveloped and forested areas that are currently open space but have the potential to be developed as secondary phases of growth from the abutting industrial sites.</w:t>
      </w:r>
    </w:p>
    <w:bookmarkEnd w:id="96"/>
    <w:bookmarkStart w:id="97" w:name="applicability"/>
    <w:p>
      <w:pPr>
        <w:pStyle w:val="Heading2"/>
      </w:pPr>
      <w:r>
        <w:t xml:space="preserve">§ 12.3. Applicability</w:t>
      </w:r>
    </w:p>
    <w:p>
      <w:pPr>
        <w:pStyle w:val="FirstParagraph"/>
      </w:pPr>
      <w:r>
        <w:t xml:space="preserve">Sec. 12.3. Applicability.</w:t>
      </w:r>
    </w:p>
    <w:p>
      <w:pPr>
        <w:pStyle w:val="BodyText"/>
      </w:pPr>
      <w:r>
        <w:t xml:space="preserve">Except as otherwise noted, these provisions shall apply to all proposed development in the MU District. All subdivisions and land development projects within the MU, unless granted Preliminary Plan Approval prior to the date of the adoption of this ordinance, shall comply with the provisions of this ordinance.</w:t>
      </w:r>
    </w:p>
    <w:bookmarkEnd w:id="97"/>
    <w:bookmarkStart w:id="98" w:name="procedure-2"/>
    <w:p>
      <w:pPr>
        <w:pStyle w:val="Heading2"/>
      </w:pPr>
      <w:r>
        <w:t xml:space="preserve">§ 12.4. Procedure</w:t>
      </w:r>
    </w:p>
    <w:p>
      <w:pPr>
        <w:pStyle w:val="FirstParagraph"/>
      </w:pPr>
      <w:r>
        <w:t xml:space="preserve">Sec. 12.4. Procedure.</w:t>
      </w:r>
    </w:p>
    <w:p>
      <w:pPr>
        <w:numPr>
          <w:ilvl w:val="0"/>
          <w:numId w:val="2434"/>
        </w:numPr>
      </w:pPr>
      <w:r>
        <w:t xml:space="preserve">(1) The following type of proposals shall be subject to the requirements of Development Plan Review, as set forth in Section 17 of the North Smithfield Zoning Ordinance:</w:t>
      </w:r>
    </w:p>
    <w:p>
      <w:pPr>
        <w:numPr>
          <w:ilvl w:val="0"/>
          <w:numId w:val="2435"/>
        </w:numPr>
      </w:pPr>
      <w:r>
        <w:t xml:space="preserve">a. Projects consistent with the MU Zoning Ordinance in which the size of a lot or lots being developed/redeveloped is 1.5 acres or less and in which a proposed building or buildings are 5,000 GSF or less. Such projects may be reviewed by the Planning Board using the Development Plan Review procedure in Section 17 of the Zoning Ordinance.</w:t>
      </w:r>
    </w:p>
    <w:p>
      <w:pPr>
        <w:pStyle w:val="Compact"/>
        <w:numPr>
          <w:ilvl w:val="0"/>
          <w:numId w:val="2436"/>
        </w:numPr>
      </w:pPr>
    </w:p>
    <w:p>
      <w:pPr>
        <w:numPr>
          <w:ilvl w:val="1"/>
          <w:numId w:val="2437"/>
        </w:numPr>
      </w:pPr>
      <w:r>
        <w:t xml:space="preserve">(2) The following type of proposals shall be subject to the requirements of a Major Land Development Plan Review, as set forth in Article 3 of the North Smithfield Land Development &amp; Subdivision Regulations. Such proposals shall be reviewed and approved by the Planning Board.</w:t>
      </w:r>
    </w:p>
    <w:p>
      <w:pPr>
        <w:numPr>
          <w:ilvl w:val="0"/>
          <w:numId w:val="2438"/>
        </w:numPr>
      </w:pPr>
      <w:r>
        <w:t xml:space="preserve">a. Any new use, change in use, or expansion that contains more than 5,000 GSF of floor area.</w:t>
      </w:r>
    </w:p>
    <w:p>
      <w:pPr>
        <w:numPr>
          <w:ilvl w:val="0"/>
          <w:numId w:val="2439"/>
        </w:numPr>
      </w:pPr>
      <w:r>
        <w:t xml:space="preserve">Any new use, change in use, or expansion being proposed on a lot greater than 1.5 b.</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pPr>
          </w:p>
        </w:tc>
        <w:tc>
          <w:tcPr/>
          <w:p>
            <w:pPr>
              <w:pStyle w:val="Compact"/>
              <w:jc w:val="left"/>
            </w:pPr>
            <w:r>
              <w:t xml:space="preserve">acres.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w:t>
            </w:r>
          </w:p>
        </w:tc>
        <w:tc>
          <w:tcPr/>
          <w:p>
            <w:pPr>
              <w:pStyle w:val="Compact"/>
              <w:jc w:val="left"/>
            </w:pPr>
            <w:r>
              <w:t xml:space="preserve">Any</w:t>
            </w:r>
          </w:p>
        </w:tc>
        <w:tc>
          <w:tcPr/>
          <w:p>
            <w:pPr>
              <w:pStyle w:val="Compact"/>
              <w:jc w:val="left"/>
            </w:pPr>
            <w:r>
              <w:t xml:space="preserve">use approved</w:t>
            </w:r>
          </w:p>
        </w:tc>
        <w:tc>
          <w:tcPr/>
          <w:p>
            <w:pPr>
              <w:pStyle w:val="Compact"/>
              <w:jc w:val="left"/>
            </w:pPr>
            <w:r>
              <w:t xml:space="preserve">under this Article as part of a Land</w:t>
            </w:r>
          </w:p>
        </w:tc>
        <w:tc>
          <w:tcPr/>
          <w:p>
            <w:pPr>
              <w:pStyle w:val="Compact"/>
              <w:jc w:val="left"/>
            </w:pPr>
            <w:r>
              <w:t xml:space="preserve">Development Project before</w:t>
            </w:r>
          </w:p>
        </w:tc>
        <w:tc>
          <w:tcPr/>
          <w:p>
            <w:pPr>
              <w:pStyle w:val="Compact"/>
              <w:jc w:val="left"/>
            </w:pPr>
            <w:r>
              <w:t xml:space="preserve">the</w:t>
            </w:r>
          </w:p>
        </w:tc>
      </w:tr>
      <w:tr>
        <w:tc>
          <w:tcPr/>
          <w:p>
            <w:pPr>
              <w:pStyle w:val="Compact"/>
            </w:pPr>
          </w:p>
        </w:tc>
        <w:tc>
          <w:tcPr/>
          <w:p>
            <w:pPr>
              <w:pStyle w:val="Compact"/>
              <w:jc w:val="left"/>
            </w:pPr>
            <w:r>
              <w:t xml:space="preserve">adoption</w:t>
            </w:r>
          </w:p>
        </w:tc>
        <w:tc>
          <w:tcPr/>
          <w:p>
            <w:pPr>
              <w:pStyle w:val="Compact"/>
              <w:jc w:val="left"/>
            </w:pPr>
            <w:r>
              <w:t xml:space="preserve">of this</w:t>
            </w:r>
          </w:p>
        </w:tc>
        <w:tc>
          <w:tcPr/>
          <w:p>
            <w:pPr>
              <w:pStyle w:val="Compact"/>
              <w:jc w:val="left"/>
            </w:pPr>
            <w:r>
              <w:t xml:space="preserve">ordinance when seeking approval for</w:t>
            </w:r>
          </w:p>
        </w:tc>
        <w:tc>
          <w:tcPr/>
          <w:p>
            <w:pPr>
              <w:pStyle w:val="Compact"/>
              <w:jc w:val="left"/>
            </w:pPr>
            <w:r>
              <w:t xml:space="preserve">an expansion that would in-</w:t>
            </w:r>
          </w:p>
        </w:tc>
        <w:tc>
          <w:tcPr/>
          <w:p>
            <w:pPr>
              <w:pStyle w:val="Compact"/>
            </w:pPr>
          </w:p>
        </w:tc>
      </w:tr>
      <w:tr>
        <w:tc>
          <w:tcPr/>
          <w:p>
            <w:pPr>
              <w:pStyle w:val="Compact"/>
            </w:pPr>
          </w:p>
        </w:tc>
        <w:tc>
          <w:tcPr/>
          <w:p>
            <w:pPr>
              <w:pStyle w:val="Compact"/>
              <w:jc w:val="left"/>
            </w:pPr>
            <w:r>
              <w:t xml:space="preserve">crease</w:t>
            </w:r>
          </w:p>
        </w:tc>
        <w:tc>
          <w:tcPr/>
          <w:p>
            <w:pPr>
              <w:pStyle w:val="Compact"/>
              <w:jc w:val="left"/>
            </w:pPr>
            <w:r>
              <w:t xml:space="preserve">its building</w:t>
            </w:r>
          </w:p>
        </w:tc>
        <w:tc>
          <w:tcPr/>
          <w:p>
            <w:pPr>
              <w:pStyle w:val="Compact"/>
              <w:jc w:val="left"/>
            </w:pPr>
            <w:r>
              <w:t xml:space="preserve">footprint by more than 5,000 GSF.</w:t>
            </w:r>
          </w:p>
        </w:tc>
        <w:tc>
          <w:tcPr/>
          <w:p>
            <w:pPr>
              <w:pStyle w:val="Compact"/>
            </w:pPr>
          </w:p>
        </w:tc>
        <w:tc>
          <w:tcPr/>
          <w:p>
            <w:pPr>
              <w:pStyle w:val="Compact"/>
            </w:pPr>
          </w:p>
        </w:tc>
      </w:tr>
      <w:tr>
        <w:tc>
          <w:tcPr/>
          <w:p>
            <w:pPr>
              <w:pStyle w:val="Compact"/>
              <w:jc w:val="left"/>
            </w:pPr>
            <w:r>
              <w:t xml:space="preserve">jects for to • • • Otherwise, has land (“Regulations”) Projects Approval an pendent of 12.5 Major in multiple Master</w:t>
            </w:r>
          </w:p>
        </w:tc>
        <w:tc>
          <w:tcPr/>
          <w:p>
            <w:pPr>
              <w:pStyle w:val="Compact"/>
              <w:jc w:val="left"/>
            </w:pPr>
            <w:r>
              <w:t xml:space="preserve">However, to such the purpose an no been evidence independently Therefore, individual other Application Land advance individual Plan.</w:t>
            </w:r>
          </w:p>
        </w:tc>
        <w:tc>
          <w:tcPr/>
          <w:p>
            <w:pPr>
              <w:pStyle w:val="Compact"/>
              <w:jc w:val="left"/>
            </w:pPr>
            <w:r>
              <w:t xml:space="preserve">the Planning be reviewed and expansions or Major Land of this Ordinance Development circulation on Where applicable, diversity within Expansion or promote shared building permit granted for a records as developed where Master and Final Plan phase or phases, phases. Development in order to projects in A master plan</w:t>
            </w:r>
          </w:p>
        </w:tc>
        <w:tc>
          <w:tcPr/>
          <w:p>
            <w:pPr>
              <w:pStyle w:val="Compact"/>
              <w:jc w:val="left"/>
            </w:pPr>
            <w:r>
              <w:t xml:space="preserve">Board may grant a waiver to this approved by the streamlined changes in use if an applicant can Development Review process is not and that: activity as part of the expansion or the site or within the district; expansion or change of use the district; change of use is consistent with parking. shall be granted for construction Land Development Project by the provided in the Land Development in accordance with an approved Plan Approval has been granted Approval may be granted at the and construction may commence Plan applications within the MU assure the coordination of development; phases. of all property within the district</w:t>
            </w:r>
          </w:p>
        </w:tc>
        <w:tc>
          <w:tcPr/>
          <w:p>
            <w:pPr>
              <w:pStyle w:val="Compact"/>
              <w:jc w:val="left"/>
            </w:pPr>
            <w:r>
              <w:t xml:space="preserve">requirement and allow such Development Plan Review process establish that strict compliance necessary to achieve the goals change of use enhances pedestri- increases the economic or housing goals to activate the street edge of any structure until Final Planning Board and recorded and Subdivision Regulations Master Plan shall be for a phased project, Preliminary discretion of the Planning on that phase or phases District must be planned concep- even if being proposed that is owned, optioned, under</w:t>
            </w:r>
          </w:p>
        </w:tc>
        <w:tc>
          <w:tcPr/>
          <w:p>
            <w:pPr>
              <w:pStyle w:val="Compact"/>
              <w:jc w:val="left"/>
            </w:pPr>
            <w:r>
              <w:t xml:space="preserve">pro- and or Ap- in encour- Board, inde- as</w:t>
            </w:r>
          </w:p>
        </w:tc>
      </w:tr>
      <w:tr>
        <w:tc>
          <w:tcPr/>
          <w:p>
            <w:pPr>
              <w:pStyle w:val="Compact"/>
              <w:jc w:val="left"/>
            </w:pPr>
            <w:r>
              <w:t xml:space="preserve">agreement, shall be quirements lots, infrastructure, necessary Resource</w:t>
            </w:r>
          </w:p>
        </w:tc>
        <w:tc>
          <w:tcPr/>
          <w:p>
            <w:pPr>
              <w:pStyle w:val="Compact"/>
              <w:jc w:val="left"/>
            </w:pPr>
            <w:r>
              <w:t xml:space="preserve">proposed to</w:t>
            </w:r>
          </w:p>
        </w:tc>
        <w:tc>
          <w:tcPr/>
          <w:p>
            <w:pPr>
              <w:pStyle w:val="Compact"/>
              <w:jc w:val="left"/>
            </w:pPr>
            <w:r>
              <w:t xml:space="preserve">or in any way submitted as part of established in the uses, the environmental review the entire Preservation Plan.</w:t>
            </w:r>
          </w:p>
        </w:tc>
        <w:tc>
          <w:tcPr/>
          <w:p>
            <w:pPr>
              <w:pStyle w:val="Compact"/>
              <w:jc w:val="left"/>
            </w:pPr>
            <w:r>
              <w:t xml:space="preserve">controlled by the applicant, or any the review process. The master Regulations, and shall detail all proposed layout of streets, driveways, features, phases, and any other property as a whole. A Resource Preservation Plan</w:t>
            </w:r>
          </w:p>
        </w:tc>
        <w:tc>
          <w:tcPr/>
          <w:p>
            <w:pPr>
              <w:pStyle w:val="Compact"/>
              <w:jc w:val="left"/>
            </w:pPr>
            <w:r>
              <w:t xml:space="preserve">affiliated entity of the applicant, plan shall conform to the re- existing lots, proposed future parking areas, landscaping, item the Planning Board deems shall be submitted as part of</w:t>
            </w:r>
          </w:p>
        </w:tc>
        <w:tc>
          <w:tcPr/>
          <w:p>
            <w:pPr>
              <w:pStyle w:val="Compact"/>
              <w:jc w:val="left"/>
            </w:pPr>
            <w:r>
              <w:t xml:space="preserve">in the</w:t>
            </w:r>
          </w:p>
        </w:tc>
      </w:tr>
    </w:tbl>
    <w:p>
      <w:pPr>
        <w:pStyle w:val="BodyText"/>
      </w:pPr>
      <w:r>
        <w:t xml:space="preserve">proval the aged.</w:t>
      </w:r>
    </w:p>
    <w:p>
      <w:pPr>
        <w:pStyle w:val="BodyText"/>
      </w:pPr>
      <w:r>
        <w:t xml:space="preserve">Plan for Section All tually (1) (2)</w:t>
      </w:r>
    </w:p>
    <w:p>
      <w:pPr>
        <w:pStyle w:val="BodyText"/>
      </w:pPr>
      <w:r>
        <w:t xml:space="preserve">Master Plan application, setting forth any valuable natural, cultural or historic resources on site, and describing the plans for preserving such resources or mitigating negative impact upon them. Any other resources identified during the site visit shall also be addressed in this Plan and measures to improve upon existing conditions should be identified.</w:t>
      </w:r>
    </w:p>
    <w:p>
      <w:pPr>
        <w:numPr>
          <w:ilvl w:val="0"/>
          <w:numId w:val="2440"/>
        </w:numPr>
      </w:pPr>
      <w:r>
        <w:t xml:space="preserve">(3) Design Standards. All development in the Mixed Use District shall comply with the Design</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t xml:space="preserve">Standards North requirements. are exempt Site Visit.</w:t>
            </w:r>
          </w:p>
        </w:tc>
        <w:tc>
          <w:tcPr/>
          <w:p>
            <w:pPr>
              <w:pStyle w:val="Compact"/>
              <w:jc w:val="left"/>
            </w:pPr>
            <w:r>
              <w:t xml:space="preserve">in Section Smithfield from The</w:t>
            </w:r>
          </w:p>
        </w:tc>
        <w:tc>
          <w:tcPr/>
          <w:p>
            <w:pPr>
              <w:pStyle w:val="Compact"/>
              <w:jc w:val="left"/>
            </w:pPr>
            <w:r>
              <w:t xml:space="preserve">12.10 below and the Site Zoning Ordinance with regard Single and two family homes this requirement. Planning Board shall conduct</w:t>
            </w:r>
          </w:p>
        </w:tc>
      </w:tr>
      <w:tr>
        <w:tc>
          <w:tcPr/>
          <w:p>
            <w:pPr>
              <w:pStyle w:val="Compact"/>
              <w:jc w:val="left"/>
            </w:pPr>
            <w:r>
              <w:t xml:space="preserve">lic as a or Public place as with the Traffic</w:t>
            </w:r>
          </w:p>
        </w:tc>
        <w:tc>
          <w:tcPr/>
          <w:p>
            <w:pPr>
              <w:pStyle w:val="Compact"/>
              <w:jc w:val="left"/>
            </w:pPr>
            <w:r>
              <w:t xml:space="preserve">public Hearing part of applicant Impact</w:t>
            </w:r>
          </w:p>
        </w:tc>
        <w:tc>
          <w:tcPr/>
          <w:p>
            <w:pPr>
              <w:pStyle w:val="Compact"/>
              <w:jc w:val="left"/>
            </w:pPr>
            <w:r>
              <w:t xml:space="preserve">meeting, but not a public hearing, being held. This requirement the Pre-application stage. The to investigate any additional Study and Mitigation Elements.</w:t>
            </w:r>
          </w:p>
        </w:tc>
      </w:tr>
      <w:tr>
        <w:tc>
          <w:tcPr/>
          <w:p>
            <w:pPr>
              <w:pStyle w:val="Compact"/>
              <w:jc w:val="left"/>
            </w:pPr>
            <w:r>
              <w:t xml:space="preserve">more added velopment’s or would study shall Such study culation choice of traffic impacts tation, such Approval</w:t>
            </w:r>
          </w:p>
        </w:tc>
        <w:tc>
          <w:tcPr/>
          <w:p>
            <w:pPr>
              <w:pStyle w:val="Compact"/>
              <w:jc w:val="left"/>
            </w:pPr>
            <w:r>
              <w:t xml:space="preserve">(new) peak require be shall and smart such impacts are significant, standard Period.</w:t>
            </w:r>
          </w:p>
        </w:tc>
        <w:tc>
          <w:tcPr/>
          <w:p>
            <w:pPr>
              <w:pStyle w:val="Compact"/>
              <w:jc w:val="left"/>
            </w:pPr>
            <w:r>
              <w:t xml:space="preserve">vehicle trips per hour during hour according to the latest parking or provides parking submitted as part of Development be conducted by a licensed growth strategies and standards engineer shall be subject to prior revealed, the Planning Board or may apply conditions to practices as off-site roadway Master plan approval shall</w:t>
            </w:r>
          </w:p>
        </w:tc>
      </w:tr>
    </w:tbl>
    <w:p>
      <w:pPr>
        <w:pStyle w:val="BodyText"/>
      </w:pPr>
      <w:r>
        <w:t xml:space="preserve">and Design Standards in Section 17.8 of the to building, landscaping, layout and design existing on the date of adoption of this Article</w:t>
      </w:r>
    </w:p>
    <w:p>
      <w:pPr>
        <w:numPr>
          <w:ilvl w:val="0"/>
          <w:numId w:val="2441"/>
        </w:numPr>
      </w:pPr>
      <w:r>
        <w:t xml:space="preserve">(4) site visit with the applicant, open to the pubprior to the first Public Information Meeting is in addition to any site visits that may take Planning Board shall have access to the site concerns that may arise during the review.</w:t>
      </w:r>
    </w:p>
    <w:p>
      <w:pPr>
        <w:numPr>
          <w:ilvl w:val="0"/>
          <w:numId w:val="2442"/>
        </w:numPr>
      </w:pPr>
      <w:r>
        <w:t xml:space="preserve">(5) For any proposed use that will generate 50 or the adjacent roadway’s peak hour or the deedition of the ITE Trip Generation Handbook, for more than 20 vehicles, a traffic impact Plan Review or the Master Plan Application. professional engineer experienced in traffic cirsuch as shared parking concepts. The approval by the Town Planner. If negative may deny the application if they deem such mitigate the impacts, including without limiand signalization improvements.</w:t>
      </w:r>
    </w:p>
    <w:p>
      <w:pPr>
        <w:numPr>
          <w:ilvl w:val="0"/>
          <w:numId w:val="2443"/>
        </w:numPr>
      </w:pPr>
      <w:r>
        <w:t xml:space="preserve">(6) be valid for a period of two years from the date of Planning Board approval; or such longer period as established in the written approval based on proposed phasing of the development project.</w:t>
      </w:r>
    </w:p>
    <w:bookmarkEnd w:id="98"/>
    <w:bookmarkStart w:id="99" w:name="criteria-for-approval"/>
    <w:p>
      <w:pPr>
        <w:pStyle w:val="Heading2"/>
      </w:pPr>
      <w:r>
        <w:t xml:space="preserve">§ 12.6. Criteria for Approval</w:t>
      </w:r>
    </w:p>
    <w:p>
      <w:pPr>
        <w:pStyle w:val="FirstParagraph"/>
      </w:pPr>
      <w:r>
        <w:t xml:space="preserve">Sec. 12.6. Criteria for Approval.</w:t>
      </w:r>
    </w:p>
    <w:p>
      <w:pPr>
        <w:pStyle w:val="BodyText"/>
      </w:pPr>
      <w:r>
        <w:t xml:space="preserve">The Planning Board shall approve, approve with conditions, or deny the application based on the following criteria:</w:t>
      </w:r>
    </w:p>
    <w:p>
      <w:pPr>
        <w:numPr>
          <w:ilvl w:val="0"/>
          <w:numId w:val="2444"/>
        </w:numPr>
      </w:pPr>
      <w:r>
        <w:t xml:space="preserve">(1) Provides for a mix of uses, including residential and commercial development, and recreation and open space in accordance with Sections G3 and H1 of this Ordinance.</w:t>
      </w:r>
    </w:p>
    <w:p>
      <w:pPr>
        <w:numPr>
          <w:ilvl w:val="0"/>
          <w:numId w:val="2445"/>
        </w:numPr>
      </w:pPr>
      <w:r>
        <w:t xml:space="preserve">(2) Compliance with the Design Standards in Section 17 of the North Smithfield Zoning Ordinance.</w:t>
      </w:r>
    </w:p>
    <w:p>
      <w:pPr>
        <w:numPr>
          <w:ilvl w:val="0"/>
          <w:numId w:val="2446"/>
        </w:numPr>
      </w:pPr>
      <w:r>
        <w:t xml:space="preserve">(3) Provides for safe vehicular access.</w:t>
      </w:r>
    </w:p>
    <w:p>
      <w:pPr>
        <w:numPr>
          <w:ilvl w:val="0"/>
          <w:numId w:val="2447"/>
        </w:numPr>
      </w:pPr>
      <w:r>
        <w:t xml:space="preserve">(4) Creates a pedestrian friendly environment.</w:t>
      </w:r>
    </w:p>
    <w:p>
      <w:pPr>
        <w:numPr>
          <w:ilvl w:val="0"/>
          <w:numId w:val="2448"/>
        </w:numPr>
      </w:pPr>
      <w:r>
        <w:t xml:space="preserve">(5) Provides appropriate connections (pedestrian and/or vehicular) to adjacent development and municipal facilities.</w:t>
      </w:r>
    </w:p>
    <w:p>
      <w:pPr>
        <w:numPr>
          <w:ilvl w:val="0"/>
          <w:numId w:val="2449"/>
        </w:numPr>
      </w:pPr>
      <w:r>
        <w:t xml:space="preserve">(6) Provides useful open space. See comment on open space below</w:t>
      </w:r>
    </w:p>
    <w:p>
      <w:pPr>
        <w:numPr>
          <w:ilvl w:val="0"/>
          <w:numId w:val="1000"/>
        </w:numPr>
      </w:pPr>
      <w:r>
        <w:t xml:space="preserve">(7) Is consistent with the Affordable Housing Plan.</w:t>
      </w:r>
    </w:p>
    <w:p>
      <w:pPr>
        <w:numPr>
          <w:ilvl w:val="0"/>
          <w:numId w:val="2450"/>
        </w:numPr>
      </w:pPr>
      <w:r>
        <w:t xml:space="preserve">(8) Is consistent with the comprehensive plan and the purpose and intent of this district.</w:t>
      </w:r>
    </w:p>
    <w:bookmarkEnd w:id="99"/>
    <w:bookmarkStart w:id="100" w:name="permitted-uses-in-mu1-and-mu2"/>
    <w:p>
      <w:pPr>
        <w:pStyle w:val="Heading2"/>
      </w:pPr>
      <w:r>
        <w:t xml:space="preserve">§ 12.7. Permitted Uses in MU1 and MU2</w:t>
      </w:r>
    </w:p>
    <w:p>
      <w:pPr>
        <w:pStyle w:val="FirstParagraph"/>
      </w:pPr>
      <w:r>
        <w:t xml:space="preserve">Sec. 12.7. Permitted Uses in MU1 and MU2.</w:t>
      </w:r>
    </w:p>
    <w:p>
      <w:pPr>
        <w:numPr>
          <w:ilvl w:val="0"/>
          <w:numId w:val="2451"/>
        </w:numPr>
      </w:pPr>
      <w:r>
        <w:t xml:space="preserve">(1) Mixed Use. More than one permitted use shall be allowed on the same lot and/or within the same building. Permitted uses are established in Section 3.4 District Use Regulations. The provisions of this article shall take precedence over those of other articles that purport to regulate certain specific uses that are otherwise permitted in the MU districts.</w:t>
      </w:r>
    </w:p>
    <w:p>
      <w:pPr>
        <w:numPr>
          <w:ilvl w:val="0"/>
          <w:numId w:val="2452"/>
        </w:numPr>
      </w:pPr>
      <w:r>
        <w:t xml:space="preserve">(2) Noxious Uses. No use shall be permitted which is found to generate unreasonably high traffic volumes, be environmentally unsound or visually objectionable, or is not in character with the desired village character of the district.</w:t>
      </w:r>
    </w:p>
    <w:p>
      <w:pPr>
        <w:numPr>
          <w:ilvl w:val="0"/>
          <w:numId w:val="2453"/>
        </w:numPr>
      </w:pPr>
      <w:r>
        <w:t xml:space="preserve">(3) Mix of Uses. Mixing residential, office and retail uses is encouraged in the MU districts. No specific percentages of use categories will be required under this ordinance. However, in order to achieve the purposes of this ordinance, residential uses will not be permitted on the first or ground floor, except in cases to reasonably achieve handicapped access.</w:t>
      </w:r>
    </w:p>
    <w:p>
      <w:pPr>
        <w:numPr>
          <w:ilvl w:val="0"/>
          <w:numId w:val="2454"/>
        </w:numPr>
      </w:pPr>
      <w:r>
        <w:t xml:space="preserve">A. Residential. Mixed residential/commercial uses are permitted, although residential use is not allowed on any ground floor space facing a street. New single family or two-family dwellings are not permitted. Single and two-family homes existing as of the date of adoption of this ordinance shall be considered conforming uses and may continue to exist and may be expanded or altered subject to the dimensional regulations applicable in the RU-20 zoning district without the need to obtain relief from the Zoning Board of Review.</w:t>
      </w:r>
    </w:p>
    <w:p>
      <w:pPr>
        <w:numPr>
          <w:ilvl w:val="0"/>
          <w:numId w:val="2455"/>
        </w:numPr>
      </w:pPr>
      <w:r>
        <w:t xml:space="preserve">B. Commercial. Allowed uses shall be consistent with the desired purposes of the district such as village centers, which are compact communities that offer basic consumer services and activities for nearby residents. Uses may draw shoppers and employees from the surrounding area, but may not be primary regional shopping centers.</w:t>
      </w:r>
    </w:p>
    <w:p>
      <w:pPr>
        <w:numPr>
          <w:ilvl w:val="0"/>
          <w:numId w:val="2456"/>
        </w:numPr>
      </w:pPr>
      <w:r>
        <w:t xml:space="preserve">C. Industrial. Light industrial uses are permitted as set forth in the use table. Large-scale, heavy industries, including those that produce noxious noise or fumes, or generate intense traffic, are not permitted. Notwithstanding the inherent pedestrian-unfriendly nature of industrial uses, industrial uses shall embrace a village design concept, in keeping with the Design Guidelines.</w:t>
      </w:r>
    </w:p>
    <w:p>
      <w:pPr>
        <w:numPr>
          <w:ilvl w:val="0"/>
          <w:numId w:val="2457"/>
        </w:numPr>
      </w:pPr>
      <w:r>
        <w:t xml:space="preserve">D. Open Space.</w:t>
      </w:r>
    </w:p>
    <w:p>
      <w:pPr>
        <w:pStyle w:val="Compact"/>
        <w:numPr>
          <w:ilvl w:val="0"/>
          <w:numId w:val="2458"/>
        </w:numPr>
      </w:pPr>
    </w:p>
    <w:p>
      <w:pPr>
        <w:numPr>
          <w:ilvl w:val="1"/>
          <w:numId w:val="2459"/>
        </w:numPr>
      </w:pPr>
      <w:r>
        <w:t xml:space="preserve">(1) Ownership. The required open space shall be a separate and distinct lot(s) to which ownership shall be vested in a legally viable entity, which shall be responsible for the use and maintenance of the open space. Ownership of required open space shall be conveyed to one of the following:</w:t>
      </w:r>
    </w:p>
    <w:p>
      <w:pPr>
        <w:pStyle w:val="Compact"/>
        <w:numPr>
          <w:ilvl w:val="0"/>
          <w:numId w:val="2460"/>
        </w:numPr>
      </w:pPr>
    </w:p>
    <w:p>
      <w:pPr>
        <w:numPr>
          <w:ilvl w:val="1"/>
          <w:numId w:val="2461"/>
        </w:numPr>
      </w:pPr>
      <w:r>
        <w:t xml:space="preserve">i. The town (if it is accepted for park, open space, agricultural, or municipal use),</w:t>
      </w:r>
    </w:p>
    <w:p>
      <w:pPr>
        <w:pStyle w:val="Compact"/>
        <w:numPr>
          <w:ilvl w:val="0"/>
          <w:numId w:val="2462"/>
        </w:numPr>
      </w:pPr>
    </w:p>
    <w:p>
      <w:pPr>
        <w:numPr>
          <w:ilvl w:val="1"/>
          <w:numId w:val="2463"/>
        </w:numPr>
      </w:pPr>
      <w:r>
        <w:t xml:space="preserve">ii. A nonprofit organization, the principal purpose of which is the conservation of open space,</w:t>
      </w:r>
    </w:p>
    <w:p>
      <w:pPr>
        <w:pStyle w:val="Compact"/>
        <w:numPr>
          <w:ilvl w:val="0"/>
          <w:numId w:val="2464"/>
        </w:numPr>
      </w:pPr>
    </w:p>
    <w:p>
      <w:pPr>
        <w:numPr>
          <w:ilvl w:val="1"/>
          <w:numId w:val="2465"/>
        </w:numPr>
      </w:pPr>
      <w:r>
        <w:t xml:space="preserve">iii. A corporation, trust, or association owned or to be owned by the owners of lots or units within the development in common, based on percentage as outlined in covenants, or</w:t>
      </w:r>
    </w:p>
    <w:p>
      <w:pPr>
        <w:pStyle w:val="Compact"/>
        <w:numPr>
          <w:ilvl w:val="0"/>
          <w:numId w:val="2466"/>
        </w:numPr>
      </w:pPr>
    </w:p>
    <w:p>
      <w:pPr>
        <w:numPr>
          <w:ilvl w:val="1"/>
          <w:numId w:val="2467"/>
        </w:numPr>
      </w:pPr>
      <w:r>
        <w:t xml:space="preserve">iv. Land in agricultural use at the date of adoption of this ordinance may remain in private agricultural use, provided that a conservation easement to preserve such agricultural use shall be conveyed to one of the entities set forth in sub-sections i. and ii. above.</w:t>
      </w:r>
    </w:p>
    <w:p>
      <w:pPr>
        <w:pStyle w:val="Compact"/>
        <w:numPr>
          <w:ilvl w:val="0"/>
          <w:numId w:val="2468"/>
        </w:numPr>
      </w:pPr>
    </w:p>
    <w:p>
      <w:pPr>
        <w:pStyle w:val="Compact"/>
        <w:numPr>
          <w:ilvl w:val="1"/>
          <w:numId w:val="2469"/>
        </w:numPr>
      </w:pPr>
    </w:p>
    <w:p>
      <w:pPr>
        <w:numPr>
          <w:ilvl w:val="2"/>
          <w:numId w:val="2470"/>
        </w:numPr>
      </w:pPr>
      <w:r>
        <w:t xml:space="preserve">(2) Use. Open space may be used for one or more of the following purposes:</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i. ii. iii. iv. v. shall provisions District. shall based Minimum</w:t>
            </w:r>
          </w:p>
        </w:tc>
        <w:tc>
          <w:tcPr/>
          <w:p>
            <w:pPr>
              <w:pStyle w:val="Compact"/>
              <w:jc w:val="left"/>
            </w:pPr>
            <w:r>
              <w:t xml:space="preserve">ing Density be of be on</w:t>
            </w:r>
          </w:p>
        </w:tc>
        <w:tc>
          <w:tcPr/>
          <w:p>
            <w:pPr>
              <w:pStyle w:val="Compact"/>
              <w:jc w:val="left"/>
            </w:pPr>
            <w:r>
              <w:t xml:space="preserve">Agricultural Conservation Pedestrian include such and Active outdoor idential Buffer areas districts and and regulated Section Single and regulated the total Lot Area</w:t>
            </w:r>
          </w:p>
        </w:tc>
        <w:tc>
          <w:tcPr/>
          <w:p>
            <w:pPr>
              <w:pStyle w:val="Compact"/>
              <w:jc w:val="left"/>
            </w:pPr>
            <w:r>
              <w:t xml:space="preserve">use, and friendly features landscaping. development. between adjacent Dimensional by net 4.1 District two-family by the acreage – There</w:t>
            </w:r>
          </w:p>
        </w:tc>
      </w:tr>
      <w:tr>
        <w:tc>
          <w:tcPr/>
          <w:p>
            <w:pPr>
              <w:pStyle w:val="Compact"/>
              <w:jc w:val="left"/>
            </w:pPr>
            <w:r>
              <w:t xml:space="preserve">made land. any take be used Residential</w:t>
            </w:r>
          </w:p>
        </w:tc>
        <w:tc>
          <w:tcPr/>
          <w:p>
            <w:pPr>
              <w:pStyle w:val="Compact"/>
              <w:jc w:val="left"/>
            </w:pPr>
            <w:r>
              <w:t xml:space="preserve">through size place in</w:t>
            </w:r>
          </w:p>
        </w:tc>
        <w:tc>
          <w:tcPr/>
          <w:p>
            <w:pPr>
              <w:pStyle w:val="Compact"/>
              <w:jc w:val="left"/>
            </w:pPr>
            <w:r>
              <w:t xml:space="preserve">the Development provided on one addition Density</w:t>
            </w:r>
          </w:p>
        </w:tc>
        <w:tc>
          <w:tcPr/>
          <w:p>
            <w:pPr>
              <w:pStyle w:val="Compact"/>
              <w:jc w:val="left"/>
            </w:pPr>
            <w:r>
              <w:t xml:space="preserve">subdivision within that all single lot, to or in Limits</w:t>
            </w:r>
          </w:p>
        </w:tc>
      </w:tr>
    </w:tbl>
    <w:p>
      <w:pPr>
        <w:pStyle w:val="BodyText"/>
      </w:pPr>
      <w:r>
        <w:t xml:space="preserve">including farming or growing crops.</w:t>
      </w:r>
    </w:p>
    <w:p>
      <w:pPr>
        <w:pStyle w:val="BodyText"/>
      </w:pPr>
      <w:r>
        <w:t xml:space="preserve">passive recreation areas. parks, plazas, town green, village commons, etc, designed to as benches, tables, playground equipment, sidewalks, lightrecreation to fulfill the needs for such facilities created by the resdevelopment within the MU districts and between the MU property.</w:t>
      </w:r>
    </w:p>
    <w:bookmarkEnd w:id="100"/>
    <w:bookmarkStart w:id="101" w:name="standards"/>
    <w:p>
      <w:pPr>
        <w:pStyle w:val="Heading2"/>
      </w:pPr>
      <w:r>
        <w:t xml:space="preserve">§ 12.8. Standards</w:t>
      </w:r>
    </w:p>
    <w:p>
      <w:pPr>
        <w:pStyle w:val="FirstParagraph"/>
      </w:pPr>
      <w:r>
        <w:t xml:space="preserve">Sec. 12.8. Standards.</w:t>
      </w:r>
    </w:p>
    <w:p>
      <w:pPr>
        <w:pStyle w:val="BodyText"/>
      </w:pPr>
      <w:r>
        <w:t xml:space="preserve">Density density as well as by the dimensional standards set forth herein.</w:t>
      </w:r>
    </w:p>
    <w:p>
      <w:pPr>
        <w:pStyle w:val="BodyText"/>
      </w:pPr>
      <w:r>
        <w:t xml:space="preserve">The Dimensional Regulations, shall not apply to new uses in the MU homes lawfully existing on the date of adoption of this ordinance dimensional standards of the RU-20 zoning district. Density shall be of land within the area proposed in a master plan.</w:t>
      </w:r>
    </w:p>
    <w:p>
      <w:pPr>
        <w:numPr>
          <w:ilvl w:val="0"/>
          <w:numId w:val="2471"/>
        </w:numPr>
      </w:pPr>
      <w:r>
        <w:t xml:space="preserve">(1) shall be no minimum lot area. However, no lot shall be that is not developable unless it is set aside as conservation a Land Development Project may be subdivided into lots of other requirements of this article are met, or development may or any combination thereof. Condominium ownership may place of individual lots.</w:t>
      </w:r>
    </w:p>
    <w:p>
      <w:pPr>
        <w:numPr>
          <w:ilvl w:val="0"/>
          <w:numId w:val="2472"/>
        </w:numPr>
      </w:pPr>
      <w:r>
        <w:t xml:space="preserve">(2) –Residential density shall be determined by the number of total dwelling units, and the bedroom configuration of such units, within the overall project area, including land dedicated for open space. Rooming units shall include Hotel, Motel and other Transient Residential use units, as well as Residential Care and Assisted Living Facility units. Residential density shall not exceed the following:</w:t>
      </w:r>
    </w:p>
    <w:tbl>
      <w:tblPr>
        <w:tblStyle w:val="Table"/>
        <w:tblW w:type="auto" w:w="0"/>
        <w:jc w:val="left"/>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jc w:val="left"/>
            </w:pPr>
            <w:r>
              <w:t xml:space="preserve">STANDARD</w:t>
            </w:r>
          </w:p>
        </w:tc>
        <w:tc>
          <w:tcPr/>
          <w:p>
            <w:pPr>
              <w:pStyle w:val="Compact"/>
              <w:jc w:val="left"/>
            </w:pPr>
            <w:r>
              <w:t xml:space="preserve">MU -1</w:t>
            </w:r>
          </w:p>
        </w:tc>
        <w:tc>
          <w:tcPr/>
          <w:p>
            <w:pPr>
              <w:pStyle w:val="Compact"/>
              <w:jc w:val="left"/>
            </w:pPr>
            <w:r>
              <w:t xml:space="preserve">MU</w:t>
            </w:r>
          </w:p>
        </w:tc>
        <w:tc>
          <w:tcPr/>
          <w:p>
            <w:pPr>
              <w:pStyle w:val="Compact"/>
              <w:jc w:val="left"/>
            </w:pPr>
            <w:r>
              <w:t xml:space="preserve">– 2</w:t>
            </w:r>
          </w:p>
        </w:tc>
      </w:tr>
      <w:tr>
        <w:tc>
          <w:tcPr/>
          <w:p>
            <w:pPr>
              <w:pStyle w:val="Compact"/>
              <w:jc w:val="left"/>
            </w:pPr>
            <w:r>
              <w:t xml:space="preserve">1.</w:t>
            </w:r>
          </w:p>
        </w:tc>
        <w:tc>
          <w:tcPr/>
          <w:p>
            <w:pPr>
              <w:pStyle w:val="Compact"/>
              <w:jc w:val="left"/>
            </w:pPr>
            <w:r>
              <w:t xml:space="preserve">Dwelling units</w:t>
            </w:r>
          </w:p>
        </w:tc>
        <w:tc>
          <w:tcPr/>
          <w:p>
            <w:pPr>
              <w:pStyle w:val="Compact"/>
              <w:jc w:val="left"/>
            </w:pPr>
            <w:r>
              <w:t xml:space="preserve">2,000 square feet of land area per unit/ 1,000 square feet per bed- room.</w:t>
            </w:r>
          </w:p>
        </w:tc>
        <w:tc>
          <w:tcPr/>
          <w:p>
            <w:pPr>
              <w:pStyle w:val="Compact"/>
              <w:jc w:val="left"/>
            </w:pPr>
            <w:r>
              <w:t xml:space="preserve">N/A</w:t>
            </w:r>
          </w:p>
        </w:tc>
        <w:tc>
          <w:tcPr/>
          <w:p>
            <w:pPr>
              <w:pStyle w:val="Compact"/>
            </w:pPr>
          </w:p>
        </w:tc>
      </w:tr>
      <w:tr>
        <w:tc>
          <w:tcPr/>
          <w:p>
            <w:pPr>
              <w:pStyle w:val="Compact"/>
              <w:jc w:val="left"/>
            </w:pPr>
            <w:r>
              <w:t xml:space="preserve">3.</w:t>
            </w:r>
          </w:p>
        </w:tc>
        <w:tc>
          <w:tcPr/>
          <w:p>
            <w:pPr>
              <w:pStyle w:val="Compact"/>
              <w:jc w:val="left"/>
            </w:pPr>
            <w:r>
              <w:t xml:space="preserve">Rooming Units</w:t>
            </w:r>
          </w:p>
        </w:tc>
        <w:tc>
          <w:tcPr/>
          <w:p>
            <w:pPr>
              <w:pStyle w:val="Compact"/>
              <w:jc w:val="left"/>
            </w:pPr>
            <w:r>
              <w:t xml:space="preserve">1,000 square feet of land area per bed- room.</w:t>
            </w:r>
          </w:p>
        </w:tc>
        <w:tc>
          <w:tcPr/>
          <w:p>
            <w:pPr>
              <w:pStyle w:val="Compact"/>
              <w:jc w:val="left"/>
            </w:pPr>
            <w:r>
              <w:t xml:space="preserve">feet land per</w:t>
            </w:r>
          </w:p>
        </w:tc>
        <w:tc>
          <w:tcPr/>
          <w:p>
            <w:pPr>
              <w:pStyle w:val="Compact"/>
              <w:jc w:val="left"/>
            </w:pPr>
            <w:r>
              <w:t xml:space="preserve">1,000 square of area bed- room.</w:t>
            </w:r>
          </w:p>
        </w:tc>
      </w:tr>
      <w:tr>
        <w:tc>
          <w:tcPr/>
          <w:p>
            <w:pPr>
              <w:pStyle w:val="Compact"/>
              <w:jc w:val="left"/>
            </w:pPr>
            <w:r>
              <w:t xml:space="preserve">5.</w:t>
            </w:r>
          </w:p>
        </w:tc>
        <w:tc>
          <w:tcPr/>
          <w:p>
            <w:pPr>
              <w:pStyle w:val="Compact"/>
              <w:jc w:val="left"/>
            </w:pPr>
            <w:r>
              <w:t xml:space="preserve">Maximum number of dwelling units in any one building</w:t>
            </w:r>
          </w:p>
        </w:tc>
        <w:tc>
          <w:tcPr/>
          <w:p>
            <w:pPr>
              <w:pStyle w:val="Compact"/>
              <w:jc w:val="left"/>
            </w:pPr>
            <w:r>
              <w:t xml:space="preserve">25</w:t>
            </w:r>
          </w:p>
        </w:tc>
        <w:tc>
          <w:tcPr/>
          <w:p>
            <w:pPr>
              <w:pStyle w:val="Compact"/>
              <w:jc w:val="left"/>
            </w:pPr>
            <w:r>
              <w:t xml:space="preserve">N/A</w:t>
            </w:r>
          </w:p>
        </w:tc>
        <w:tc>
          <w:tcPr/>
          <w:p>
            <w:pPr>
              <w:pStyle w:val="Compact"/>
            </w:pPr>
          </w:p>
        </w:tc>
      </w:tr>
      <w:tr>
        <w:tc>
          <w:tcPr/>
          <w:p>
            <w:pPr>
              <w:pStyle w:val="Compact"/>
              <w:jc w:val="left"/>
            </w:pPr>
            <w:r>
              <w:t xml:space="preserve">dining door</w:t>
            </w:r>
          </w:p>
        </w:tc>
        <w:tc>
          <w:tcPr/>
          <w:p>
            <w:pPr>
              <w:pStyle w:val="Compact"/>
              <w:jc w:val="left"/>
            </w:pPr>
            <w:r>
              <w:t xml:space="preserve">Note: Any room per unit, installed. Recreational and General</w:t>
            </w:r>
          </w:p>
        </w:tc>
        <w:tc>
          <w:tcPr/>
          <w:p>
            <w:pPr>
              <w:pStyle w:val="Compact"/>
              <w:jc w:val="left"/>
            </w:pPr>
            <w:r>
              <w:t xml:space="preserve">room other than shall be deemed Density</w:t>
            </w:r>
          </w:p>
        </w:tc>
        <w:tc>
          <w:tcPr/>
          <w:p>
            <w:pPr>
              <w:pStyle w:val="Compact"/>
              <w:jc w:val="left"/>
            </w:pPr>
            <w:r>
              <w:t xml:space="preserve">a to Limits</w:t>
            </w:r>
          </w:p>
        </w:tc>
        <w:tc>
          <w:tcPr/>
          <w:p>
            <w:pPr>
              <w:pStyle w:val="Compact"/>
              <w:jc w:val="left"/>
            </w:pPr>
            <w:r>
              <w:t xml:space="preserve">kitchen, a be a - In any</w:t>
            </w:r>
          </w:p>
        </w:tc>
      </w:tr>
    </w:tbl>
    <w:p>
      <w:pPr>
        <w:pStyle w:val="BodyText"/>
      </w:pPr>
      <w:r>
        <w:t xml:space="preserve">bathroom, and one living room and one bedroom, whether or not such room has a</w:t>
      </w:r>
    </w:p>
    <w:p>
      <w:pPr>
        <w:numPr>
          <w:ilvl w:val="0"/>
          <w:numId w:val="2473"/>
        </w:numPr>
      </w:pPr>
      <w:r>
        <w:t xml:space="preserve">(4) MU district, for any recreational use (such as a motion picture theatre or driving range) that is not explicitly restricted to use by only the residents of the project, or any other use not classified herein, allowable density shall be determined by the Planning Board, based primarily on the traffic impact of such use. The Planning Board shall consider such factors as the number of vehicle trips per day set forth in the most recent edition of the ITE Trip Generation Guidelines, the concentration of such trips in peak hour periods, and the coordination of traffic impacts with other existing and proposed uses in the MU districts.</w:t>
      </w:r>
    </w:p>
    <w:p>
      <w:pPr>
        <w:numPr>
          <w:ilvl w:val="0"/>
          <w:numId w:val="2474"/>
        </w:numPr>
      </w:pPr>
      <w:r>
        <w:t xml:space="preserve">(5) The maximum footprint per building shall be as set forth as follows: No single use (defined as within the same building or within 20 feet of another such use) within any MU Zone shall exceed the following limits of Gross Floor Area (GFA):</w:t>
      </w:r>
    </w:p>
    <w:p>
      <w:pPr>
        <w:numPr>
          <w:ilvl w:val="0"/>
          <w:numId w:val="2475"/>
        </w:numPr>
      </w:pPr>
      <w:r>
        <w:t xml:space="preserve">Use Maximum GFA (sq. ft)</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Section Section The Site</w:t>
            </w:r>
          </w:p>
        </w:tc>
        <w:tc>
          <w:tcPr/>
          <w:p>
            <w:pPr>
              <w:pStyle w:val="Compact"/>
              <w:jc w:val="left"/>
            </w:pPr>
            <w:r>
              <w:t xml:space="preserve">Retail Light 12. 12.10 (1) (2) (3) Design</w:t>
            </w:r>
          </w:p>
        </w:tc>
        <w:tc>
          <w:tcPr/>
          <w:p>
            <w:pPr>
              <w:pStyle w:val="Compact"/>
              <w:jc w:val="left"/>
            </w:pPr>
            <w:r>
              <w:t xml:space="preserve">Restaurant Theatres 9 following The The shall Subject yard</w:t>
            </w:r>
          </w:p>
        </w:tc>
        <w:tc>
          <w:tcPr/>
          <w:p>
            <w:pPr>
              <w:pStyle w:val="Compact"/>
              <w:jc w:val="left"/>
            </w:pPr>
            <w:r>
              <w:t xml:space="preserve">industrial Reserved Design standards maximum minimum be 3 ft. to the setback – In order</w:t>
            </w:r>
          </w:p>
        </w:tc>
        <w:tc>
          <w:tcPr/>
          <w:p>
            <w:pPr>
              <w:pStyle w:val="Compact"/>
              <w:jc w:val="left"/>
            </w:pPr>
            <w:r>
              <w:t xml:space="preserve">and office uses Standards for MU 1 shall apply to new height of any building front yard setback from The maximum setback buffer zone requirement shall be 0ft in the MU-1 to create the desired</w:t>
            </w:r>
          </w:p>
        </w:tc>
        <w:tc>
          <w:tcPr/>
          <w:p>
            <w:pPr>
              <w:pStyle w:val="Compact"/>
              <w:jc w:val="left"/>
            </w:pPr>
            <w:r>
              <w:t xml:space="preserve">10,000 20,000 15,000 150,000 development in the MU in the MU 1 Zone shall public or private road shall be 15ft. in subsection 1 above, Zone and 20 ft in the village-style development</w:t>
            </w:r>
          </w:p>
        </w:tc>
      </w:tr>
      <w:tr>
        <w:tc>
          <w:tcPr/>
          <w:p>
            <w:pPr>
              <w:pStyle w:val="Compact"/>
              <w:jc w:val="left"/>
            </w:pPr>
            <w:r>
              <w:t xml:space="preserve">trict, box-like shall (1)</w:t>
            </w:r>
          </w:p>
        </w:tc>
        <w:tc>
          <w:tcPr/>
          <w:p>
            <w:pPr>
              <w:pStyle w:val="Compact"/>
              <w:jc w:val="left"/>
            </w:pPr>
            <w:r>
              <w:t xml:space="preserve">not detached Building</w:t>
            </w:r>
          </w:p>
        </w:tc>
        <w:tc>
          <w:tcPr/>
          <w:p>
            <w:pPr>
              <w:pStyle w:val="Compact"/>
              <w:jc w:val="left"/>
            </w:pPr>
            <w:r>
              <w:t xml:space="preserve">village-like be</w:t>
            </w:r>
          </w:p>
        </w:tc>
        <w:tc>
          <w:tcPr/>
          <w:p>
            <w:pPr>
              <w:pStyle w:val="Compact"/>
              <w:jc w:val="left"/>
            </w:pPr>
            <w:r>
              <w:t xml:space="preserve">buildings set large, bulky structures. Design -</w:t>
            </w:r>
          </w:p>
        </w:tc>
        <w:tc>
          <w:tcPr/>
          <w:p>
            <w:pPr>
              <w:pStyle w:val="Compact"/>
              <w:jc w:val="left"/>
            </w:pPr>
            <w:r>
              <w:t xml:space="preserve">groupings of small-scale back on a large expanse masses, but shall be</w:t>
            </w:r>
          </w:p>
        </w:tc>
        <w:tc>
          <w:tcPr/>
          <w:p>
            <w:pPr>
              <w:pStyle w:val="Compact"/>
              <w:jc w:val="left"/>
            </w:pPr>
            <w:r>
              <w:t xml:space="preserve">buildings, rather than a large of paved parking is scaled down into groupings</w:t>
            </w:r>
          </w:p>
        </w:tc>
      </w:tr>
    </w:tbl>
    <w:p>
      <w:pPr>
        <w:pStyle w:val="BodyText"/>
      </w:pPr>
      <w:r>
        <w:t xml:space="preserve">District:</w:t>
      </w:r>
    </w:p>
    <w:p>
      <w:pPr>
        <w:pStyle w:val="BodyText"/>
      </w:pPr>
      <w:r>
        <w:t xml:space="preserve">be fifty (50) feet. (right of way/ Property line) the minimum side or rear MU-2 Zone. pattern in the MU-1 Disindividual structure or encouraged. New buildings of smaller attached or (a) Orientation. The principal building shall be oriented on the lot parallel with the front setback line to establish and preserve a consistent building line, with primary entrances oriented toward the street. Where appropriate, a building may be oriented around a courtyard or respond in design to a prominent feature, such as a corner location.</w:t>
      </w:r>
    </w:p>
    <w:p>
      <w:pPr>
        <w:numPr>
          <w:ilvl w:val="0"/>
          <w:numId w:val="2476"/>
        </w:numPr>
      </w:pPr>
      <w:r>
        <w:t xml:space="preserve">(b) Materials.</w:t>
      </w:r>
    </w:p>
    <w:p>
      <w:pPr>
        <w:pStyle w:val="Compact"/>
        <w:numPr>
          <w:ilvl w:val="0"/>
          <w:numId w:val="2477"/>
        </w:numPr>
      </w:pPr>
    </w:p>
    <w:p>
      <w:pPr>
        <w:numPr>
          <w:ilvl w:val="1"/>
          <w:numId w:val="2478"/>
        </w:numPr>
      </w:pPr>
      <w:r>
        <w:t xml:space="preserve">(1) A building’s front façade shall be faced with materials used in traditional New England architecture, such as brick, granite, wood clapboard and shingles and traditional detailing such as substantial cornerboards, window trim, etc.</w:t>
      </w:r>
    </w:p>
    <w:p>
      <w:pPr>
        <w:pStyle w:val="Compact"/>
        <w:numPr>
          <w:ilvl w:val="0"/>
          <w:numId w:val="2479"/>
        </w:numPr>
      </w:pPr>
    </w:p>
    <w:p>
      <w:pPr>
        <w:numPr>
          <w:ilvl w:val="1"/>
          <w:numId w:val="2480"/>
        </w:numPr>
      </w:pPr>
      <w:r>
        <w:t xml:space="preserve">(2) The main elements of the architectural treatment of the building’s front façade, including the materials used, shall be continued around all sides of the building that are visible from a street or a pedestrian plaza.</w:t>
      </w:r>
    </w:p>
    <w:p>
      <w:pPr>
        <w:pStyle w:val="Compact"/>
        <w:numPr>
          <w:ilvl w:val="0"/>
          <w:numId w:val="2481"/>
        </w:numPr>
      </w:pPr>
    </w:p>
    <w:p>
      <w:pPr>
        <w:numPr>
          <w:ilvl w:val="1"/>
          <w:numId w:val="2482"/>
        </w:numPr>
      </w:pPr>
      <w:r>
        <w:t xml:space="preserve">(3) All buildings must be constructed of masonry materials and/or architectural quality steel panels. EFS wall systems are prohibited.</w:t>
      </w:r>
    </w:p>
    <w:p>
      <w:pPr>
        <w:numPr>
          <w:ilvl w:val="0"/>
          <w:numId w:val="2483"/>
        </w:numPr>
      </w:pPr>
      <w:r>
        <w:t xml:space="preserve">(c) Vertical Design. Buildings shall have a vertical orientation, to be achieved in one of the following ways: (1) the building has a greater height than width, or (2) the façades and roof lines of the building are designed to reduce massing and bulk so that it appears as a group of smaller masses with a vertical orientation. Wherever possible, the height of the first floor of a commercial building should be taller than the upper floors and expressed through façade treatments that convey the functional diversity within the building. (1). Maximum building height will be 50 feet. This maximum building height does not include roof mounted heating, ventilation and air conditioning equipment or telecommunication equipment. All equipment that exceeds the 50 feet limitation and/or can be seen from the street or an abutter must be visually hidden using roof mounted architectural screens.</w:t>
      </w:r>
    </w:p>
    <w:p>
      <w:pPr>
        <w:numPr>
          <w:ilvl w:val="0"/>
          <w:numId w:val="2484"/>
        </w:numPr>
      </w:pPr>
      <w:r>
        <w:t xml:space="preserve">(d) Massing. Buildings more than 45 feet in width along the street frontage shall be divided into increments not more than 45 feet wide through articulation of the façade, such as variations in building setbacks, roof lines or materials; window bays; and multiple entrances.</w:t>
      </w:r>
    </w:p>
    <w:p>
      <w:pPr>
        <w:numPr>
          <w:ilvl w:val="0"/>
          <w:numId w:val="2485"/>
        </w:numPr>
      </w:pPr>
      <w:r>
        <w:t xml:space="preserve">(e) Rooflines. Roofs shall be pitched with a minimum slope of 6:12 and a maximum slope of 9:12. The Planning Board may permit a flat roof, provided that the flat roof structure is capped by an articulated parapet design that acts as a structural expression of the building façade and its materials, visible from all sides of the building, or the flat roof structure is a green roof system with green roof plants suited for the local climate. A roof shall, at a minimum, have articulated parapets concealing flat roofs and rooftop equipment (such as HVAC units) which are visible from adjoining streets or properties.</w:t>
      </w:r>
    </w:p>
    <w:p>
      <w:pPr>
        <w:numPr>
          <w:ilvl w:val="0"/>
          <w:numId w:val="2486"/>
        </w:numPr>
      </w:pPr>
      <w:r>
        <w:t xml:space="preserve">(f) Windows and Transparency.</w:t>
      </w:r>
    </w:p>
    <w:p>
      <w:pPr>
        <w:pStyle w:val="Compact"/>
        <w:numPr>
          <w:ilvl w:val="0"/>
          <w:numId w:val="2487"/>
        </w:numPr>
      </w:pPr>
    </w:p>
    <w:p>
      <w:pPr>
        <w:numPr>
          <w:ilvl w:val="1"/>
          <w:numId w:val="2488"/>
        </w:numPr>
      </w:pPr>
      <w:r>
        <w:t xml:space="preserve">(1) For commercial or mixed-use buildings, at least forty (40) percent of any ground floor façade that is visible from, fronting on, and located within sixty (60) feet of an arterial street shall be comprised of windows with clear glass allowing views into the interior. Display windows may be used to meet up to one-half of this requirement.</w:t>
      </w:r>
    </w:p>
    <w:p>
      <w:pPr>
        <w:pStyle w:val="Compact"/>
        <w:numPr>
          <w:ilvl w:val="0"/>
          <w:numId w:val="2489"/>
        </w:numPr>
      </w:pPr>
    </w:p>
    <w:p>
      <w:pPr>
        <w:numPr>
          <w:ilvl w:val="1"/>
          <w:numId w:val="2490"/>
        </w:numPr>
      </w:pPr>
      <w:r>
        <w:t xml:space="preserve">(2) In a commercial or mixed-use building, at least 15 percent of a side or rear façade facing a public right of way, parking area, or open space shall be transparent.</w:t>
      </w:r>
    </w:p>
    <w:p>
      <w:pPr>
        <w:pStyle w:val="Compact"/>
        <w:numPr>
          <w:ilvl w:val="0"/>
          <w:numId w:val="2491"/>
        </w:numPr>
      </w:pPr>
    </w:p>
    <w:p>
      <w:pPr>
        <w:numPr>
          <w:ilvl w:val="1"/>
          <w:numId w:val="2492"/>
        </w:numPr>
      </w:pPr>
      <w:r>
        <w:t xml:space="preserve">(3) Reflective glass, glass tinted more than 40%, and highly reflective surfaces shall not be used on building fronts.</w:t>
      </w:r>
    </w:p>
    <w:p>
      <w:pPr>
        <w:pStyle w:val="Compact"/>
        <w:numPr>
          <w:ilvl w:val="0"/>
          <w:numId w:val="2493"/>
        </w:numPr>
      </w:pPr>
    </w:p>
    <w:p>
      <w:pPr>
        <w:numPr>
          <w:ilvl w:val="1"/>
          <w:numId w:val="2494"/>
        </w:numPr>
      </w:pPr>
      <w:r>
        <w:t xml:space="preserve">(4) Windows on the upper floors of the street façade shall be at least 4 feet tall and 2.5 feet wide, and shall have a ratio of height to width between 1.5:1 and 2:1.</w:t>
      </w:r>
    </w:p>
    <w:p>
      <w:pPr>
        <w:numPr>
          <w:ilvl w:val="0"/>
          <w:numId w:val="2495"/>
        </w:numPr>
      </w:pPr>
      <w:r>
        <w:t xml:space="preserve">(g) Location of Garage Doors. Garage doors or loading docks are prohibited in the front façade of any building facing the street. No detached garage shall be located closer to the front lot line than the front of the principal building or structure on the lot.</w:t>
      </w:r>
    </w:p>
    <w:p>
      <w:pPr>
        <w:numPr>
          <w:ilvl w:val="0"/>
          <w:numId w:val="2496"/>
        </w:numPr>
      </w:pPr>
      <w:r>
        <w:t xml:space="preserve">(h) In the MU districts, for any new construction: • A minimum of 10% of the land area (other than the building footprint) must remain landscaped or natural, designed by a landscape professional.</w:t>
      </w:r>
    </w:p>
    <w:p>
      <w:pPr>
        <w:pStyle w:val="Compact"/>
        <w:numPr>
          <w:ilvl w:val="0"/>
          <w:numId w:val="2497"/>
        </w:numPr>
      </w:pPr>
    </w:p>
    <w:p>
      <w:pPr>
        <w:numPr>
          <w:ilvl w:val="1"/>
          <w:numId w:val="2498"/>
        </w:numPr>
      </w:pPr>
      <w:r>
        <w:t xml:space="preserve">(2) Parking – Generally, parking shall be regulated by the provisions of Sections 6.3 and 6.4 Off Street Parking and Loading Requirements. In the MU-1 Zone, to facilitate the desired village-style development, shared parking and on-street parking may be permitted. Shared parking arrangements may be permitted by the Planning Board for different uses which have different hours, days, and/or seasons of peak parking demand. Onstreet parking may be permitted by the Planning Board for any development within the District. In permitting on-street parking, the Board may require roadway construction standards, including pavement width, which may be reasonably necessary to accommodate on-street parking. If permitted, the number of on-street spaces may be added to the number of off-street spaces for the purpose of calculating minimum parking requirements. The Board may impose conditions required in order to guarantee that on-street parking spaces remain available for parking in the future.</w:t>
      </w:r>
    </w:p>
    <w:p>
      <w:pPr>
        <w:pStyle w:val="Compact"/>
        <w:numPr>
          <w:ilvl w:val="0"/>
          <w:numId w:val="2499"/>
        </w:numPr>
      </w:pPr>
    </w:p>
    <w:p>
      <w:pPr>
        <w:numPr>
          <w:ilvl w:val="1"/>
          <w:numId w:val="2500"/>
        </w:numPr>
      </w:pPr>
      <w:r>
        <w:t xml:space="preserve">(3) Circulation – The design of proposed access, street layouts, and impacts on adjacent public roads, traffic control, existing traffic conditions, and projected traffic generation shall be reviewed by the Planning Board for any application for development within any MU District. Common driveways and shared access that serves more than one property are encouraged. Roads within the MU Districts shall be constructed to the standards for roads established by the Article 5-7 “Standards for the Construction of Public Improvements” in the Regulations. An application may be denied by the Board if the proposal is demonstrated to create a hazardous condition when the traffic to be generated together with existing traffic conditions will adversely impact the safety and/or mobility of the general public.</w:t>
      </w:r>
    </w:p>
    <w:p>
      <w:pPr>
        <w:pStyle w:val="Compact"/>
        <w:numPr>
          <w:ilvl w:val="0"/>
          <w:numId w:val="2501"/>
        </w:numPr>
      </w:pPr>
    </w:p>
    <w:p>
      <w:pPr>
        <w:numPr>
          <w:ilvl w:val="1"/>
          <w:numId w:val="2502"/>
        </w:numPr>
      </w:pPr>
      <w:r>
        <w:t xml:space="preserve">(4) Site Coverage - No more than sixty percent (60%) of the surface area of any lot shall be improved with structures and a minimum of 10% shall be grassed or landscaped.</w:t>
      </w:r>
    </w:p>
    <w:p>
      <w:pPr>
        <w:pStyle w:val="Compact"/>
        <w:numPr>
          <w:ilvl w:val="0"/>
          <w:numId w:val="2503"/>
        </w:numPr>
      </w:pPr>
    </w:p>
    <w:p>
      <w:pPr>
        <w:numPr>
          <w:ilvl w:val="1"/>
          <w:numId w:val="2504"/>
        </w:numPr>
      </w:pPr>
      <w:r>
        <w:t xml:space="preserve">A structure shall include all buildings, outbuildings, or structures or other improvements having a self-supported roof and/or sidewalks.</w:t>
      </w:r>
    </w:p>
    <w:p>
      <w:pPr>
        <w:pStyle w:val="Compact"/>
        <w:numPr>
          <w:ilvl w:val="0"/>
          <w:numId w:val="2505"/>
        </w:numPr>
      </w:pPr>
    </w:p>
    <w:p>
      <w:pPr>
        <w:numPr>
          <w:ilvl w:val="1"/>
          <w:numId w:val="2506"/>
        </w:numPr>
      </w:pPr>
      <w:r>
        <w:t xml:space="preserve">(5) Access – To the extent possible, all new uses as part a master plan shall be provided with vehicular access to an internal network of streets which shall intersect with arterial roads at locations approved by the Planning Board. Subject to the approval of the Board, new uses may also have vehicular access from an existing local road. The number of curb cuts to access the master plan area shall be minimized.</w:t>
      </w:r>
    </w:p>
    <w:p>
      <w:pPr>
        <w:pStyle w:val="Compact"/>
        <w:numPr>
          <w:ilvl w:val="0"/>
          <w:numId w:val="2507"/>
        </w:numPr>
      </w:pPr>
    </w:p>
    <w:p>
      <w:pPr>
        <w:numPr>
          <w:ilvl w:val="1"/>
          <w:numId w:val="2508"/>
        </w:numPr>
      </w:pPr>
      <w:r>
        <w:t xml:space="preserve">(6) Pedestrian Circulation. As part of its review of development within the District, the Planning Board shall require that adequate, safe and attractive pedestrian and/or bicycle circulation be provided. A sidewalk network shall be provided throughout the District that interconnects all dwelling units with other dwelling units, non-residential uses, common open spaces, and with major activity centers adjacent to the District. The Board may require construction of on-site or off-site sidewalks, footpaths or bicycle paths. In particular, pedestrian access shall be provided in residential and retail commercial areas, but pedestrian access for light industrial and institutional development shall be required only if the Planning Board finds that such access is reasonable and necessary for reasons of public safety. Access to off-site areas is required, particularly to permit pedestrian and/or bicycle access to the existing retail areas on arterial roads.</w:t>
      </w:r>
    </w:p>
    <w:p>
      <w:pPr>
        <w:pStyle w:val="Compact"/>
        <w:numPr>
          <w:ilvl w:val="0"/>
          <w:numId w:val="2509"/>
        </w:numPr>
      </w:pPr>
    </w:p>
    <w:p>
      <w:pPr>
        <w:numPr>
          <w:ilvl w:val="1"/>
          <w:numId w:val="2510"/>
        </w:numPr>
      </w:pPr>
      <w:r>
        <w:t xml:space="preserve">(7) Lighting. External light must be directed downwards and be designed to eliminate illumination of adjoining parcels. Wall-pack mounted lighting is prohibited.</w:t>
      </w:r>
    </w:p>
    <w:p>
      <w:pPr>
        <w:pStyle w:val="Compact"/>
        <w:numPr>
          <w:ilvl w:val="0"/>
          <w:numId w:val="2511"/>
        </w:numPr>
      </w:pPr>
    </w:p>
    <w:p>
      <w:pPr>
        <w:numPr>
          <w:ilvl w:val="1"/>
          <w:numId w:val="2512"/>
        </w:numPr>
      </w:pPr>
      <w:r>
        <w:t xml:space="preserve">(8) Signs – Signs shall be governed by Section 6.7, with the following additional</w:t>
      </w:r>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Signage</w:t>
            </w:r>
          </w:p>
        </w:tc>
        <w:tc>
          <w:tcPr/>
          <w:p>
            <w:pPr>
              <w:pStyle w:val="Compact"/>
              <w:jc w:val="left"/>
            </w:pPr>
            <w:r>
              <w:t xml:space="preserve">Plan.</w:t>
            </w:r>
          </w:p>
        </w:tc>
      </w:tr>
      <w:tr>
        <w:tc>
          <w:tcPr/>
          <w:p>
            <w:pPr>
              <w:pStyle w:val="Compact"/>
              <w:jc w:val="left"/>
            </w:pPr>
            <w:r>
              <w:t xml:space="preserve">the</w:t>
            </w:r>
          </w:p>
        </w:tc>
        <w:tc>
          <w:tcPr/>
          <w:p>
            <w:pPr>
              <w:pStyle w:val="Compact"/>
              <w:jc w:val="left"/>
            </w:pPr>
            <w:r>
              <w:t xml:space="preserve">sive uses as supporting and uses, approve Setback</w:t>
            </w:r>
          </w:p>
        </w:tc>
        <w:tc>
          <w:tcPr/>
          <w:p>
            <w:pPr>
              <w:pStyle w:val="Compact"/>
              <w:jc w:val="left"/>
            </w:pPr>
            <w:r>
              <w:t xml:space="preserve">signage part with purposes Signs</w:t>
            </w:r>
          </w:p>
        </w:tc>
      </w:tr>
    </w:tbl>
    <w:p>
      <w:pPr>
        <w:pStyle w:val="BodyText"/>
      </w:pPr>
      <w:r>
        <w:t xml:space="preserve">requirements:</w:t>
      </w:r>
    </w:p>
    <w:p>
      <w:pPr>
        <w:numPr>
          <w:ilvl w:val="0"/>
          <w:numId w:val="2513"/>
        </w:numPr>
      </w:pPr>
      <w:r>
        <w:t xml:space="preserve">i. The Planning Board shall require the submission of a comprehenplan for all uses, individual buildings or complex of buildings and its review. The signage plan shall include conceptual drawings and information describing the proposed signage for all major buildings including entrance signs, directional signs, etc. The Board may approve, conditions or deny such plan as required to achieve consistency with of this Ordinance and the Development Plan Review Guidelines.</w:t>
      </w:r>
    </w:p>
    <w:p>
      <w:pPr>
        <w:numPr>
          <w:ilvl w:val="0"/>
          <w:numId w:val="2514"/>
        </w:numPr>
      </w:pPr>
      <w:r>
        <w:t xml:space="preserve">ii. for any individual buildings and/or uses shall be located and integrated into the building design or traditionally styled hanging signs, and not be located within any required setback, except for permanent signs at major entrances to the development. The Planning Board shall limit the number of such major entrance signs to roads or driveways which provide access to major complexes of uses and buildings within the District, and not to individual uses or buildings. No such major entrance sign shall be permitted for individual uses or buildings. If a multi building development is large enough to warrant a sign, it should be a very low, very horizontal sign integrated into the landscape.</w:t>
      </w:r>
    </w:p>
    <w:p>
      <w:pPr>
        <w:numPr>
          <w:ilvl w:val="0"/>
          <w:numId w:val="2515"/>
        </w:numPr>
      </w:pPr>
      <w:r>
        <w:t xml:space="preserve">iii. No self illuminating signs (Signs to be either gold leaf or individually cut letters).</w:t>
      </w:r>
    </w:p>
    <w:p>
      <w:pPr>
        <w:numPr>
          <w:ilvl w:val="0"/>
          <w:numId w:val="2516"/>
        </w:numPr>
      </w:pPr>
      <w:r>
        <w:t xml:space="preserve">Gooseneck-style lighting is preferred.</w:t>
      </w:r>
    </w:p>
    <w:bookmarkEnd w:id="101"/>
    <w:bookmarkStart w:id="102" w:name="design-standards-for-mu-2"/>
    <w:p>
      <w:pPr>
        <w:pStyle w:val="Heading2"/>
      </w:pPr>
      <w:r>
        <w:t xml:space="preserve">§ 12.11. Design Standards for MU 2</w:t>
      </w:r>
    </w:p>
    <w:p>
      <w:pPr>
        <w:pStyle w:val="FirstParagraph"/>
      </w:pPr>
      <w:r>
        <w:t xml:space="preserve">Sec. 12.11. Design Standards for MU 2.</w:t>
      </w:r>
    </w:p>
    <w:p>
      <w:pPr>
        <w:pStyle w:val="BodyText"/>
      </w:pPr>
      <w:r>
        <w:t xml:space="preserve">The following development standards shall apply to new development in the MU 2 District:</w:t>
      </w:r>
    </w:p>
    <w:p>
      <w:pPr>
        <w:numPr>
          <w:ilvl w:val="0"/>
          <w:numId w:val="2517"/>
        </w:numPr>
      </w:pPr>
      <w:r>
        <w:t xml:space="preserve">(1) Maximum Height. The maximum height of any building in the MU 2 Zone shall be 75 ft.</w:t>
      </w:r>
    </w:p>
    <w:p>
      <w:pPr>
        <w:numPr>
          <w:ilvl w:val="0"/>
          <w:numId w:val="2518"/>
        </w:numPr>
      </w:pPr>
      <w:r>
        <w:t xml:space="preserve">(2) Setback. The minimum front yard setback from public or private road (right of way / property line) shall be 50 ft and minimum side and rear setback shall be 40 ft. The maximum front, side or rear setback shall be 70ft.</w:t>
      </w:r>
    </w:p>
    <w:p>
      <w:pPr>
        <w:numPr>
          <w:ilvl w:val="0"/>
          <w:numId w:val="2519"/>
        </w:numPr>
      </w:pPr>
      <w:r>
        <w:t xml:space="preserve">(3) Exceptions to Setback. The following improvements or parts of improvements are specifically excluded from the setback requirements set forth in section 12.11 (2):</w:t>
      </w:r>
    </w:p>
    <w:p>
      <w:pPr>
        <w:numPr>
          <w:ilvl w:val="0"/>
          <w:numId w:val="2520"/>
        </w:numPr>
      </w:pPr>
      <w:r>
        <w:t xml:space="preserve">a. Steps and walkways,</w:t>
      </w:r>
    </w:p>
    <w:p>
      <w:pPr>
        <w:numPr>
          <w:ilvl w:val="0"/>
          <w:numId w:val="2521"/>
        </w:numPr>
      </w:pPr>
      <w:r>
        <w:t xml:space="preserve">b. Access or service roads,</w:t>
      </w:r>
    </w:p>
    <w:p>
      <w:pPr>
        <w:numPr>
          <w:ilvl w:val="0"/>
          <w:numId w:val="2522"/>
        </w:numPr>
      </w:pPr>
      <w:r>
        <w:t xml:space="preserve">c. Fences, subject to the requirements set forth in Section 12.11 (19).</w:t>
      </w:r>
    </w:p>
    <w:p>
      <w:pPr>
        <w:numPr>
          <w:ilvl w:val="0"/>
          <w:numId w:val="2523"/>
        </w:numPr>
      </w:pPr>
      <w:r>
        <w:t xml:space="preserve">d. Landscaping and irrigation systems,</w:t>
      </w:r>
    </w:p>
    <w:p>
      <w:pPr>
        <w:numPr>
          <w:ilvl w:val="0"/>
          <w:numId w:val="2524"/>
        </w:numPr>
      </w:pPr>
      <w:r>
        <w:t xml:space="preserve">e. Planters,</w:t>
      </w:r>
    </w:p>
    <w:p>
      <w:pPr>
        <w:numPr>
          <w:ilvl w:val="0"/>
          <w:numId w:val="2525"/>
        </w:numPr>
      </w:pPr>
      <w:r>
        <w:t xml:space="preserve">f. Lighting fixtures,</w:t>
      </w:r>
    </w:p>
    <w:p>
      <w:pPr>
        <w:numPr>
          <w:ilvl w:val="0"/>
          <w:numId w:val="2526"/>
        </w:numPr>
      </w:pPr>
      <w:r>
        <w:t xml:space="preserve">g. Underground utilities and sewers, and</w:t>
      </w:r>
    </w:p>
    <w:p>
      <w:pPr>
        <w:numPr>
          <w:ilvl w:val="0"/>
          <w:numId w:val="2527"/>
        </w:numPr>
      </w:pPr>
      <w:r>
        <w:t xml:space="preserve">h. Parking areas.</w:t>
      </w:r>
    </w:p>
    <w:p>
      <w:pPr>
        <w:pStyle w:val="Compact"/>
        <w:numPr>
          <w:ilvl w:val="0"/>
          <w:numId w:val="2528"/>
        </w:numPr>
      </w:pPr>
    </w:p>
    <w:p>
      <w:pPr>
        <w:numPr>
          <w:ilvl w:val="1"/>
          <w:numId w:val="2529"/>
        </w:numPr>
      </w:pPr>
      <w:r>
        <w:t xml:space="preserve">(4) Site Coverage. No more than forty percent (40%) of the surface area of any lot shall be improved with structures. A structure shall include all buildings, outbuildings, or structures or other improvements having a self-supported roof and/or sidewalks.</w:t>
      </w:r>
    </w:p>
    <w:p>
      <w:pPr>
        <w:pStyle w:val="Compact"/>
        <w:numPr>
          <w:ilvl w:val="0"/>
          <w:numId w:val="2530"/>
        </w:numPr>
      </w:pPr>
    </w:p>
    <w:p>
      <w:pPr>
        <w:numPr>
          <w:ilvl w:val="1"/>
          <w:numId w:val="2531"/>
        </w:numPr>
      </w:pPr>
      <w:r>
        <w:t xml:space="preserve">(5) Site Disturbance. The area of site disturbance shall be limited to the extent feasible for the purpose of minimizing damage to tree growth. Disturbance of tree growth should be limited to areas for proposed roadways, parking, building footprint and drainage areas/basins.</w:t>
      </w:r>
    </w:p>
    <w:p>
      <w:pPr>
        <w:pStyle w:val="Compact"/>
        <w:numPr>
          <w:ilvl w:val="0"/>
          <w:numId w:val="2532"/>
        </w:numPr>
      </w:pPr>
    </w:p>
    <w:p>
      <w:pPr>
        <w:numPr>
          <w:ilvl w:val="1"/>
          <w:numId w:val="2533"/>
        </w:numPr>
      </w:pPr>
      <w:r>
        <w:t xml:space="preserve">(6) Landscaping. The area of each lot between any street and any minimum setback line shall be landscaped with a combination of trees, shrubs and other ground cover. All portions of a lot not fronting a street and not used for parking, storage, or buildings shall be landscaped in a complementary and similar manner. No less than twenty percent (20%) of the surface area of any lot shall be devoted to landscaping in keeping with indigenous plant materials. Plantings and grassed areas should be designed to minimize the need for irrigation and to maximize the capacity to withstand drought.</w:t>
      </w:r>
    </w:p>
    <w:p>
      <w:pPr>
        <w:pStyle w:val="Compact"/>
        <w:numPr>
          <w:ilvl w:val="0"/>
          <w:numId w:val="2534"/>
        </w:numPr>
      </w:pPr>
    </w:p>
    <w:p>
      <w:pPr>
        <w:numPr>
          <w:ilvl w:val="1"/>
          <w:numId w:val="2535"/>
        </w:numPr>
      </w:pPr>
      <w:r>
        <w:t xml:space="preserve">(7) Ground Cover. No mulch shall be used unless it is in a bed. Mulch shall not be used as a design element. No gravel or crushed stone shall be used as a ground cover.</w:t>
      </w:r>
    </w:p>
    <w:p>
      <w:pPr>
        <w:pStyle w:val="Compact"/>
        <w:numPr>
          <w:ilvl w:val="0"/>
          <w:numId w:val="2536"/>
        </w:numPr>
      </w:pPr>
    </w:p>
    <w:p>
      <w:pPr>
        <w:numPr>
          <w:ilvl w:val="1"/>
          <w:numId w:val="2537"/>
        </w:numPr>
      </w:pPr>
      <w:r>
        <w:t xml:space="preserve">(8) Irrigation Systems. The use of underground irrigation systems is encouraged. Such irrigation systems should utilize advanced electronic controls to efficiently manage water usage based on environmental conditions such as rainfall, humidity and wind. The collection of stormwater runoff from roofs for landscape irrigation purposes is strongly encouraged.</w:t>
      </w:r>
    </w:p>
    <w:p>
      <w:pPr>
        <w:pStyle w:val="Compact"/>
        <w:numPr>
          <w:ilvl w:val="0"/>
          <w:numId w:val="2538"/>
        </w:numPr>
      </w:pPr>
    </w:p>
    <w:p>
      <w:pPr>
        <w:numPr>
          <w:ilvl w:val="1"/>
          <w:numId w:val="2539"/>
        </w:numPr>
      </w:pPr>
      <w:r>
        <w:t xml:space="preserve">(9) Berms. Use of contoured earth berms are required to buffer parking lots and loading areas that are above grade of the roadway. Parking lots and loading areas that are below grade of the roadway must be buffered using large deciduous trees.</w:t>
      </w:r>
    </w:p>
    <w:p>
      <w:pPr>
        <w:pStyle w:val="Compact"/>
        <w:numPr>
          <w:ilvl w:val="0"/>
          <w:numId w:val="2540"/>
        </w:numPr>
      </w:pPr>
    </w:p>
    <w:p>
      <w:pPr>
        <w:numPr>
          <w:ilvl w:val="1"/>
          <w:numId w:val="2541"/>
        </w:numPr>
      </w:pPr>
      <w:r>
        <w:t xml:space="preserve">(10) Meadow Grass. Use of meadow grass between a building and roadway is prohibited except for areas of severe slope. In areas of severe slope, natural soil erosion and vegetation establishment technologies are highly preferred as alternatives to riprap boulders.</w:t>
      </w:r>
    </w:p>
    <w:p>
      <w:pPr>
        <w:pStyle w:val="Compact"/>
        <w:numPr>
          <w:ilvl w:val="0"/>
          <w:numId w:val="2542"/>
        </w:numPr>
      </w:pPr>
    </w:p>
    <w:p>
      <w:pPr>
        <w:numPr>
          <w:ilvl w:val="1"/>
          <w:numId w:val="2543"/>
        </w:numPr>
      </w:pPr>
      <w:r>
        <w:t xml:space="preserve">(11) Curbs. Use of asphalt berm is prohibited. Cape Cod asphalt berm, concrete or granite curbing shall be required. If Cape Cod berm is used, it must be installed prior to the final course of pavement. Entrance drives must use either concrete or granite curb.</w:t>
      </w:r>
    </w:p>
    <w:p>
      <w:pPr>
        <w:pStyle w:val="Compact"/>
        <w:numPr>
          <w:ilvl w:val="0"/>
          <w:numId w:val="2544"/>
        </w:numPr>
      </w:pPr>
    </w:p>
    <w:p>
      <w:pPr>
        <w:numPr>
          <w:ilvl w:val="1"/>
          <w:numId w:val="2545"/>
        </w:numPr>
      </w:pPr>
      <w:r>
        <w:t xml:space="preserve">(12) Sidewalks. All newly constructed streets in an MU 2 Zone shall include a minimum four (4) ft. wide sidewalk on at least one side of the street. All sidewalks shall include a two (2) ft. minimum tree lawn between the curb and the sidewalk and include deciduous trees planted at fifteen (15) ft. minimum intervals.</w:t>
      </w:r>
    </w:p>
    <w:p>
      <w:pPr>
        <w:pStyle w:val="Compact"/>
        <w:numPr>
          <w:ilvl w:val="0"/>
          <w:numId w:val="2546"/>
        </w:numPr>
      </w:pPr>
    </w:p>
    <w:p>
      <w:pPr>
        <w:numPr>
          <w:ilvl w:val="1"/>
          <w:numId w:val="2547"/>
        </w:numPr>
      </w:pPr>
      <w:r>
        <w:t xml:space="preserve">(13) Parking. Generally, parking shall be regulated by the provisions of Section 6.3 and 6.4 (Off-street Parking and Loading Requirements). Off-street parking adequate to accommodate the parking needs of the owner or occupant and employees and visitors thereof shall be provided by the owner or occupant of each lot. The intent of this provision is to prohibit any on-street parking in the MU 2 Zone. If parking requirements change as the result of a change in the use of a lot or in the number of persons employed by the owner or occupant, additional off-street parking shall be provided so as to satisfy the intent of this section. All parking areas shall conform to the following standards:</w:t>
      </w:r>
    </w:p>
    <w:p>
      <w:pPr>
        <w:numPr>
          <w:ilvl w:val="0"/>
          <w:numId w:val="2548"/>
        </w:numPr>
      </w:pPr>
      <w:r>
        <w:t xml:space="preserve">a. In cases where definition between parking areas are required, heavy timber guard rails are encouraged and tire bumpers are discouraged. Dedicated parking adjacent to the building shall be provided for hybrid and/or electric vehicles, motorcycles and bicycles.</w:t>
      </w:r>
    </w:p>
    <w:p>
      <w:pPr>
        <w:numPr>
          <w:ilvl w:val="0"/>
          <w:numId w:val="2549"/>
        </w:numPr>
      </w:pPr>
      <w:r>
        <w:t xml:space="preserve">b. Lighting of parking lots shall be with fixtures where light is directed down (cut-off fixtures). Use of energy efficient light fixtures as an alternative to HID lights is strongly preferred. Building mounted wall lights (wall packs) are prohibited.</w:t>
      </w:r>
    </w:p>
    <w:p>
      <w:pPr>
        <w:numPr>
          <w:ilvl w:val="0"/>
          <w:numId w:val="2550"/>
        </w:numPr>
      </w:pPr>
      <w:r>
        <w:t xml:space="preserve">c. The perimeter of parking areas shall be landscaped with solid green evergreen plant material so as to screen said areas from view from adjacent streets. Such screening shall extend at least forty-eight (48) inches above the high point of the finished pavement in said parking area.</w:t>
      </w:r>
    </w:p>
    <w:p>
      <w:pPr>
        <w:numPr>
          <w:ilvl w:val="0"/>
          <w:numId w:val="2551"/>
        </w:numPr>
      </w:pPr>
      <w:r>
        <w:t xml:space="preserve">d. If a parking lot contains fifteen (15) or more parking spaces, not less than six percent (6%) of the interior of such parking lot shall be landscaped. The use of landscaped earth berms to accomplish such landscaping is encouraged. Strips between parking bays shall also be landscaped with deciduous trees and ground cover.</w:t>
      </w:r>
    </w:p>
    <w:p>
      <w:pPr>
        <w:pStyle w:val="Compact"/>
        <w:numPr>
          <w:ilvl w:val="0"/>
          <w:numId w:val="2552"/>
        </w:numPr>
      </w:pPr>
    </w:p>
    <w:p>
      <w:pPr>
        <w:numPr>
          <w:ilvl w:val="1"/>
          <w:numId w:val="2553"/>
        </w:numPr>
      </w:pPr>
      <w:r>
        <w:t xml:space="preserve">(14) Storage and Loading Areas. The location of any outside storage, maintenance, and loading areas must be constructed, maintained and used in accordance with the following conditions:</w:t>
      </w:r>
    </w:p>
    <w:p>
      <w:pPr>
        <w:numPr>
          <w:ilvl w:val="0"/>
          <w:numId w:val="2554"/>
        </w:numPr>
      </w:pPr>
      <w:r>
        <w:t xml:space="preserve">a. Outside storage of materials, supplies, or equipment, including trucks or other motor vehicles, shall be permitted only if:</w:t>
      </w:r>
    </w:p>
    <w:p>
      <w:pPr>
        <w:numPr>
          <w:ilvl w:val="0"/>
          <w:numId w:val="2555"/>
        </w:numPr>
      </w:pPr>
      <w:r>
        <w:t xml:space="preserve">i. The material, equipment or objects stored outside are incidental to the activities regularly conducted on the premises.</w:t>
      </w:r>
    </w:p>
    <w:p>
      <w:pPr>
        <w:numPr>
          <w:ilvl w:val="0"/>
          <w:numId w:val="2556"/>
        </w:numPr>
      </w:pPr>
      <w:r>
        <w:t xml:space="preserve">ii. The area devoted to outside storage does not exceed five percent of the gross floor area of the principle structure on the site.</w:t>
      </w:r>
    </w:p>
    <w:p>
      <w:pPr>
        <w:numPr>
          <w:ilvl w:val="0"/>
          <w:numId w:val="2557"/>
        </w:numPr>
      </w:pPr>
      <w:r>
        <w:t xml:space="preserve">iii. The area is screened, and</w:t>
      </w:r>
    </w:p>
    <w:p>
      <w:pPr>
        <w:numPr>
          <w:ilvl w:val="0"/>
          <w:numId w:val="2558"/>
        </w:numPr>
      </w:pPr>
      <w:r>
        <w:t xml:space="preserve">iv. The area is located upon the rear portions of a lot.</w:t>
      </w:r>
    </w:p>
    <w:p>
      <w:pPr>
        <w:numPr>
          <w:ilvl w:val="0"/>
          <w:numId w:val="2559"/>
        </w:numPr>
      </w:pPr>
      <w:r>
        <w:t xml:space="preserve">b. Provisions shall be made on each site for any necessary vehicle loading, and no onstreet vehicle loading shall be permitted.</w:t>
      </w:r>
    </w:p>
    <w:p>
      <w:pPr>
        <w:numPr>
          <w:ilvl w:val="0"/>
          <w:numId w:val="2560"/>
        </w:numPr>
      </w:pPr>
      <w:r>
        <w:t xml:space="preserve">c. Loading dock areas shall be set back, recessed, or screened so as not to be visible from neighboring property or streets, and in no event shall a loading dock be closer than seventy-five (75) feet from a property line fronting upon the street.</w:t>
      </w:r>
    </w:p>
    <w:p>
      <w:pPr>
        <w:pStyle w:val="Compact"/>
        <w:numPr>
          <w:ilvl w:val="0"/>
          <w:numId w:val="2561"/>
        </w:numPr>
      </w:pPr>
    </w:p>
    <w:p>
      <w:pPr>
        <w:numPr>
          <w:ilvl w:val="1"/>
          <w:numId w:val="2562"/>
        </w:numPr>
      </w:pPr>
      <w:r>
        <w:t xml:space="preserve">(15) Refuse Collection Area. All outdoor refuse collection areas shall be enclosed and solidly screened so as not to be visible from neighboring property or streets. No refuse collection area will be permitted between a street and a building.</w:t>
      </w:r>
    </w:p>
    <w:p>
      <w:pPr>
        <w:pStyle w:val="Compact"/>
        <w:numPr>
          <w:ilvl w:val="0"/>
          <w:numId w:val="2563"/>
        </w:numPr>
      </w:pPr>
    </w:p>
    <w:p>
      <w:pPr>
        <w:numPr>
          <w:ilvl w:val="1"/>
          <w:numId w:val="2564"/>
        </w:numPr>
      </w:pPr>
      <w:r>
        <w:t xml:space="preserve">(16) Exterior Building Material. Use of masonry brick for all exterior walls visible from the street(s) is strongly encouraged. All masonry block used must be either scored or accent block. Metal panels on exterior walls are allowed, however, on rear walls and expansion walls. Full metal panel walls are not allowed. Wood on building exterior is prohibited. Exterior Insulation Finish Systems (EIFS) such as Dryvit or Synergy or other EIFS systems shall not be used as the basic building siding material but may be used as accents or soffits under roof overhangs or as the ceiling of canopies only if such EIFS systems are at least six feet above the finished grade.</w:t>
      </w:r>
    </w:p>
    <w:p>
      <w:pPr>
        <w:pStyle w:val="Compact"/>
        <w:numPr>
          <w:ilvl w:val="0"/>
          <w:numId w:val="2565"/>
        </w:numPr>
      </w:pPr>
    </w:p>
    <w:p>
      <w:pPr>
        <w:numPr>
          <w:ilvl w:val="1"/>
          <w:numId w:val="2566"/>
        </w:numPr>
      </w:pPr>
      <w:r>
        <w:t xml:space="preserve">(17) Signage. Signs in the MU 2 Zone shall generally be governed by Section 6-7 with the following additional requirements. No sign shall be allowed other than business park identification signs, information and vehicular control signs, signs identifying the building or the business of the owner or occupant of a lot, signs offering the lot for sale or lease, and temporary development signs. Prohibited signs include billboards, roof signs, A-frame and portable signs, light bulb strings, pennant strings, banners, streamers, spinners, and devices similar in nature, and all moving, flashing, rotating or blinking signs and flags, other than flags of the United States, State of Rhode Island, flag of the owner or occupant, or the countries in which the occupant does business. Wall signs shall not exceed an aggregate of one (1) square foot per linear foot of front wall length, not to exceed sixty (60) square feet. One free-standing sign structure per business identifying the principal use shall be permitted provided that the total area is not greater than forty-three (43) square feet.</w:t>
      </w:r>
    </w:p>
    <w:p>
      <w:pPr>
        <w:pStyle w:val="Compact"/>
        <w:numPr>
          <w:ilvl w:val="0"/>
          <w:numId w:val="2567"/>
        </w:numPr>
      </w:pPr>
    </w:p>
    <w:p>
      <w:pPr>
        <w:numPr>
          <w:ilvl w:val="1"/>
          <w:numId w:val="2568"/>
        </w:numPr>
      </w:pPr>
      <w:r>
        <w:t xml:space="preserve">(18) Exterior Utilities. Placement of all exterior utilities (poles, air conditioning units, transformers) must be located in a manner not to conflict with the main landscape features and must be concealed from view by landscaping or masonry screens.</w:t>
      </w:r>
    </w:p>
    <w:p>
      <w:pPr>
        <w:pStyle w:val="Compact"/>
        <w:numPr>
          <w:ilvl w:val="0"/>
          <w:numId w:val="2569"/>
        </w:numPr>
      </w:pPr>
    </w:p>
    <w:p>
      <w:pPr>
        <w:numPr>
          <w:ilvl w:val="1"/>
          <w:numId w:val="2570"/>
        </w:numPr>
      </w:pPr>
      <w:r>
        <w:t xml:space="preserve">(19) Fencing. No security fencing is allowed on front or side of a building. Fencing may be used for security purposes in back of the building and only if buffered from the street.</w:t>
      </w:r>
    </w:p>
    <w:p>
      <w:pPr>
        <w:pStyle w:val="Compact"/>
        <w:numPr>
          <w:ilvl w:val="0"/>
          <w:numId w:val="2571"/>
        </w:numPr>
      </w:pPr>
    </w:p>
    <w:p>
      <w:pPr>
        <w:numPr>
          <w:ilvl w:val="1"/>
          <w:numId w:val="2572"/>
        </w:numPr>
      </w:pPr>
      <w:r>
        <w:t xml:space="preserve">(20) LEED Certification. All new construction projects are encouraged to be designed in a manner to achieve at least base core and shell LEED (Leadership in Energy and Environmental Design) certification or other recognized rating system. Applying for LEED Certification is not required.</w:t>
      </w:r>
    </w:p>
    <w:p>
      <w:pPr>
        <w:pStyle w:val="Compact"/>
        <w:numPr>
          <w:ilvl w:val="0"/>
          <w:numId w:val="2573"/>
        </w:numPr>
      </w:pPr>
    </w:p>
    <w:p>
      <w:pPr>
        <w:numPr>
          <w:ilvl w:val="1"/>
          <w:numId w:val="2574"/>
        </w:numPr>
      </w:pPr>
      <w:r>
        <w:t xml:space="preserve">(21) Renewable Energy. Use of renewal energy sources such as solar hot water, solar electricity and geothermal heating and air conditioning systems are strongly encouraged.</w:t>
      </w:r>
    </w:p>
    <w:p>
      <w:pPr>
        <w:pStyle w:val="Compact"/>
        <w:numPr>
          <w:ilvl w:val="0"/>
          <w:numId w:val="2575"/>
        </w:numPr>
      </w:pPr>
    </w:p>
    <w:p>
      <w:pPr>
        <w:numPr>
          <w:ilvl w:val="1"/>
          <w:numId w:val="2576"/>
        </w:numPr>
      </w:pPr>
      <w:r>
        <w:t xml:space="preserve">(22) HVAC Equipment and Controls. HVAC designers are strongly encouraged to include comparative enthalpy economizer, demand controlled ventilation, condensing boiler/furnaces, advanced technology burners, Energy Star rated appliances, premium efficient motors, and electronically commutated magnet (ECM) motors in their designs. Utility energy efficiency incentive programs shall be used as a guideline during the design process.</w:t>
      </w:r>
    </w:p>
    <w:bookmarkEnd w:id="102"/>
    <w:bookmarkStart w:id="103" w:name="a.-schedule-of-fees-charges-and-expenses"/>
    <w:p>
      <w:pPr>
        <w:pStyle w:val="Heading1"/>
      </w:pPr>
      <w:r>
        <w:t xml:space="preserve">§ 12A. Schedule of Fees, Charges and Expenses</w:t>
      </w:r>
    </w:p>
    <w:p>
      <w:pPr>
        <w:pStyle w:val="FirstParagraph"/>
      </w:pPr>
      <w:r>
        <w:t xml:space="preserve">SECTION 12A. Schedule of Fees, Charges and Expenses SCHEDULE OF FEES, CHARGES AND EXPENSES</w:t>
      </w:r>
    </w:p>
    <w:bookmarkEnd w:id="103"/>
    <w:bookmarkStart w:id="104" w:name="a.1.-establishing-payment"/>
    <w:p>
      <w:pPr>
        <w:pStyle w:val="Heading2"/>
      </w:pPr>
      <w:r>
        <w:t xml:space="preserve">§ 12A.1. Establishing payment</w:t>
      </w:r>
    </w:p>
    <w:p>
      <w:pPr>
        <w:pStyle w:val="FirstParagraph"/>
      </w:pPr>
      <w:r>
        <w:t xml:space="preserve">Sec. 12A.1. Establishing payment.</w:t>
      </w:r>
    </w:p>
    <w:p>
      <w:pPr>
        <w:pStyle w:val="BodyText"/>
      </w:pPr>
      <w:r>
        <w:t xml:space="preserve">All applicants and appellants shall pay for reasonable fees, in an amount not to exceed actual costs incurred, for the adequate review and hearing of applications, issuance of zoning certificates and the recording of the decisions thereon. The schedule of fees (Appendix A) shall be posted in the office of the Inspector and may be altered or amended only by the Town Council.</w:t>
      </w:r>
    </w:p>
    <w:bookmarkEnd w:id="104"/>
    <w:bookmarkStart w:id="105" w:name="amendments"/>
    <w:p>
      <w:pPr>
        <w:pStyle w:val="Heading1"/>
      </w:pPr>
      <w:r>
        <w:t xml:space="preserve">§ 13. Amendments</w:t>
      </w:r>
    </w:p>
    <w:p>
      <w:pPr>
        <w:pStyle w:val="FirstParagraph"/>
      </w:pPr>
      <w:r>
        <w:t xml:space="preserve">SECTION 13. AMENDMENTS</w:t>
      </w:r>
    </w:p>
    <w:p>
      <w:pPr>
        <w:pStyle w:val="BodyText"/>
      </w:pPr>
      <w:r>
        <w:rPr>
          <w:i/>
          <w:iCs/>
        </w:rPr>
        <w:t xml:space="preserve">[Section 13 is published by the town only as a scanned image (5 pages); the text below is a transcription. The source PDF ends mid-sentence on its final page, as noted at the end of Sec. 13.5.]</w:t>
      </w:r>
    </w:p>
    <w:bookmarkEnd w:id="105"/>
    <w:bookmarkStart w:id="106" w:name="procedure-for-amendments"/>
    <w:p>
      <w:pPr>
        <w:pStyle w:val="Heading2"/>
      </w:pPr>
      <w:r>
        <w:t xml:space="preserve">§ 13.1. Procedure for amendments</w:t>
      </w:r>
    </w:p>
    <w:p>
      <w:pPr>
        <w:pStyle w:val="FirstParagraph"/>
      </w:pPr>
      <w:r>
        <w:t xml:space="preserve">Sec. 13.1. Procedure for amendments.</w:t>
      </w:r>
    </w:p>
    <w:p>
      <w:pPr>
        <w:pStyle w:val="BodyText"/>
      </w:pPr>
      <w:r>
        <w:t xml:space="preserve">The regulations set forth in this ordinance may from time to time be amended or repealed by the Town Council; provided, however, that no such action may be taken until reported on by the North Smithfield Planning Board, which said report shall be made to the Town Council within 45 days from the date the petition is filed with the Town Planner or shall otherwise be deemed to be waived and after a public hearing before the Town Council; at which time, parties in interest and citizens shall have an opportunity to be heard. Petitioners are also subject to review procedures as well as fees established under section 17, Site Plan Review Ordinance and section 18, Soil Erosion and Sediment Control Ordinance, as applicable. Except for Local Historic District applications, any person, group of persons or corporation may initiate such proceedings by paying the filing fee (see Appendix A) and filing the following with the Town Planner for a presubmission conference:</w:t>
      </w:r>
    </w:p>
    <w:p>
      <w:pPr>
        <w:numPr>
          <w:ilvl w:val="0"/>
          <w:numId w:val="2577"/>
        </w:numPr>
      </w:pPr>
      <w:r>
        <w:t xml:space="preserve">(1) Six copies of a written application to the Town Council indicating the provisions of the ordinance under which an amendment is being sought and stating the grounds on which it is requested;</w:t>
      </w:r>
    </w:p>
    <w:p>
      <w:pPr>
        <w:numPr>
          <w:ilvl w:val="0"/>
          <w:numId w:val="2578"/>
        </w:numPr>
      </w:pPr>
      <w:r>
        <w:t xml:space="preserve">(2) Six copies of a site plan to include the following:</w:t>
      </w:r>
    </w:p>
    <w:p>
      <w:pPr>
        <w:pStyle w:val="Compact"/>
        <w:numPr>
          <w:ilvl w:val="0"/>
          <w:numId w:val="2579"/>
        </w:numPr>
      </w:pPr>
    </w:p>
    <w:p>
      <w:pPr>
        <w:numPr>
          <w:ilvl w:val="1"/>
          <w:numId w:val="2580"/>
        </w:numPr>
      </w:pPr>
      <w:r>
        <w:t xml:space="preserve">(a) Name and address of owner(s), name and address of engineer or surveyor, date, north point and scale.</w:t>
      </w:r>
    </w:p>
    <w:p>
      <w:pPr>
        <w:pStyle w:val="Compact"/>
        <w:numPr>
          <w:ilvl w:val="0"/>
          <w:numId w:val="2581"/>
        </w:numPr>
      </w:pPr>
    </w:p>
    <w:p>
      <w:pPr>
        <w:numPr>
          <w:ilvl w:val="1"/>
          <w:numId w:val="2582"/>
        </w:numPr>
      </w:pPr>
      <w:r>
        <w:t xml:space="preserve">(b) Boundary of entire tract and any adjacent or contiguous parcels in the same ownership.</w:t>
      </w:r>
    </w:p>
    <w:p>
      <w:pPr>
        <w:pStyle w:val="Compact"/>
        <w:numPr>
          <w:ilvl w:val="0"/>
          <w:numId w:val="2583"/>
        </w:numPr>
      </w:pPr>
    </w:p>
    <w:p>
      <w:pPr>
        <w:numPr>
          <w:ilvl w:val="1"/>
          <w:numId w:val="2584"/>
        </w:numPr>
      </w:pPr>
      <w:r>
        <w:t xml:space="preserve">(c) Any existing watercourses, railroad and street rights-of-way, utility lines and easements.</w:t>
      </w:r>
    </w:p>
    <w:p>
      <w:pPr>
        <w:pStyle w:val="Compact"/>
        <w:numPr>
          <w:ilvl w:val="0"/>
          <w:numId w:val="2585"/>
        </w:numPr>
      </w:pPr>
    </w:p>
    <w:p>
      <w:pPr>
        <w:numPr>
          <w:ilvl w:val="1"/>
          <w:numId w:val="2586"/>
        </w:numPr>
      </w:pPr>
      <w:r>
        <w:t xml:space="preserve">(d) All building setback lines, easements and rights-of-way. Location and use of all existing and proposed buildings and structures in the development.</w:t>
      </w:r>
    </w:p>
    <w:p>
      <w:pPr>
        <w:pStyle w:val="Compact"/>
        <w:numPr>
          <w:ilvl w:val="0"/>
          <w:numId w:val="2587"/>
        </w:numPr>
      </w:pPr>
    </w:p>
    <w:p>
      <w:pPr>
        <w:numPr>
          <w:ilvl w:val="1"/>
          <w:numId w:val="2588"/>
        </w:numPr>
      </w:pPr>
      <w:r>
        <w:t xml:space="preserve">(e) Detail of adjacent properties (abutters) and public ways as will relate to the subject premises, to the neighborhood and to the street pattern.</w:t>
      </w:r>
    </w:p>
    <w:p>
      <w:pPr>
        <w:pStyle w:val="Compact"/>
        <w:numPr>
          <w:ilvl w:val="0"/>
          <w:numId w:val="2589"/>
        </w:numPr>
      </w:pPr>
    </w:p>
    <w:p>
      <w:pPr>
        <w:numPr>
          <w:ilvl w:val="1"/>
          <w:numId w:val="2590"/>
        </w:numPr>
      </w:pPr>
      <w:r>
        <w:t xml:space="preserve">(f) Existing and proposed contours at intervals no greater than five feet.</w:t>
      </w:r>
    </w:p>
    <w:p>
      <w:pPr>
        <w:pStyle w:val="Compact"/>
        <w:numPr>
          <w:ilvl w:val="0"/>
          <w:numId w:val="2591"/>
        </w:numPr>
      </w:pPr>
    </w:p>
    <w:p>
      <w:pPr>
        <w:numPr>
          <w:ilvl w:val="1"/>
          <w:numId w:val="2592"/>
        </w:numPr>
      </w:pPr>
      <w:r>
        <w:t xml:space="preserve">(g) Building dimensions, indicating exterior of building design and proposed landscaping.</w:t>
      </w:r>
    </w:p>
    <w:p>
      <w:pPr>
        <w:pStyle w:val="Compact"/>
        <w:numPr>
          <w:ilvl w:val="0"/>
          <w:numId w:val="2593"/>
        </w:numPr>
      </w:pPr>
    </w:p>
    <w:p>
      <w:pPr>
        <w:numPr>
          <w:ilvl w:val="1"/>
          <w:numId w:val="2594"/>
        </w:numPr>
      </w:pPr>
      <w:r>
        <w:t xml:space="preserve">(h) Present and proposed locations and designs for ingress, egress, parking, road system and pedestrian circulation.</w:t>
      </w:r>
    </w:p>
    <w:p>
      <w:pPr>
        <w:pStyle w:val="Compact"/>
        <w:numPr>
          <w:ilvl w:val="0"/>
          <w:numId w:val="2595"/>
        </w:numPr>
      </w:pPr>
    </w:p>
    <w:p>
      <w:pPr>
        <w:numPr>
          <w:ilvl w:val="1"/>
          <w:numId w:val="2596"/>
        </w:numPr>
      </w:pPr>
      <w:r>
        <w:t xml:space="preserve">(i) Applicants for a local historic district shall submit:</w:t>
      </w:r>
    </w:p>
    <w:p>
      <w:pPr>
        <w:numPr>
          <w:ilvl w:val="0"/>
          <w:numId w:val="2597"/>
        </w:numPr>
      </w:pPr>
      <w:r>
        <w:t xml:space="preserve">(1) Name and address of owner(s);</w:t>
      </w:r>
    </w:p>
    <w:p>
      <w:pPr>
        <w:numPr>
          <w:ilvl w:val="0"/>
          <w:numId w:val="2598"/>
        </w:numPr>
      </w:pPr>
      <w:r>
        <w:t xml:space="preserve">(2) Boundary of entire tract and any adjacent or contiguous parcels in the same ownership;</w:t>
      </w:r>
    </w:p>
    <w:p>
      <w:pPr>
        <w:numPr>
          <w:ilvl w:val="0"/>
          <w:numId w:val="2599"/>
        </w:numPr>
      </w:pPr>
      <w:r>
        <w:t xml:space="preserve">(3) Location and use of all existing and proposed buildings and structures in the district.</w:t>
      </w:r>
    </w:p>
    <w:p>
      <w:pPr>
        <w:numPr>
          <w:ilvl w:val="0"/>
          <w:numId w:val="2600"/>
        </w:numPr>
      </w:pPr>
      <w:r>
        <w:t xml:space="preserve">(3) Where municipal water and/or municipal sanitary sewers are required by the Zoning Ordinance, written permission for connection into each system shall be submitted from the water and/or sewer commissions upon submission of the application for a zoning amendment.</w:t>
      </w:r>
    </w:p>
    <w:p>
      <w:pPr>
        <w:numPr>
          <w:ilvl w:val="0"/>
          <w:numId w:val="2601"/>
        </w:numPr>
      </w:pPr>
      <w:r>
        <w:t xml:space="preserve">(4) The petitioner will incur all expenses related to advertising and public hearings which are in excess of the filing fee. The Town Planner shall review the proposal and forward comments to the Inspector and forward comments to the Planning Board as well as other reviewing parties. The Planning Board shall then review the proposed amendment and its implications in Town and forward its comments and recommendations to the Town Council within 45 days from the date the petition is filed with the Town Planner. Immediately upon receipt of the Board's written comment and ten copies of the required information set forth in this section, the Town Clerk shall forward a single copy to the members of the Town Council. A filing fee fixed by the Town Council under the provisions of section 12 of this ordinance shall accompany all applications to the Council except those initiated by a person representing the Town or one of its official bodies. The Town Council may, upon motion for passage of a zoning amendment, stipulate that a particular request revert back to the original zone if certain conditions are not met, provided however that a hearing, duly noticed, shall be required.</w:t>
      </w:r>
    </w:p>
    <w:bookmarkEnd w:id="106"/>
    <w:bookmarkStart w:id="107" w:name="general-amendment"/>
    <w:p>
      <w:pPr>
        <w:pStyle w:val="Heading2"/>
      </w:pPr>
      <w:r>
        <w:t xml:space="preserve">§ 13.2. General amendment</w:t>
      </w:r>
    </w:p>
    <w:p>
      <w:pPr>
        <w:pStyle w:val="FirstParagraph"/>
      </w:pPr>
      <w:r>
        <w:t xml:space="preserve">Sec. 13.2. General amendment.</w:t>
      </w:r>
    </w:p>
    <w:p>
      <w:pPr>
        <w:numPr>
          <w:ilvl w:val="0"/>
          <w:numId w:val="2602"/>
        </w:numPr>
      </w:pPr>
      <w:r>
        <w:t xml:space="preserve">(a) No Zoning Ordinance shall be adopted, repealed, or amended until after a public hearing has been held upon the question before the town council. The town council shall first give notice of such public hearing by publication of notice in a newspaper of general circulation within such town at least once each week for three successive weeks prior to the date of such hearing, which may include the week in which the hearing is to be held, at which hearing opportunity shall be given to all persons interested to be heard upon the matter of the proposed ordinance. Written notice, which may be a copy of said newspaper notice, shall be mailed to the associate director of the division of planning of the Rhode Island Department of Administration, and, where applicable, to the parties specified in subsections (b), (c), (d) and (e) of this section, at least two weeks prior to the hearing. Such newspaper notice shall be published as a display advertisement, using a type size at least as large as the normal type size used by the newspaper in its news articles, and shall:</w:t>
      </w:r>
    </w:p>
    <w:p>
      <w:pPr>
        <w:pStyle w:val="Compact"/>
        <w:numPr>
          <w:ilvl w:val="0"/>
          <w:numId w:val="2603"/>
        </w:numPr>
      </w:pPr>
    </w:p>
    <w:p>
      <w:pPr>
        <w:numPr>
          <w:ilvl w:val="1"/>
          <w:numId w:val="2604"/>
        </w:numPr>
      </w:pPr>
      <w:r>
        <w:t xml:space="preserve">(1) Specify the place of said hearing and the date and time of its commencement;</w:t>
      </w:r>
    </w:p>
    <w:p>
      <w:pPr>
        <w:pStyle w:val="Compact"/>
        <w:numPr>
          <w:ilvl w:val="0"/>
          <w:numId w:val="2605"/>
        </w:numPr>
      </w:pPr>
    </w:p>
    <w:p>
      <w:pPr>
        <w:numPr>
          <w:ilvl w:val="1"/>
          <w:numId w:val="2606"/>
        </w:numPr>
      </w:pPr>
      <w:r>
        <w:t xml:space="preserve">(2) Indicate that adoption, amendment or repeal of a Zoning Ordinance is under consideration;</w:t>
      </w:r>
    </w:p>
    <w:p>
      <w:pPr>
        <w:pStyle w:val="Compact"/>
        <w:numPr>
          <w:ilvl w:val="0"/>
          <w:numId w:val="2607"/>
        </w:numPr>
      </w:pPr>
    </w:p>
    <w:p>
      <w:pPr>
        <w:numPr>
          <w:ilvl w:val="1"/>
          <w:numId w:val="2608"/>
        </w:numPr>
      </w:pPr>
      <w:r>
        <w:t xml:space="preserve">(3) Contain a statement of the proposed amendments to the ordinance that may be printed once in its entirety, or summarize or describe the matter under consideration;</w:t>
      </w:r>
    </w:p>
    <w:p>
      <w:pPr>
        <w:pStyle w:val="Compact"/>
        <w:numPr>
          <w:ilvl w:val="0"/>
          <w:numId w:val="2609"/>
        </w:numPr>
      </w:pPr>
    </w:p>
    <w:p>
      <w:pPr>
        <w:numPr>
          <w:ilvl w:val="1"/>
          <w:numId w:val="2610"/>
        </w:numPr>
      </w:pPr>
      <w:r>
        <w:t xml:space="preserve">(4) Advise those interested where and when a copy of the matter under consideration may be obtained or examined and copied; and</w:t>
      </w:r>
    </w:p>
    <w:p>
      <w:pPr>
        <w:numPr>
          <w:ilvl w:val="1"/>
          <w:numId w:val="1000"/>
        </w:numPr>
      </w:pPr>
      <w:r>
        <w:t xml:space="preserve">(5) State that the proposals shown thereon may be altered or amended prior to the close of the public hearing without further advertising, as a result of further study or because of the views expressed at the public hearing. Any such alteration or amendment must be presented for comment in the course of said hearing.</w:t>
      </w:r>
    </w:p>
    <w:p>
      <w:pPr>
        <w:numPr>
          <w:ilvl w:val="0"/>
          <w:numId w:val="2611"/>
        </w:numPr>
      </w:pPr>
      <w:r>
        <w:t xml:space="preserve">(b) Where a proposed general amendment to an existing Zoning Ordinance includes changes in an existing zoning map, public notice shall be given as required by subsection (a) of this section.</w:t>
      </w:r>
    </w:p>
    <w:p>
      <w:pPr>
        <w:numPr>
          <w:ilvl w:val="0"/>
          <w:numId w:val="2612"/>
        </w:numPr>
      </w:pPr>
      <w:r>
        <w:t xml:space="preserve">(c) Where a proposed amendment to an existing ordinance includes a specific change in a zoning district map but does not affect districts generally, public notice shall be given as required by subsection (a) of this section, with the additional requirements that:</w:t>
      </w:r>
    </w:p>
    <w:p>
      <w:pPr>
        <w:pStyle w:val="Compact"/>
        <w:numPr>
          <w:ilvl w:val="0"/>
          <w:numId w:val="2613"/>
        </w:numPr>
      </w:pPr>
    </w:p>
    <w:p>
      <w:pPr>
        <w:numPr>
          <w:ilvl w:val="1"/>
          <w:numId w:val="2614"/>
        </w:numPr>
      </w:pPr>
      <w:r>
        <w:t xml:space="preserve">(1) Notice shall include a map showing the existing and proposed boundaries, zoning district boundaries, and existing streets and roads and their names, and Town boundaries where appropriate; and</w:t>
      </w:r>
    </w:p>
    <w:p>
      <w:pPr>
        <w:numPr>
          <w:ilvl w:val="1"/>
          <w:numId w:val="1000"/>
        </w:numPr>
      </w:pPr>
      <w:r>
        <w:t xml:space="preserve">(2) Written notice of the date, time and place of the public hearing and the nature and purpose thereof shall be sent to all owners of real property whose property is located in or within not less than one thousand (1000) feet of their perimeter of the area proposed for change, whether within the town or within an adjacent city or town. For proposed Local Historic Districts, property owners within not less than two hundred feet (200') of the boundary of the area proposed for change shall be notified.</w:t>
      </w:r>
    </w:p>
    <w:p>
      <w:pPr>
        <w:numPr>
          <w:ilvl w:val="0"/>
          <w:numId w:val="2615"/>
        </w:numPr>
      </w:pPr>
      <w:r>
        <w:t xml:space="preserve">(d) Notice of a public hearing shall be sent by certified mail, return receipt requested, to the city or town council of any city or town to which one or more of the following pertain:</w:t>
      </w:r>
    </w:p>
    <w:p>
      <w:pPr>
        <w:pStyle w:val="Compact"/>
        <w:numPr>
          <w:ilvl w:val="0"/>
          <w:numId w:val="2616"/>
        </w:numPr>
      </w:pPr>
    </w:p>
    <w:p>
      <w:pPr>
        <w:numPr>
          <w:ilvl w:val="1"/>
          <w:numId w:val="2617"/>
        </w:numPr>
      </w:pPr>
      <w:r>
        <w:t xml:space="preserve">(1) Which is located in or within not less than one thousand (1000) feet of the boundary of the area proposed for change; or for proposed local historic districts, notice of public hearing shall be by first class mail to property owners within two hundred feet (200') of the property boundary line; or</w:t>
      </w:r>
    </w:p>
    <w:p>
      <w:pPr>
        <w:numPr>
          <w:ilvl w:val="1"/>
          <w:numId w:val="1000"/>
        </w:numPr>
      </w:pPr>
      <w:r>
        <w:t xml:space="preserve">(2) Where there is a public or quasi-public water source, or private water source that is used or is suitable for use as a public water source, within two thousand (2,000) feet of any real property that is the subject of a proposed zoning change, regardless of municipal boundaries.</w:t>
      </w:r>
    </w:p>
    <w:p>
      <w:pPr>
        <w:numPr>
          <w:ilvl w:val="0"/>
          <w:numId w:val="2618"/>
        </w:numPr>
      </w:pPr>
      <w:r>
        <w:t xml:space="preserve">(e) 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2,000 feet of any real property which is the subject of a proposed zoning change, provided, however, that the governing body of any state or municipal water department or agency, special water district or private water company has filed with the inspector in the town a map survey, which shall be kept as a public record, showing areas of surface water resources and/or watersheds and parcels of land within 2,000 feet thereof.</w:t>
      </w:r>
    </w:p>
    <w:p>
      <w:pPr>
        <w:numPr>
          <w:ilvl w:val="0"/>
          <w:numId w:val="2619"/>
        </w:numPr>
      </w:pPr>
      <w:r>
        <w:t xml:space="preserve">(f) No defect in the form of any notice under this section shall render any ordinance or amendment invalid, unless such defect is found to be intentional or misleading.</w:t>
      </w:r>
    </w:p>
    <w:p>
      <w:pPr>
        <w:numPr>
          <w:ilvl w:val="0"/>
          <w:numId w:val="2620"/>
        </w:numPr>
      </w:pPr>
      <w:r>
        <w:t xml:space="preserve">(g) Cost of any notice required under this section shall be borne by the applicant.</w:t>
      </w:r>
    </w:p>
    <w:p>
      <w:pPr>
        <w:numPr>
          <w:ilvl w:val="0"/>
          <w:numId w:val="2621"/>
        </w:numPr>
      </w:pPr>
      <w:r>
        <w:t xml:space="preserve">(h) In granting a Zoning Ordinance amendment, notwithstanding the provisions of R.I.G.L. 45-24-37, the town council may limit the change to one or more of the permitted uses in the zone to which the subject land is rezoned, and impose such limitations, conditions and restrictions, including without limitation:</w:t>
      </w:r>
    </w:p>
    <w:p>
      <w:pPr>
        <w:pStyle w:val="Compact"/>
        <w:numPr>
          <w:ilvl w:val="0"/>
          <w:numId w:val="2622"/>
        </w:numPr>
      </w:pPr>
    </w:p>
    <w:p>
      <w:pPr>
        <w:numPr>
          <w:ilvl w:val="1"/>
          <w:numId w:val="2623"/>
        </w:numPr>
      </w:pPr>
      <w:r>
        <w:t xml:space="preserve">(1) Requiring the petitioner to obtain a permit or approval from any and all state or local governmental agencies or instrumentalities having jurisdiction over the land and use which are the subject of the zoning change;</w:t>
      </w:r>
    </w:p>
    <w:p>
      <w:pPr>
        <w:pStyle w:val="Compact"/>
        <w:numPr>
          <w:ilvl w:val="0"/>
          <w:numId w:val="2624"/>
        </w:numPr>
      </w:pPr>
    </w:p>
    <w:p>
      <w:pPr>
        <w:numPr>
          <w:ilvl w:val="1"/>
          <w:numId w:val="2625"/>
        </w:numPr>
      </w:pPr>
      <w:r>
        <w:t xml:space="preserve">(2) Relating to the effectiveness or continued effectiveness of the zoning change; and/or</w:t>
      </w:r>
    </w:p>
    <w:p>
      <w:pPr>
        <w:numPr>
          <w:ilvl w:val="1"/>
          <w:numId w:val="1000"/>
        </w:numPr>
      </w:pPr>
      <w:r>
        <w:t xml:space="preserve">(3) Relating to the use of the land as it deems necessary. The responsible town official shall cause the limitations and conditions so imposed to be clearly noted on the zoning map and recorded in the land evidence records, provided, however, in the case of a conditional zone change,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Town Council may, after a duly noticed public hearing as hereinbefore set forth, change the land to its original zoning use before such petition was filed. If any limitation, condition, or restriction in an ordinance is held to be invalid by a court in any action, that holding shall not cause the remainder of the ordinance to be invalid.</w:t>
      </w:r>
    </w:p>
    <w:p>
      <w:pPr>
        <w:numPr>
          <w:ilvl w:val="0"/>
          <w:numId w:val="2626"/>
        </w:numPr>
      </w:pPr>
      <w:r>
        <w:t xml:space="preserve">(i) The above requirements are to be construed as minimum requirements.</w:t>
      </w:r>
    </w:p>
    <w:bookmarkEnd w:id="107"/>
    <w:bookmarkStart w:id="108" w:name="repetitive-petitions-1"/>
    <w:p>
      <w:pPr>
        <w:pStyle w:val="Heading2"/>
      </w:pPr>
      <w:r>
        <w:t xml:space="preserve">§ 13.3. Repetitive petitions</w:t>
      </w:r>
    </w:p>
    <w:p>
      <w:pPr>
        <w:pStyle w:val="FirstParagraph"/>
      </w:pPr>
      <w:r>
        <w:t xml:space="preserve">Sec. 13.3. Repetitive petitions.</w:t>
      </w:r>
    </w:p>
    <w:p>
      <w:pPr>
        <w:pStyle w:val="BodyText"/>
      </w:pPr>
      <w:r>
        <w:t xml:space="preserve">Where the town council denies a petition of specific amendment to the Zoning Ordinance or zoning map or otherwise rules against any applicant on other than procedural grounds, the town council may not consider another application requesting any or all of the same specific amendments for the same property except:</w:t>
      </w:r>
    </w:p>
    <w:p>
      <w:pPr>
        <w:numPr>
          <w:ilvl w:val="0"/>
          <w:numId w:val="2627"/>
        </w:numPr>
      </w:pPr>
      <w:r>
        <w:t xml:space="preserve">(a) Where ordered to do so by a court of competent jurisdiction;</w:t>
      </w:r>
    </w:p>
    <w:p>
      <w:pPr>
        <w:numPr>
          <w:ilvl w:val="0"/>
          <w:numId w:val="2628"/>
        </w:numPr>
      </w:pPr>
      <w:r>
        <w:t xml:space="preserve">(b) Or where, after six months of the date of such denial or withdrawal, the application is accompanied by an affidavit setting forth facts, to the satisfaction of said town council, showing a substantial change of circumstances justifying a rehearing.</w:t>
      </w:r>
    </w:p>
    <w:bookmarkEnd w:id="108"/>
    <w:bookmarkStart w:id="109" w:name="vested-rights-1"/>
    <w:p>
      <w:pPr>
        <w:pStyle w:val="Heading2"/>
      </w:pPr>
      <w:r>
        <w:t xml:space="preserve">§ 13.4. Vested rights</w:t>
      </w:r>
    </w:p>
    <w:p>
      <w:pPr>
        <w:pStyle w:val="FirstParagraph"/>
      </w:pPr>
      <w:r>
        <w:t xml:space="preserve">Sec. 13.4. Vested rights.</w:t>
      </w:r>
    </w:p>
    <w:p>
      <w:pPr>
        <w:pStyle w:val="BodyText"/>
      </w:pPr>
      <w:r>
        <w:t xml:space="preserve">Upon planning board review of a project and written decision setting forth their recommendation, the town council shall deem an application for amendment substantially complete. The Zoning Ordinance of 1973 (as amended to date) will apply to the project, even if at some later date, but prior to the project receiving complete or final approval, the Zoning Ordinance and/or zoning map is changed.</w:t>
      </w:r>
    </w:p>
    <w:bookmarkEnd w:id="109"/>
    <w:bookmarkStart w:id="110" w:name="X9f1624ea7743faa85d8bf7232ca560a9e9fe25e"/>
    <w:p>
      <w:pPr>
        <w:pStyle w:val="Heading2"/>
      </w:pPr>
      <w:r>
        <w:t xml:space="preserve">§ 13.5. Appeal of enactment of or amendment to Zoning Ordinance</w:t>
      </w:r>
    </w:p>
    <w:p>
      <w:pPr>
        <w:pStyle w:val="FirstParagraph"/>
      </w:pPr>
      <w:r>
        <w:t xml:space="preserve">Sec. 13.5. Appeal of enactment of or amendment to Zoning Ordinance.</w:t>
      </w:r>
    </w:p>
    <w:p>
      <w:pPr>
        <w:pStyle w:val="BodyText"/>
      </w:pPr>
      <w:r>
        <w:t xml:space="preserve">An appeal of an enactment of or an amendment to [the] Zoning Ordinance may be taken to the superior court for the county in which the municipality is situated by filing a complaint as set forth herein within 30 days after such enactment, or amendment has become effective. Such appeal may be taken by an aggrieved party or by any legal resident or landowner of the town or by any association of residents or landowners of the town. The appeal shall not stay the enforcement of the Zoning Ordinance, as enacted or amended, but the court may, in its discretion, grant a stay on appropriate terms, which may include the filing of a bond, and make such other orders as it deems necessary for an equitable disposition of the appeal. The complaint shall set forth with specificity the area or areas in which the enactment or amendment does not conform with the comprehensive plan and/or the manner in which it constitutes a taking of private property without just compensation. The review shall be conducted by the court without a jury. The court shall first consider whether the enactment or amendment of the Zoning Ordinance is in conformance with the comprehensive plan. If the enactment or amendment is not in conformance with the comprehensive plan, then the court shall invalidate the enactment or the amendment, or those parts of such enactment or amendment which are not in conformance with the comprehensive plan. The court shall not revise the ordinance to conform with the comprehensive plan but may suggest appropriate language as part of the court decision. In the case of an aggrieved party where the court has found that the enactment or amendment of the Zoning Ordinance is in conformance with the comprehensive plan, then the court shall next determine whether the enactment or amendment works as a taking of property from the aggrieved party. If the court determines that there has been a taking, the court shall remand the case to the town council, with its findings that a taking has occurred, and order the town to either provide just compensation or rescind such enactment or amendment within 30 days. The superior court shall retain jurisdiction, in the event that the aggrieved party and the town do not agree on the amount of compensation, in which case the superior court shall hold further hearings to determine such compensation and award same. Furthermore, the superior court shall retain jurisdiction to determine the amount of an award of compensation for any temporary taking, if the same shall exist. The court may in its discretion, upon motion of the parties or on its own motion, award reasonable attorney's fees to any party to an appeal as set forth herein, including the town [the town's scanned PDF ends mid-sentence here].</w:t>
      </w:r>
    </w:p>
    <w:bookmarkEnd w:id="110"/>
    <w:bookmarkStart w:id="111" w:name="Xe96c2f38cce6c603f340e2a7647c5ce6ca93901"/>
    <w:p>
      <w:pPr>
        <w:pStyle w:val="Heading1"/>
      </w:pPr>
      <w:r>
        <w:t xml:space="preserve">§ 14. Provisions of Ordinance Declared to Be Minimum Requirements</w:t>
      </w:r>
    </w:p>
    <w:p>
      <w:pPr>
        <w:pStyle w:val="FirstParagraph"/>
      </w:pPr>
      <w:r>
        <w:t xml:space="preserve">SECTION 14. Provisions of Ordinance Declared to Be Minimum Requirements PROVISIONS OF ORDINANCE DECLARED TO BE MINIMUM REQUIREMENTS</w:t>
      </w:r>
    </w:p>
    <w:bookmarkEnd w:id="111"/>
    <w:bookmarkStart w:id="112" w:name="interpretation-application-conflict"/>
    <w:p>
      <w:pPr>
        <w:pStyle w:val="Heading2"/>
      </w:pPr>
      <w:r>
        <w:t xml:space="preserve">§ 14.1. Interpretation; application; conflict</w:t>
      </w:r>
    </w:p>
    <w:p>
      <w:pPr>
        <w:pStyle w:val="FirstParagraph"/>
      </w:pPr>
      <w:r>
        <w:t xml:space="preserve">Sec. 14.1. Interpretation; application; conflict.</w:t>
      </w:r>
    </w:p>
    <w:p>
      <w:pPr>
        <w:pStyle w:val="BodyText"/>
      </w:pPr>
      <w:r>
        <w:t xml:space="preserve">In their interpretation and application, the provisions of this ordinance shall be held to be minimum requirements, adopted for the maintenance of the public health, safety, morals, or general welfare. Wherever the requirements of this ordinance disagree with the requirements of any other lawfully adopted rules, regulations, ordinances, deed restrictions, or covenants, the most restrictive or that imposing the higher standards, shall govern.</w:t>
      </w:r>
    </w:p>
    <w:bookmarkEnd w:id="112"/>
    <w:bookmarkStart w:id="113" w:name="complaints-regarding-violations"/>
    <w:p>
      <w:pPr>
        <w:pStyle w:val="Heading1"/>
      </w:pPr>
      <w:r>
        <w:t xml:space="preserve">§ 15. Complaints Regarding Violations</w:t>
      </w:r>
    </w:p>
    <w:p>
      <w:pPr>
        <w:pStyle w:val="FirstParagraph"/>
      </w:pPr>
      <w:r>
        <w:t xml:space="preserve">SECTION 15. Complaints Regarding Violations COMPLAINTS REGARDING VIOLATIONS</w:t>
      </w:r>
    </w:p>
    <w:bookmarkEnd w:id="113"/>
    <w:bookmarkStart w:id="114" w:name="procedure-3"/>
    <w:p>
      <w:pPr>
        <w:pStyle w:val="Heading2"/>
      </w:pPr>
      <w:r>
        <w:t xml:space="preserve">§ 15.1. Procedure</w:t>
      </w:r>
    </w:p>
    <w:p>
      <w:pPr>
        <w:pStyle w:val="FirstParagraph"/>
      </w:pPr>
      <w:r>
        <w:t xml:space="preserve">Sec. 15.1. Procedure.</w:t>
      </w:r>
    </w:p>
    <w:p>
      <w:pPr>
        <w:pStyle w:val="BodyText"/>
      </w:pPr>
      <w:r>
        <w:t xml:space="preserve">Whenever a violation of this ordinance occurs, or is alleged to have occurred, any person may file a written complaint with the Zoning Enforcement Officer. Such complaint shall be in writing and shall state fully the cause and basis for the complaint. The Zoning Enforcement Officer shall properly record the complaint, immediately investigate, taking action as needed thereon as provided by this ordinance. Within 14 days of the date the complaint was recorded, the inspector shall notify the complainant in writing of his findings and/or determinations. The complainant’s personal information shall remain confidential and shall not be divulged to the complainee, or any other person (including town employees and elected officials) without written authorization of the complainant as part of the original formal written complaint.</w:t>
      </w:r>
    </w:p>
    <w:bookmarkEnd w:id="114"/>
    <w:bookmarkStart w:id="115" w:name="Xb1dee4eb15ecea2c4cb7604668fe1ed23a9e3f6"/>
    <w:p>
      <w:pPr>
        <w:pStyle w:val="Heading2"/>
      </w:pPr>
      <w:r>
        <w:t xml:space="preserve">§ 15.2. Notice of violation and response to violations</w:t>
      </w:r>
    </w:p>
    <w:p>
      <w:pPr>
        <w:pStyle w:val="FirstParagraph"/>
      </w:pPr>
      <w:r>
        <w:t xml:space="preserve">Sec. 15.2. Notice of violation and response to violations.</w:t>
      </w:r>
    </w:p>
    <w:p>
      <w:pPr>
        <w:pStyle w:val="BodyText"/>
      </w:pPr>
      <w:r>
        <w:t xml:space="preserve">Any person or corporation having received a notice of violation, shall have 30 days to respond. If no response is received within 30 days the zoning inspector shall forward the matter to the town solicitor for further action. Violations shall be rectified within 30 days of the response to the Notice of Violation. If in the opinion of the zoning inspector, no attempt is made to rectify the violation, the matter shall be referred to the town solicitor for further action. An extension of 30 days may be granted if, in the opinion of the zoning inspector, the violator has made a reasonable attempt to comply but needs additional time to do so. Any violation not rectified within 90 days of the receipt of the notice of violation shall be forwarded to the town solicitor for further action. (Ord. of 3-16-98) Last updated 8/28/18 Page 15-1</w:t>
      </w:r>
    </w:p>
    <w:bookmarkEnd w:id="115"/>
    <w:bookmarkStart w:id="116" w:name="penalties-for-violations"/>
    <w:p>
      <w:pPr>
        <w:pStyle w:val="Heading1"/>
      </w:pPr>
      <w:r>
        <w:t xml:space="preserve">§ 16. Penalties for Violations</w:t>
      </w:r>
    </w:p>
    <w:p>
      <w:pPr>
        <w:pStyle w:val="FirstParagraph"/>
      </w:pPr>
      <w:r>
        <w:t xml:space="preserve">SECTION 16. Penalties for Violations PENALTIES FOR VIOLATIONS</w:t>
      </w:r>
    </w:p>
    <w:bookmarkEnd w:id="116"/>
    <w:bookmarkStart w:id="117" w:name="general"/>
    <w:p>
      <w:pPr>
        <w:pStyle w:val="Heading2"/>
      </w:pPr>
      <w:r>
        <w:t xml:space="preserve">§ 16.1. General</w:t>
      </w:r>
    </w:p>
    <w:p>
      <w:pPr>
        <w:pStyle w:val="FirstParagraph"/>
      </w:pPr>
      <w:r>
        <w:t xml:space="preserve">Sec. 16.1. General.</w:t>
      </w:r>
    </w:p>
    <w:p>
      <w:pPr>
        <w:pStyle w:val="BodyText"/>
      </w:pPr>
      <w:r>
        <w:t xml:space="preserve">Any person or corporation, whether as principal agent, employee or otherwise, who violates any of the provisions of this ordinance shall be fined not exceeding $500.00 for each offense. Each day being an offense.</w:t>
      </w:r>
    </w:p>
    <w:p>
      <w:pPr>
        <w:pStyle w:val="BodyText"/>
      </w:pPr>
      <w:r>
        <w:t xml:space="preserve">The erection, construction, enlargement, conversion, moving or maintenance of any building which is continued, operated or maintained contrary to any of the provisions of this ordinance is hereby declared to be a violation of this ordinance and unlawful. The town solicitor shall, immediately upon any such violation having been called to his attention: institute injunction, abatement or any other appropriate action to prevent, enjoin, abate or remove such violation.</w:t>
      </w:r>
    </w:p>
    <w:p>
      <w:pPr>
        <w:pStyle w:val="BodyText"/>
      </w:pPr>
      <w:r>
        <w:t xml:space="preserve">Nothing herein contained shall prevent the town from taking such other lawful action as is necessary to prevent or remedy any violation. 16-1 Page</w:t>
      </w:r>
    </w:p>
    <w:bookmarkEnd w:id="117"/>
    <w:bookmarkStart w:id="118" w:name="site-plan-review"/>
    <w:p>
      <w:pPr>
        <w:pStyle w:val="Heading1"/>
      </w:pPr>
      <w:r>
        <w:t xml:space="preserve">§ 17. Site Plan Review</w:t>
      </w:r>
    </w:p>
    <w:p>
      <w:pPr>
        <w:pStyle w:val="FirstParagraph"/>
      </w:pPr>
      <w:r>
        <w:t xml:space="preserve">SECTION 17. Site Plan Review SITE PLAN REVIEW</w:t>
      </w:r>
    </w:p>
    <w:bookmarkEnd w:id="118"/>
    <w:bookmarkStart w:id="119" w:name="authority-and-purpose"/>
    <w:p>
      <w:pPr>
        <w:pStyle w:val="Heading2"/>
      </w:pPr>
      <w:r>
        <w:t xml:space="preserve">§ 17.1. Authority and Purpose</w:t>
      </w:r>
    </w:p>
    <w:p>
      <w:pPr>
        <w:pStyle w:val="FirstParagraph"/>
      </w:pPr>
      <w:r>
        <w:t xml:space="preserve">Sec. 17.1. Authority and Purpose.</w:t>
      </w:r>
    </w:p>
    <w:p>
      <w:pPr>
        <w:pStyle w:val="BodyText"/>
      </w:pPr>
      <w:r>
        <w:t xml:space="preserve">Development Plan Review shall be required for certain types of development as described in Section 17.2 below, but will not preclude the need to meet other requirements as contained in the Zoning Ordinance, nor be used to deny a permitted use as provided in Section 5.4. The Development Plan Review requirements of this section are designed to assure safe, orderly and harmonious development of property in a manner that shall:</w:t>
      </w:r>
    </w:p>
    <w:p>
      <w:pPr>
        <w:numPr>
          <w:ilvl w:val="0"/>
          <w:numId w:val="2629"/>
        </w:numPr>
      </w:pPr>
      <w:r>
        <w:t xml:space="preserve">(1) Promote public health, safety and general welfare;</w:t>
      </w:r>
    </w:p>
    <w:p>
      <w:pPr>
        <w:numPr>
          <w:ilvl w:val="0"/>
          <w:numId w:val="2630"/>
        </w:numPr>
      </w:pPr>
      <w:r>
        <w:t xml:space="preserve">(2) Provide suitable safeguard and consideration for land use and site and architectural design that is compatible with adjacent districts and uses;</w:t>
      </w:r>
    </w:p>
    <w:p>
      <w:pPr>
        <w:numPr>
          <w:ilvl w:val="0"/>
          <w:numId w:val="2631"/>
        </w:numPr>
      </w:pPr>
      <w:r>
        <w:t xml:space="preserve">(3) Permit development to an extent commensurate with the availability and capacity of public facilities and services and promote safe circulation of traffic throughout the Town;</w:t>
      </w:r>
    </w:p>
    <w:p>
      <w:pPr>
        <w:numPr>
          <w:ilvl w:val="0"/>
          <w:numId w:val="2632"/>
        </w:numPr>
      </w:pPr>
      <w:r>
        <w:t xml:space="preserve">(4) Preserve and protect natural, historic and cultural resources and features and encourage consideration of environmental impacts and mitigative measures;</w:t>
      </w:r>
    </w:p>
    <w:p>
      <w:pPr>
        <w:numPr>
          <w:ilvl w:val="0"/>
          <w:numId w:val="2633"/>
        </w:numPr>
      </w:pPr>
      <w:r>
        <w:t xml:space="preserve">(5) Encourage the provision of open space and public access and give due consideration to the quality and design of landscaping;</w:t>
      </w:r>
    </w:p>
    <w:p>
      <w:pPr>
        <w:numPr>
          <w:ilvl w:val="0"/>
          <w:numId w:val="2634"/>
        </w:numPr>
      </w:pPr>
      <w:r>
        <w:t xml:space="preserve">(6) Encourage adequate consideration for the proper control of erosion, surface and subsurface drainage and pollution;</w:t>
      </w:r>
    </w:p>
    <w:p>
      <w:pPr>
        <w:numPr>
          <w:ilvl w:val="0"/>
          <w:numId w:val="2635"/>
        </w:numPr>
      </w:pPr>
      <w:r>
        <w:t xml:space="preserve">(7) Facilitate orderly and harmonious site development including safe and convenient provision and design of egress and ingress, off-street parking, truck loading, internal circulation, emergency access, refuse disposal, outdoor storage, signing and lighting;</w:t>
      </w:r>
    </w:p>
    <w:p>
      <w:pPr>
        <w:numPr>
          <w:ilvl w:val="0"/>
          <w:numId w:val="2636"/>
        </w:numPr>
      </w:pPr>
      <w:r>
        <w:t xml:space="preserve">(8) Comply with the North Smithfield Comprehensive Plan, as amended.</w:t>
      </w:r>
    </w:p>
    <w:p>
      <w:pPr>
        <w:numPr>
          <w:ilvl w:val="0"/>
          <w:numId w:val="2637"/>
        </w:numPr>
      </w:pPr>
      <w:r>
        <w:t xml:space="preserve">This section is adopted pursuant to RIGL 45-24-49, as amended.</w:t>
      </w:r>
    </w:p>
    <w:bookmarkEnd w:id="119"/>
    <w:bookmarkStart w:id="120" w:name="applicability-1"/>
    <w:p>
      <w:pPr>
        <w:pStyle w:val="Heading2"/>
      </w:pPr>
      <w:r>
        <w:t xml:space="preserve">§ 17.2. Applicability</w:t>
      </w:r>
    </w:p>
    <w:p>
      <w:pPr>
        <w:pStyle w:val="FirstParagraph"/>
      </w:pPr>
      <w:r>
        <w:t xml:space="preserve">Sec. 17.2. Applicability.</w:t>
      </w:r>
    </w:p>
    <w:p>
      <w:pPr>
        <w:pStyle w:val="BodyText"/>
      </w:pPr>
      <w:r>
        <w:t xml:space="preserve">A site plan review is required by the planning board for all construction relating to business, professional services, manufacturing and multifamily uses. Activities and uses requiring site plan review include the following: The following types of development shall be subject to Development Plan Review:</w:t>
      </w:r>
    </w:p>
    <w:p>
      <w:pPr>
        <w:numPr>
          <w:ilvl w:val="0"/>
          <w:numId w:val="2638"/>
        </w:numPr>
      </w:pPr>
      <w:r>
        <w:t xml:space="preserve">(1) Any construction of a non-residential or mixed-use building. .</w:t>
      </w:r>
    </w:p>
    <w:p>
      <w:pPr>
        <w:numPr>
          <w:ilvl w:val="0"/>
          <w:numId w:val="2639"/>
        </w:numPr>
      </w:pPr>
      <w:r>
        <w:t xml:space="preserve">(2) Any expansion, alteration of a non-residential or mixed-use structure exceeding 5,000 square feet or site exceeding one acre., or change of use of site, structure, or parking for business, professional services, manufacturing or multifamily uses.</w:t>
      </w:r>
    </w:p>
    <w:p>
      <w:pPr>
        <w:numPr>
          <w:ilvl w:val="0"/>
          <w:numId w:val="2640"/>
        </w:numPr>
      </w:pPr>
      <w:r>
        <w:t xml:space="preserve">(3) Any change of use, construction, expansion or alteration that creates a need for over 20 total parking spaces.</w:t>
      </w:r>
    </w:p>
    <w:p>
      <w:pPr>
        <w:numPr>
          <w:ilvl w:val="0"/>
          <w:numId w:val="2641"/>
        </w:numPr>
      </w:pPr>
      <w:r>
        <w:t xml:space="preserve">(4) Any proposed development that involves a gasoline service station, or contains a drive-up window (including an Automated Teller Machine).</w:t>
      </w:r>
    </w:p>
    <w:p>
      <w:pPr>
        <w:numPr>
          <w:ilvl w:val="0"/>
          <w:numId w:val="2642"/>
        </w:numPr>
      </w:pPr>
      <w:r>
        <w:t xml:space="preserve">(5) Any proposed non-residential or mixed-use for which a special-use permit or Use Variance is being requested. Proposed developments which meet the thresholds above, but which the Building Inspector, in concurrence with the Town Planner, determines do not have a significant impact on community aesthetics, traffic, public services and utilities, environmental quality, community economics or public welfare may be exempted from the provisions of Development Plan Review. Such determination shall be presented to the Planning Board in the form of a written report. No building permit shall be issued by the Building Inspector for an activity for which Development Plan Review is required until approval is received from the appropriate permitting authority. The approved plans and other documents shall become part of the building permit application, and shall be binding on any permit issued.</w:t>
      </w:r>
    </w:p>
    <w:bookmarkEnd w:id="120"/>
    <w:bookmarkStart w:id="121" w:name="review-process"/>
    <w:p>
      <w:pPr>
        <w:pStyle w:val="Heading2"/>
      </w:pPr>
      <w:r>
        <w:t xml:space="preserve">§ 17.3. Review Process</w:t>
      </w:r>
    </w:p>
    <w:p>
      <w:pPr>
        <w:pStyle w:val="FirstParagraph"/>
      </w:pPr>
      <w:r>
        <w:t xml:space="preserve">Sec. 17.3. Review Process.</w:t>
      </w:r>
    </w:p>
    <w:p>
      <w:pPr>
        <w:numPr>
          <w:ilvl w:val="0"/>
          <w:numId w:val="2643"/>
        </w:numPr>
      </w:pPr>
      <w:r>
        <w:t xml:space="preserve">17.3.1. Review by Planning Board. Development Plan Review applications involving construction or alteration of non-residential or mixed use buildings less than 5,000 square feet shall be reviewed by the Planning Board pursuant to the same procedures and time periods set forth in Section Article 3-5 of the Land Development and Subdivision Regulations (Regulations) for Minor Subdivisions, as amended. Applications involving construction of buildings or alterations greater than 5,000 square feet shall be reviewed by the Planning Board pursuant to the same procedures and time periods set forth in Article 3-6 of the Regulations for Major Subdivisions, as amended. Any application that is also subject to review as a subdivision or land development project shall be reviewed concurrently under the provisions of both this Section and the Regulations. While the Planning Board shall assume primary responsibility for processing, review and approval of all Development Plan Review applications, the Board may, from time to time, rely upon the expertise of a development review committee serving at the pleasure of, and as advisory to, the Planning Board. The committee shall have expertise in the areas of architecture, landscape architecture, historic preservation, zoning, construction, planning or allied fields, and shall assist the Planning Board in evaluating overall site design and building design when needed.</w:t>
      </w:r>
    </w:p>
    <w:p>
      <w:pPr>
        <w:numPr>
          <w:ilvl w:val="0"/>
          <w:numId w:val="2644"/>
        </w:numPr>
      </w:pPr>
      <w:r>
        <w:t xml:space="preserve">17.3.2. Precedence of Approval between the Planning and Zoning Boards. For those developments subject to the provisions of this Section that involve an application for a Special-Use Permit or a Use Variance, the Planning Board’s final determination shall be in the form of recommendations that shall be forwarded to the permitting authority, i.e. the Zoning Board of Review. For developments which require a Special-Use Permit or a Use Variance, the Planning Board may also, at the request of the applicant, refer the application to the Zoning Board prior to conducting Development Plan Review. In such cases, review by the Zoning Board shall be limited to the use in question until such time as Development Plan Review is undertaken by the Planning Board.</w:t>
      </w:r>
    </w:p>
    <w:bookmarkEnd w:id="121"/>
    <w:bookmarkStart w:id="122" w:name="application-contents"/>
    <w:p>
      <w:pPr>
        <w:pStyle w:val="Heading2"/>
      </w:pPr>
      <w:r>
        <w:t xml:space="preserve">§ 17.4. Application Contents</w:t>
      </w:r>
    </w:p>
    <w:p>
      <w:pPr>
        <w:pStyle w:val="FirstParagraph"/>
      </w:pPr>
      <w:r>
        <w:t xml:space="preserve">Sec. 17.4. Application Contents.</w:t>
      </w:r>
    </w:p>
    <w:p>
      <w:pPr>
        <w:pStyle w:val="BodyText"/>
      </w:pPr>
      <w:r>
        <w:t xml:space="preserve">Every site plan submitted in accordance with this article shall include the following data, details and supporting plans. Plans must be prepared and signed by registered engineers, architects, land surveyors or landscape architects, as appropriate. The number of pages submitted should depend upon the proposal's size and complexity. All of the requirements must be met in each plan, with notations explaining the reasons for any omissions. Ten (10) copies of the application, plans and materials must be submitted, unless the proposed project requires a Special-Use Permit or Use Variance in which twenty (20) applications must be submitted.</w:t>
      </w:r>
    </w:p>
    <w:p>
      <w:pPr>
        <w:numPr>
          <w:ilvl w:val="0"/>
          <w:numId w:val="2645"/>
        </w:numPr>
      </w:pPr>
      <w:r>
        <w:t xml:space="preserve">(1) Name and address of the owner(s), name and addresses of applicant(s) (if different from owner), names and addresses of professionals, date, north point, locus and scale.</w:t>
      </w:r>
    </w:p>
    <w:p>
      <w:pPr>
        <w:numPr>
          <w:ilvl w:val="0"/>
          <w:numId w:val="2646"/>
        </w:numPr>
      </w:pPr>
      <w:r>
        <w:t xml:space="preserve">(2) Boundary of the entire tract and any adjacent or contiguous parcels in the same ownership and total acreage encompassed thereby.</w:t>
      </w:r>
    </w:p>
    <w:p>
      <w:pPr>
        <w:numPr>
          <w:ilvl w:val="0"/>
          <w:numId w:val="2647"/>
        </w:numPr>
      </w:pPr>
      <w:r>
        <w:t xml:space="preserve">(3) Any existing water courses, wetlands, railroad, street rights-of-way, utility lines, easements, public open spaces, permanent buildings, structures, permanent easements, natural, cultural, historic and archaeological resources including cemeteries or burial grounds or features and municipal boundary lines within 500 feet of the tract.</w:t>
      </w:r>
    </w:p>
    <w:p>
      <w:pPr>
        <w:numPr>
          <w:ilvl w:val="0"/>
          <w:numId w:val="2648"/>
        </w:numPr>
      </w:pPr>
      <w:r>
        <w:t xml:space="preserve">(4) Plan drawings:</w:t>
      </w:r>
    </w:p>
    <w:p>
      <w:pPr>
        <w:pStyle w:val="Compact"/>
        <w:numPr>
          <w:ilvl w:val="0"/>
          <w:numId w:val="2649"/>
        </w:numPr>
      </w:pPr>
    </w:p>
    <w:p>
      <w:pPr>
        <w:numPr>
          <w:ilvl w:val="1"/>
          <w:numId w:val="2650"/>
        </w:numPr>
      </w:pPr>
      <w:r>
        <w:t xml:space="preserve">(a) Scale shall be one inch equals 50 feet or other suitable scale as determined by the Administrative Officer.</w:t>
      </w:r>
    </w:p>
    <w:p>
      <w:pPr>
        <w:pStyle w:val="Compact"/>
        <w:numPr>
          <w:ilvl w:val="0"/>
          <w:numId w:val="2651"/>
        </w:numPr>
      </w:pPr>
    </w:p>
    <w:p>
      <w:pPr>
        <w:numPr>
          <w:ilvl w:val="1"/>
          <w:numId w:val="2652"/>
        </w:numPr>
      </w:pPr>
      <w:r>
        <w:t xml:space="preserve">(b) When more than one (1) sheet is required, a cover sheet drawn to suitable scale shall show the whole site and indicate match lines for each page of the plan.</w:t>
      </w:r>
    </w:p>
    <w:p>
      <w:pPr>
        <w:pStyle w:val="Compact"/>
        <w:numPr>
          <w:ilvl w:val="0"/>
          <w:numId w:val="2653"/>
        </w:numPr>
      </w:pPr>
    </w:p>
    <w:p>
      <w:pPr>
        <w:numPr>
          <w:ilvl w:val="1"/>
          <w:numId w:val="2654"/>
        </w:numPr>
      </w:pPr>
      <w:r>
        <w:t xml:space="preserve">(c) Plan will be drawn on sheets no greater than 40 36 inches long by 24 28 inches wide. A margin of two inches on the left and top sides and one inch on the right and bottom sides shall be left around each sheet. Every final plat shall have a space, at least three inches wide and two inches high at the lower left-hand corner of the plan for the Board's approval stamp.</w:t>
      </w:r>
    </w:p>
    <w:p>
      <w:pPr>
        <w:numPr>
          <w:ilvl w:val="0"/>
          <w:numId w:val="2655"/>
        </w:numPr>
      </w:pPr>
      <w:r>
        <w:t xml:space="preserve">(5) All building setback lines, easements and rights-of-way. Location and use of all existing and proposed buildings and structures in the development.</w:t>
      </w:r>
    </w:p>
    <w:p>
      <w:pPr>
        <w:numPr>
          <w:ilvl w:val="0"/>
          <w:numId w:val="2656"/>
        </w:numPr>
      </w:pPr>
      <w:r>
        <w:t xml:space="preserve">(6) Detail of adjacent properties (abutters) and public ways as will relate to the subject premises, to the neighborhood and to the street pattern.</w:t>
      </w:r>
    </w:p>
    <w:p>
      <w:pPr>
        <w:numPr>
          <w:ilvl w:val="0"/>
          <w:numId w:val="2657"/>
        </w:numPr>
      </w:pPr>
      <w:r>
        <w:t xml:space="preserve">(7) Existing and proposed sewers, water mains, culverts, and other underground facilities and utilities within the tract, indicating pipe sizes, grates, manholes, and location.</w:t>
      </w:r>
    </w:p>
    <w:p>
      <w:pPr>
        <w:numPr>
          <w:ilvl w:val="0"/>
          <w:numId w:val="2658"/>
        </w:numPr>
      </w:pPr>
      <w:r>
        <w:t xml:space="preserve">(8) Existing and proposed contours at intervals of no greater than two (2) feet.</w:t>
      </w:r>
    </w:p>
    <w:p>
      <w:pPr>
        <w:numPr>
          <w:ilvl w:val="0"/>
          <w:numId w:val="2659"/>
        </w:numPr>
      </w:pPr>
      <w:r>
        <w:t xml:space="preserve">(9) Building dimensions indicating exterior of building design and proposed landscaping. No smaller than 1/8" = 1'. Architectural drawings for all buildings, including plans, sections, and exterior elevations. (Architectural rendering may be required and should include such items as materials, color, door and window size and locations, roof and cornice lines, and other major design elements.)</w:t>
      </w:r>
    </w:p>
    <w:p>
      <w:pPr>
        <w:numPr>
          <w:ilvl w:val="0"/>
          <w:numId w:val="2660"/>
        </w:numPr>
      </w:pPr>
      <w:r>
        <w:t xml:space="preserve">(10) Landscape plan at the same scale of the site plan, showing limits of work, existing tree lines site furnishings, all proposed landscape features, improvements including planting areas with size and type of stock for each shrub or tree. All landscape plans shall be stamped by a Landscape Architect. (11.) Erosion and sediment control plan (containing all materials as identified in Section 18.13)</w:t>
      </w:r>
    </w:p>
    <w:p>
      <w:pPr>
        <w:numPr>
          <w:ilvl w:val="0"/>
          <w:numId w:val="2661"/>
        </w:numPr>
      </w:pPr>
      <w:r>
        <w:t xml:space="preserve">(12) A map showing the proposed circulation patterns, including present and proposed locations, design for ingress, egress, parking, road system, acceleration and deceleration lanes, traffic signs, pavement stripping and markings and pedestrian circulation.</w:t>
      </w:r>
    </w:p>
    <w:p>
      <w:pPr>
        <w:numPr>
          <w:ilvl w:val="0"/>
          <w:numId w:val="2662"/>
        </w:numPr>
      </w:pPr>
      <w:r>
        <w:t xml:space="preserve">(13) Location, arrangement and dimensions of truck loading and unloading spaces and docks; how the building will be serviced.</w:t>
      </w:r>
    </w:p>
    <w:p>
      <w:pPr>
        <w:numPr>
          <w:ilvl w:val="0"/>
          <w:numId w:val="2663"/>
        </w:numPr>
      </w:pPr>
      <w:r>
        <w:t xml:space="preserve">(14) Construction completion date; the phases, if any to be followed in the construction of the development.</w:t>
      </w:r>
    </w:p>
    <w:p>
      <w:pPr>
        <w:numPr>
          <w:ilvl w:val="0"/>
          <w:numId w:val="2664"/>
        </w:numPr>
      </w:pPr>
      <w:r>
        <w:t xml:space="preserve">(15) Location, height, materials of walls, fences and plantings specific for screening purposes.</w:t>
      </w:r>
    </w:p>
    <w:p>
      <w:pPr>
        <w:numPr>
          <w:ilvl w:val="0"/>
          <w:numId w:val="2665"/>
        </w:numPr>
      </w:pPr>
      <w:r>
        <w:t xml:space="preserve">(16) Location, size, height and orientation of all signs and exterior lighting on building facades and elsewhere on property.</w:t>
      </w:r>
    </w:p>
    <w:p>
      <w:pPr>
        <w:numPr>
          <w:ilvl w:val="0"/>
          <w:numId w:val="2666"/>
        </w:numPr>
      </w:pPr>
      <w:r>
        <w:t xml:space="preserve">(17) Text of Provisions to restrict uses of the property or to establish an association of merchants or property owners by means of lease provisions, covenants or other legal documents the text of such provisions shall be provided.</w:t>
      </w:r>
    </w:p>
    <w:p>
      <w:pPr>
        <w:numPr>
          <w:ilvl w:val="0"/>
          <w:numId w:val="2667"/>
        </w:numPr>
      </w:pPr>
      <w:r>
        <w:t xml:space="preserve">(18) All necessary State or Federal permits shall be submitted as part of the Final submission package. Applications involving a Special-Use Permit or Use Variance shall also submit all other materials specific to their particular request as specified in the Zoning Ordinance. A filing fee of one hundred ($100) dollars for structures or uses 5,000 square feet or less; three hundred ($300) dollars for structures or uses 5,000-20,000 square feet; and five hundred ($500) dollars for structures or uses over 20,000 square feet. Additionally, the Planning Board, in its discretion, may retain independent assistance, reviews, consultations, tests and analyses regarding any aspect of or issue related to the application or related to its review of the proposed development, and all such fees, costs and expenses shall be borne by the applicant. A retainer fund paid prior to the retention of such consultants, or experts, or professionals, may be required in the discretion of the Planning Board. In any event, the applicant shall pay all such invoices within seven days, the prior payment of which shall be a condition of any approvals by the Planning Board. Such assistance may include, but not be limited to, the review of overall building and site design, site engineering including drainage, and traffic impacts, evaluation of landscaping, site amenities, environmental, engineering and architectural review. The need for such review shall be at the discretion of the Planning Board. Amounts paid by the applicant shall not exceed actual costs incurred by the Planning Board. Meeting costs, including but not limited to, advertising and abutter notification, shall also be borne by the applicant, as applicable.</w:t>
      </w:r>
    </w:p>
    <w:bookmarkEnd w:id="122"/>
    <w:bookmarkStart w:id="123" w:name="environmental-impact-assessment"/>
    <w:p>
      <w:pPr>
        <w:pStyle w:val="Heading2"/>
      </w:pPr>
      <w:r>
        <w:t xml:space="preserve">§ 17.5. Environmental impact assessment</w:t>
      </w:r>
    </w:p>
    <w:p>
      <w:pPr>
        <w:pStyle w:val="FirstParagraph"/>
      </w:pPr>
      <w:r>
        <w:t xml:space="preserve">Sec. 17.5. Environmental impact assessment.</w:t>
      </w:r>
    </w:p>
    <w:p>
      <w:pPr>
        <w:pStyle w:val="BodyText"/>
      </w:pPr>
      <w:r>
        <w:t xml:space="preserve">The applicant shall minimize significant emission of noise, dust, fumes, noxious gases, radiation, water pollutants, flooding, erosion, sedimentation, glare and adverse lighting.</w:t>
      </w:r>
    </w:p>
    <w:p>
      <w:pPr>
        <w:pStyle w:val="BodyText"/>
      </w:pPr>
      <w:r>
        <w:t xml:space="preserve">The following impact analysis of the proposed development shall be required by the Board with respect to on-site and off-site environmental quality:</w:t>
      </w:r>
    </w:p>
    <w:p>
      <w:pPr>
        <w:numPr>
          <w:ilvl w:val="0"/>
          <w:numId w:val="2668"/>
        </w:numPr>
      </w:pPr>
      <w:r>
        <w:t xml:space="preserve">(1) Potential impacts on the quality of air, surface water and groundwater adjacent to and/or directly affected by the proposed development (e.g. amount and nature of all industrial and chemical wastes generated).</w:t>
      </w:r>
    </w:p>
    <w:p>
      <w:pPr>
        <w:numPr>
          <w:ilvl w:val="0"/>
          <w:numId w:val="2669"/>
        </w:numPr>
      </w:pPr>
      <w:r>
        <w:t xml:space="preserve">(2) On-site and/or off-site flooding and erosion Best Management Practices.</w:t>
      </w:r>
    </w:p>
    <w:p>
      <w:pPr>
        <w:numPr>
          <w:ilvl w:val="0"/>
          <w:numId w:val="2670"/>
        </w:numPr>
      </w:pPr>
      <w:r>
        <w:t xml:space="preserve">(3) Off-site hazards from radiological emissions or other hazardous materials.</w:t>
      </w:r>
    </w:p>
    <w:p>
      <w:pPr>
        <w:numPr>
          <w:ilvl w:val="0"/>
          <w:numId w:val="2671"/>
        </w:numPr>
      </w:pPr>
      <w:r>
        <w:t xml:space="preserve">(4) Adverse impacts on temperature and wind conditions on the site and adjacent properties.</w:t>
      </w:r>
    </w:p>
    <w:p>
      <w:pPr>
        <w:numPr>
          <w:ilvl w:val="0"/>
          <w:numId w:val="2672"/>
        </w:numPr>
      </w:pPr>
      <w:r>
        <w:t xml:space="preserve">(5) Impact on solar access of adjacent properties.</w:t>
      </w:r>
    </w:p>
    <w:p>
      <w:pPr>
        <w:numPr>
          <w:ilvl w:val="0"/>
          <w:numId w:val="2673"/>
        </w:numPr>
      </w:pPr>
      <w:r>
        <w:t xml:space="preserve">(6) Off-site noises and vibrations.</w:t>
      </w:r>
    </w:p>
    <w:p>
      <w:pPr>
        <w:numPr>
          <w:ilvl w:val="0"/>
          <w:numId w:val="2674"/>
        </w:numPr>
      </w:pPr>
      <w:r>
        <w:t xml:space="preserve">(7) Lighting impacts.</w:t>
      </w:r>
    </w:p>
    <w:p>
      <w:pPr>
        <w:numPr>
          <w:ilvl w:val="0"/>
          <w:numId w:val="2675"/>
        </w:numPr>
      </w:pPr>
      <w:r>
        <w:t xml:space="preserve">(8) Evaluation of adequacy of existing or proposed systems and services for water supply and disposal of liquid and solid wastes.</w:t>
      </w:r>
    </w:p>
    <w:p>
      <w:pPr>
        <w:numPr>
          <w:ilvl w:val="0"/>
          <w:numId w:val="2676"/>
        </w:numPr>
      </w:pPr>
      <w:r>
        <w:t xml:space="preserve">(9) Impacts on historical (properties, districts, areas) natural, cultural and archaeological resources.</w:t>
      </w:r>
    </w:p>
    <w:p>
      <w:pPr>
        <w:numPr>
          <w:ilvl w:val="0"/>
          <w:numId w:val="2677"/>
        </w:numPr>
      </w:pPr>
      <w:r>
        <w:t xml:space="preserve">(10) Consistency and compatibility of proposal with local and regional developmental goals and plans.</w:t>
      </w:r>
    </w:p>
    <w:bookmarkEnd w:id="123"/>
    <w:bookmarkStart w:id="124" w:name="fiscal-impact-assessment"/>
    <w:p>
      <w:pPr>
        <w:pStyle w:val="Heading2"/>
      </w:pPr>
      <w:r>
        <w:t xml:space="preserve">§ 17.6. Fiscal impact assessment</w:t>
      </w:r>
    </w:p>
    <w:p>
      <w:pPr>
        <w:pStyle w:val="FirstParagraph"/>
      </w:pPr>
      <w:r>
        <w:t xml:space="preserve">Sec. 17.6. Fiscal impact assessment.</w:t>
      </w:r>
    </w:p>
    <w:p>
      <w:pPr>
        <w:pStyle w:val="BodyText"/>
      </w:pPr>
      <w:r>
        <w:t xml:space="preserve">A fiscal impact analysis of the proposed development shall be required by the Board with respect to the economic impact of Major Land Development Projects on the Town. The Board, at its discretion may require an impact analysis for Minor Land Development Projects. When required, a fiscal impact analysis shall address the following:</w:t>
      </w:r>
    </w:p>
    <w:p>
      <w:pPr>
        <w:numPr>
          <w:ilvl w:val="0"/>
          <w:numId w:val="2678"/>
        </w:numPr>
      </w:pPr>
      <w:r>
        <w:t xml:space="preserve">(1) Costs arising from increased demands for public services and infrastructure.</w:t>
      </w:r>
    </w:p>
    <w:p>
      <w:pPr>
        <w:numPr>
          <w:ilvl w:val="0"/>
          <w:numId w:val="2679"/>
        </w:numPr>
      </w:pPr>
      <w:r>
        <w:t xml:space="preserve">(2) Benefits from increased tax revenues, employment and value of public infrastructure to be provided.</w:t>
      </w:r>
    </w:p>
    <w:p>
      <w:pPr>
        <w:numPr>
          <w:ilvl w:val="0"/>
          <w:numId w:val="2680"/>
        </w:numPr>
      </w:pPr>
      <w:r>
        <w:t xml:space="preserve">(3) Impact of proposed development on the values of adjoining properties.</w:t>
      </w:r>
    </w:p>
    <w:p>
      <w:pPr>
        <w:numPr>
          <w:ilvl w:val="0"/>
          <w:numId w:val="2681"/>
        </w:numPr>
      </w:pPr>
      <w:r>
        <w:t xml:space="preserve">(4) Five-year projection of increased Town revenues and costs resulting from the proposed development.</w:t>
      </w:r>
    </w:p>
    <w:bookmarkEnd w:id="124"/>
    <w:bookmarkStart w:id="125" w:name="traffic-impact-assessment"/>
    <w:p>
      <w:pPr>
        <w:pStyle w:val="Heading2"/>
      </w:pPr>
      <w:r>
        <w:t xml:space="preserve">§ 17.7. Traffic impact assessment</w:t>
      </w:r>
    </w:p>
    <w:p>
      <w:pPr>
        <w:pStyle w:val="FirstParagraph"/>
      </w:pPr>
      <w:r>
        <w:t xml:space="preserve">Sec. 17.7. Traffic impact assessment.</w:t>
      </w:r>
    </w:p>
    <w:p>
      <w:pPr>
        <w:pStyle w:val="BodyText"/>
      </w:pPr>
      <w:r>
        <w:t xml:space="preserve">The applicant shall minimize vehicular and pedestrian conflict (i.e., provisions for off-street loading and unloading of vehicles incidental to the normal operation of the establishment, adequate parking, internal traffic control, and control of flow patterns).</w:t>
      </w:r>
    </w:p>
    <w:p>
      <w:pPr>
        <w:pStyle w:val="BodyText"/>
      </w:pPr>
      <w:r>
        <w:t xml:space="preserve">A traffic impact analysis of the proposed development shall be required to evaluate the points of pedestrian and vehicular traffic conflict for all Major Land Development Projects. The Board, at its discretion may require a traffic impact analysis for Minor Land Development Projects. When required, a traffic impact analysis shall address the following:</w:t>
      </w:r>
    </w:p>
    <w:p>
      <w:pPr>
        <w:numPr>
          <w:ilvl w:val="0"/>
          <w:numId w:val="2682"/>
        </w:numPr>
      </w:pPr>
      <w:r>
        <w:t xml:space="preserve">(1) Level of service, existing and projected, according to criteria set forth by the Transportation Research Board of the National Research Council in impacted intersections and streets.</w:t>
      </w:r>
    </w:p>
    <w:p>
      <w:pPr>
        <w:numPr>
          <w:ilvl w:val="0"/>
          <w:numId w:val="2683"/>
        </w:numPr>
      </w:pPr>
      <w:r>
        <w:t xml:space="preserve">(2) Impact on daily and peak hour traffic.</w:t>
      </w:r>
    </w:p>
    <w:p>
      <w:pPr>
        <w:numPr>
          <w:ilvl w:val="0"/>
          <w:numId w:val="2684"/>
        </w:numPr>
      </w:pPr>
      <w:r>
        <w:t xml:space="preserve">(3) Capability of existing and proposed roads to handle gross weight of vehicles.</w:t>
      </w:r>
    </w:p>
    <w:p>
      <w:pPr>
        <w:numPr>
          <w:ilvl w:val="0"/>
          <w:numId w:val="2685"/>
        </w:numPr>
      </w:pPr>
      <w:r>
        <w:t xml:space="preserve">(4) Projected pedestrian circulation.</w:t>
      </w:r>
    </w:p>
    <w:bookmarkEnd w:id="125"/>
    <w:bookmarkStart w:id="126" w:name="site-and-design-standards"/>
    <w:p>
      <w:pPr>
        <w:pStyle w:val="Heading2"/>
      </w:pPr>
      <w:r>
        <w:t xml:space="preserve">§ 17.8. Site and design standards</w:t>
      </w:r>
    </w:p>
    <w:p>
      <w:pPr>
        <w:pStyle w:val="FirstParagraph"/>
      </w:pPr>
      <w:r>
        <w:t xml:space="preserve">Sec. 17.8. Site and design standards.</w:t>
      </w:r>
    </w:p>
    <w:p>
      <w:pPr>
        <w:pStyle w:val="BodyText"/>
      </w:pPr>
      <w:r>
        <w:t xml:space="preserve">The following standards pertain mainly to land outside of the public right-of-way. Any construction or improvements involving a public right-of-way or utilities in the public right-of-way shall be designed in accordance with the standards contained in the Regulations, incorporated herein by reference.</w:t>
      </w:r>
    </w:p>
    <w:p>
      <w:pPr>
        <w:numPr>
          <w:ilvl w:val="0"/>
          <w:numId w:val="2686"/>
        </w:numPr>
      </w:pPr>
      <w:r>
        <w:t xml:space="preserve">17.8.1. Site Planning. To the maximum extent practicable, development should be located to preserve the natural features of the site, to avoid areas of environmental sensitivity, to minimize alterations of and negative impacts to natural features, historic and cultural resources, and scenic areas. A Site Analysis should be conducted prior to the conceptual site planning process (Figure 1). Natural Context The following specific areas should be preserved as undeveloped areas in accordance with applicable Federal, State and Town Regulations and Ordinances (Figure 2):</w:t>
      </w:r>
    </w:p>
    <w:p>
      <w:pPr>
        <w:pStyle w:val="Compact"/>
        <w:numPr>
          <w:ilvl w:val="0"/>
          <w:numId w:val="2687"/>
        </w:numPr>
      </w:pPr>
    </w:p>
    <w:p>
      <w:pPr>
        <w:numPr>
          <w:ilvl w:val="1"/>
          <w:numId w:val="2688"/>
        </w:numPr>
      </w:pPr>
      <w:r>
        <w:t xml:space="preserve">(1) High value recreational waters</w:t>
      </w:r>
    </w:p>
    <w:p>
      <w:pPr>
        <w:numPr>
          <w:ilvl w:val="1"/>
          <w:numId w:val="1000"/>
        </w:numPr>
      </w:pPr>
      <w:r>
        <w:t xml:space="preserve">(2) Steep slopes above 15% as measured over a 10 foot interval</w:t>
      </w:r>
    </w:p>
    <w:p>
      <w:pPr>
        <w:numPr>
          <w:ilvl w:val="1"/>
          <w:numId w:val="1000"/>
        </w:numPr>
      </w:pPr>
      <w:r>
        <w:t xml:space="preserve">(3) Habitats for rare, threatened or endangered flora and fauna</w:t>
      </w:r>
    </w:p>
    <w:p>
      <w:pPr>
        <w:numPr>
          <w:ilvl w:val="1"/>
          <w:numId w:val="1000"/>
        </w:numPr>
      </w:pPr>
      <w:r>
        <w:t xml:space="preserve">(4) Historically significant structures and sites</w:t>
      </w:r>
    </w:p>
    <w:p>
      <w:pPr>
        <w:numPr>
          <w:ilvl w:val="1"/>
          <w:numId w:val="1000"/>
        </w:numPr>
      </w:pPr>
      <w:r>
        <w:t xml:space="preserve">(5) Prime agricultural soils Figure 1. Example of Site Analysis Figure 2. Protect Natural Features and Slopes Development should take advantage of natural solar irradiation through southern exposure and design features in order to reduce energy usage and increase connections to the surrounding environment. Vegetation, berms, and shade structures should be used to provide warmer areas during winter and cooler areas during summer (Figure 3).</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jc w:val="left"/>
            </w:pPr>
            <w:r>
              <w:t xml:space="preserve">Figure 3. Climatic Factors Utilize the space between buildings as viable transition areas, provide building connections and Building envelopes should be located so that open fields, ridge lines, stands of mature trees, 15%), outcrops, wetlands, streams, rivers, ponds,</w:t>
            </w:r>
          </w:p>
        </w:tc>
        <w:tc>
          <w:tcPr/>
          <w:p>
            <w:pPr>
              <w:pStyle w:val="Compact"/>
              <w:jc w:val="left"/>
            </w:pPr>
            <w:r>
              <w:t xml:space="preserve">“outdoor rolling and</w:t>
            </w:r>
          </w:p>
        </w:tc>
        <w:tc>
          <w:tcPr/>
          <w:p>
            <w:pPr>
              <w:pStyle w:val="Compact"/>
              <w:jc w:val="left"/>
            </w:pPr>
            <w:r>
              <w:t xml:space="preserve">rooms” project coherence character-defining topography lakes, and</w:t>
            </w:r>
          </w:p>
        </w:tc>
        <w:tc>
          <w:tcPr/>
          <w:p>
            <w:pPr>
              <w:pStyle w:val="Compact"/>
              <w:jc w:val="left"/>
            </w:pPr>
            <w:r>
              <w:t xml:space="preserve">which site listed</w:t>
            </w:r>
          </w:p>
        </w:tc>
      </w:tr>
      <w:tr>
        <w:tc>
          <w:tcPr/>
          <w:p>
            <w:pPr>
              <w:pStyle w:val="Compact"/>
              <w:jc w:val="left"/>
            </w:pPr>
            <w:r>
              <w:t xml:space="preserve">resources are preserved whenever possible (Figures Avoid placement of structures on ridgelines or exposed to wind, and highly visible, making the &amp; 8).</w:t>
            </w:r>
          </w:p>
        </w:tc>
        <w:tc>
          <w:tcPr/>
          <w:p>
            <w:pPr>
              <w:pStyle w:val="Compact"/>
              <w:jc w:val="left"/>
            </w:pPr>
            <w:r>
              <w:t xml:space="preserve">5 hillcrests. potential</w:t>
            </w:r>
          </w:p>
        </w:tc>
        <w:tc>
          <w:tcPr/>
          <w:p>
            <w:pPr>
              <w:pStyle w:val="Compact"/>
              <w:jc w:val="left"/>
            </w:pPr>
            <w:r>
              <w:t xml:space="preserve">&amp; 6) These for</w:t>
            </w:r>
          </w:p>
        </w:tc>
        <w:tc>
          <w:tcPr/>
          <w:p>
            <w:pPr>
              <w:pStyle w:val="Compact"/>
              <w:jc w:val="left"/>
            </w:pPr>
            <w:r>
              <w:t xml:space="preserve">areas negative</w:t>
            </w:r>
          </w:p>
        </w:tc>
      </w:tr>
    </w:tbl>
    <w:p>
      <w:pPr>
        <w:pStyle w:val="BodyText"/>
      </w:pPr>
      <w:r>
        <w:t xml:space="preserve">can function as pedestrian (Figure 4).</w:t>
      </w:r>
    </w:p>
    <w:p>
      <w:pPr>
        <w:pStyle w:val="BodyText"/>
      </w:pPr>
      <w:r>
        <w:t xml:space="preserve">features such as stone walls, (especially slopes in excess of historic and natural are potentially erosive, impacts higher (Figures 7 Figure 4. Pedestrian “Outdoor Rooms”</w:t>
      </w:r>
    </w:p>
    <w:p>
      <w:pPr>
        <w:pStyle w:val="BodyText"/>
      </w:pPr>
      <w:r>
        <w:t xml:space="preserve">Figure 5. Preserve Natural Features Figure 6. Character Defining Site Features Figure 7. Ridgelines and Steep Slopes Figure 8. Ridges and Steep Slopes Figure 9. Buffer Adjacent Developments When commercial/industrial buildings back up to residential areas, the rear setback area should be heavily landscaped and functionally and/or visually combined with the residential open space where possible (Figure 9). Built Context The Slatersville Area Plan prepared by Everett Associates shall be used as a guide when reviewing development proposals in the village areas and will employ the more general standards contained herein on a townwide basis. Placement of buildings shall consider the built context of the area, the location of compatible and incompatible uses, traffic corridors, vegetation, and other site characteristics. Where adjacent setbacks are inconsistent, an attempt should be made to moderate them. If this is not possible, vegetation, walls and other landscape features must be used to continue the rhythm of the built environment (Figure 10).</w:t>
      </w:r>
    </w:p>
    <w:p>
      <w:pPr>
        <w:pStyle w:val="BodyText"/>
      </w:pPr>
      <w:r>
        <w:t xml:space="preserve">Figure 10. Continue Prevailing Setback Patterns In commercial and industrial areas, and particularly in the historic villages and in other densely developed zones with direct street frontage, buildings fronting on streets should generally be placed at their front setback lines in order to enliven the street. This siting, in combination with substantial landscape treatment, reinforces and strengthens the streetscape and helps to screen offstreet parking areas. Only active building elevations with public access should face public streets (Figure 11). Figure 11. Strengthen Streetscape Environment Multiple buildings in a single development should create a positive functional relationship. Whenever possible, buildings should be clustered to achieve a village feel. This creates opportunities for plazas and pedestrian areas while preventing long “barrack-like” rows of buildings. When clustering is impractical, a visual and/or landscape linkage should be established.</w:t>
      </w:r>
    </w:p>
    <w:p>
      <w:pPr>
        <w:pStyle w:val="BodyText"/>
      </w:pPr>
      <w:r>
        <w:t xml:space="preserve">When adjacent residential and non-residential uses can mutually profit from connection rather than separation, applicable connective elements such as walkways, common landscape areas, building orientation, and unfenced property lines shall be employed.</w:t>
      </w:r>
    </w:p>
    <w:p>
      <w:pPr>
        <w:numPr>
          <w:ilvl w:val="0"/>
          <w:numId w:val="2689"/>
        </w:numPr>
      </w:pPr>
      <w:r>
        <w:t xml:space="preserve">17.8.2. Groundwater Resource Protection Wastewater Disposal Parcels connected to the sewer system will be required to follow the Sewer Commission’s regulations. Lots requiring Individual Sewage Disposal Systems (OWTS) will need to comply with the Department of Environmental Management’s (DEM) regulations and Section 6.19 of the Town’s Zoning Ordinance, when applicable. Clean on-site wastewater disposal is desirable for aquifer recharge and natural filtering, as long as no danger of environmental contamination exists. Stormwater Management Stormwater management systems should:</w:t>
      </w:r>
    </w:p>
    <w:p>
      <w:pPr>
        <w:numPr>
          <w:ilvl w:val="0"/>
          <w:numId w:val="2690"/>
        </w:numPr>
      </w:pPr>
      <w:r>
        <w:t xml:space="preserve">1. Be designed using non-structural or low-structural components where possible and as small an area as possible.</w:t>
      </w:r>
    </w:p>
    <w:p>
      <w:pPr>
        <w:numPr>
          <w:ilvl w:val="0"/>
          <w:numId w:val="2691"/>
        </w:numPr>
      </w:pPr>
      <w:r>
        <w:t xml:space="preserve">2. Not allow downstream or off-site flooding, soil erosion or other related runoff problems.</w:t>
      </w:r>
    </w:p>
    <w:p>
      <w:pPr>
        <w:numPr>
          <w:ilvl w:val="0"/>
          <w:numId w:val="2692"/>
        </w:numPr>
      </w:pPr>
      <w:r>
        <w:t xml:space="preserve">3. Improve the water quality of runoff and protect and restore the quality of ground and surface waters.</w:t>
      </w:r>
    </w:p>
    <w:p>
      <w:pPr>
        <w:numPr>
          <w:ilvl w:val="0"/>
          <w:numId w:val="2693"/>
        </w:numPr>
      </w:pPr>
      <w:r>
        <w:t xml:space="preserve">4. Be designed for routine maintenance to be conducted on-site by the owners at regular intervals.</w:t>
      </w:r>
    </w:p>
    <w:p>
      <w:pPr>
        <w:numPr>
          <w:ilvl w:val="0"/>
          <w:numId w:val="2694"/>
        </w:numPr>
      </w:pPr>
      <w:r>
        <w:t xml:space="preserve">A schedule for maintenance shall be submitted with the final plans.</w:t>
      </w:r>
    </w:p>
    <w:p>
      <w:pPr>
        <w:numPr>
          <w:ilvl w:val="0"/>
          <w:numId w:val="2695"/>
        </w:numPr>
      </w:pPr>
      <w:r>
        <w:t xml:space="preserve">5. Maintain the natural hydrodynamic characteristics of the watershed. All commercial and industrial developments shall use Low Impact Development (LID) techniques for stormwater management design. Refer to the “Rhode Island Stormwater Design Manual” for suggested LIDs. Any increase in storm runoff should be retained and recharged as close to its place of origin as feasible, using one or more of the following options:</w:t>
      </w:r>
    </w:p>
    <w:p>
      <w:pPr>
        <w:numPr>
          <w:ilvl w:val="0"/>
          <w:numId w:val="2696"/>
        </w:numPr>
      </w:pPr>
      <w:r>
        <w:t xml:space="preserve">1. Retention/detention ponds</w:t>
      </w:r>
    </w:p>
    <w:p>
      <w:pPr>
        <w:numPr>
          <w:ilvl w:val="0"/>
          <w:numId w:val="1000"/>
        </w:numPr>
      </w:pPr>
      <w:r>
        <w:t xml:space="preserve">2. Porous pavements</w:t>
      </w:r>
    </w:p>
    <w:p>
      <w:pPr>
        <w:numPr>
          <w:ilvl w:val="0"/>
          <w:numId w:val="1000"/>
        </w:numPr>
      </w:pPr>
      <w:r>
        <w:t xml:space="preserve">3. Under-drains</w:t>
      </w:r>
    </w:p>
    <w:p>
      <w:pPr>
        <w:numPr>
          <w:ilvl w:val="0"/>
          <w:numId w:val="1000"/>
        </w:numPr>
      </w:pPr>
      <w:r>
        <w:t xml:space="preserve">4. Surface swales with French drains</w:t>
      </w:r>
    </w:p>
    <w:p>
      <w:pPr>
        <w:numPr>
          <w:ilvl w:val="0"/>
          <w:numId w:val="1000"/>
        </w:numPr>
      </w:pPr>
      <w:r>
        <w:t xml:space="preserve">5. Creative pavement design which can shed surface water to vegetated areas</w:t>
      </w:r>
    </w:p>
    <w:p>
      <w:pPr>
        <w:numPr>
          <w:ilvl w:val="0"/>
          <w:numId w:val="1000"/>
        </w:numPr>
      </w:pPr>
      <w:r>
        <w:t xml:space="preserve">6. Catch basins</w:t>
      </w:r>
    </w:p>
    <w:p>
      <w:pPr>
        <w:numPr>
          <w:ilvl w:val="0"/>
          <w:numId w:val="1000"/>
        </w:numPr>
      </w:pPr>
      <w:r>
        <w:t xml:space="preserve">7. Temporary stone pads at road access point or similar techniques Natural drainage ways should be maintained in an undisturbed state to the greatest extent possible. Retention/detention ponds should only be employed where the natural features cannot adequately control runoff. Water should be managed to decrease velocity, increase infiltration, and allow suspended solids to settle. Preferred options include grassy swales, artificial wetlands, vegetated buffer strips, extended detention basins, infiltration devices, alternative turf and wet retention/detention basins. The siting of stormwater management structures including dry and/or wet ponds and swales shall be incorporated into the natural landscape to enhance functional values of the structures and provide visual amenity to the site.</w:t>
      </w:r>
    </w:p>
    <w:p>
      <w:pPr>
        <w:numPr>
          <w:ilvl w:val="0"/>
          <w:numId w:val="2697"/>
        </w:numPr>
      </w:pPr>
      <w:r>
        <w:t xml:space="preserve">Use porous paving whenever possible. Options include porous asphalt, brick or concrete pavers set on porous base material such as sand, soil cement and gravel. (Figure 12)</w:t>
      </w:r>
    </w:p>
    <w:p>
      <w:pPr>
        <w:numPr>
          <w:ilvl w:val="0"/>
          <w:numId w:val="2698"/>
        </w:numPr>
      </w:pPr>
      <w:r>
        <w:t xml:space="preserve">Figure 12. Stormwater Retention Area Erosion and Sedimentation Control Erosion and Sedimentation Control shall be in accordance with Section 18 of the North Smithfield Zoning Ordinance, as amended. Site design should avoid steep slopes, minimize slopes in graded areas and work with the natural drainage and topography of the site. Original boundaries, alignment and slopes of watercourses within the project locus shall be preserved to the greatest extent feasible (Figure 13).</w:t>
      </w:r>
    </w:p>
    <w:p>
      <w:pPr>
        <w:numPr>
          <w:ilvl w:val="0"/>
          <w:numId w:val="2699"/>
        </w:numPr>
      </w:pPr>
      <w:r>
        <w:t xml:space="preserve">Figure 13. Stormwater Retention Area Doubles as Overflow Parking Development plans should preserve natural features, keep cut and fill operations to a minimum and ensure conformity with topography so as to adequately handle the volume and velocity of surface water runoff. Trees and other existing vegetation shall be retained whenever feasible; areas within the drip line should be fenced or otherwise protected against damage by construction equipment (Figures 14 &amp; 15).</w:t>
      </w:r>
    </w:p>
    <w:p>
      <w:pPr>
        <w:numPr>
          <w:ilvl w:val="0"/>
          <w:numId w:val="2700"/>
        </w:numPr>
      </w:pPr>
      <w:r>
        <w:t xml:space="preserve">Figure 14. Preserve Natural Drainage and Topography Figure 15. Maintain Grade Near Existing Trees 17.8.3 Access and Circulation Vehicular and pedestrian circulation should be clearly organized and functional, providing safe and efficient means of access to all non-sensitive areas of the site. Vehicular and pedestrian circulation areas should be separated to ensure safety, with appropriate linkages at designated inter-modal transportation nodes. A development’s circulatory system, including roadways, paths, and parking areas provides the pattern for human experience and should be designed considering aesthetics, social and environmental issues. Use special accents at all entries. Monuments, uniquely textured paving, plantings, walls, sculptures, and specimen trees should be used to generate visual interest. Roads and parking areas should be designed to respect natural features and topography, and to present an attractive “streetscape” environment. Vast expanses of paving without visual relief are undesirable. Materials should be harmonious with the existing, surrounding environment. Materials such as brick, granite, stone, wood, and textured/colored concrete are encouraged.</w:t>
      </w:r>
    </w:p>
    <w:p>
      <w:pPr>
        <w:numPr>
          <w:ilvl w:val="0"/>
          <w:numId w:val="2701"/>
        </w:numPr>
      </w:pPr>
      <w:r>
        <w:t xml:space="preserve">Roads Integrate access points for automobiles and pedestrians carefully – especially within the village centers where pedestrian and vehicle traffic co-exist. Driveways should be shared by adjacent developments wherever possible to minimize curb cuts and impervious surfaces.</w:t>
      </w:r>
    </w:p>
    <w:p>
      <w:pPr>
        <w:numPr>
          <w:ilvl w:val="0"/>
          <w:numId w:val="2702"/>
        </w:numPr>
      </w:pPr>
      <w:r>
        <w:t xml:space="preserve">Every development should have sufficient emergency access as required by the local Fire and Police Departments. Separate customer access and circulation from service truck access.</w:t>
      </w:r>
    </w:p>
    <w:p>
      <w:pPr>
        <w:numPr>
          <w:ilvl w:val="0"/>
          <w:numId w:val="2703"/>
        </w:numPr>
      </w:pPr>
      <w:r>
        <w:t xml:space="preserve">Roads and driveways should follow existing contours to minimize site disturbance designed parallel, rather than perpendicular, to existing slopes (Figure 16).</w:t>
      </w:r>
    </w:p>
    <w:p>
      <w:pPr>
        <w:numPr>
          <w:ilvl w:val="0"/>
          <w:numId w:val="2704"/>
        </w:numPr>
      </w:pPr>
      <w:r>
        <w:t xml:space="preserve">Parking Off street parking shall be provided in accordance with existing Ordinances, however, the Planning Board may recommend relief for good cause. In general, where parking areas can be reduced in size, or spaces shared with adjacent businesses, it is considered beneficial to reduce impervious surface areas and maintain a more natural appearance.</w:t>
      </w:r>
    </w:p>
    <w:p>
      <w:pPr>
        <w:numPr>
          <w:ilvl w:val="0"/>
          <w:numId w:val="2705"/>
        </w:numPr>
      </w:pPr>
      <w:r>
        <w:t xml:space="preserve">A landscaped buffer strip at least 10 feet wide, continuous except for approved driveways, shall be established adjacent to any public road except in instances where the Planning Board deems this would unduly detract from the adjacent streetscape and/or architectural character of the area. Divide large parking lots into a series of smaller connected lots using raised landscape strips at least 5 feet wide (preferably more) with one shade tree for every 5 spaces (Figure 17). Figure 16. Follow Existing Contours Figure 17. Divide Large Parking Lots Lower the grade of parking lots, where practical and respectful of existing topography, to aid in screening views of automobiles while permitting views of buildings (Figure 18).</w:t>
      </w:r>
    </w:p>
    <w:p>
      <w:pPr>
        <w:numPr>
          <w:ilvl w:val="0"/>
          <w:numId w:val="2706"/>
        </w:numPr>
      </w:pPr>
      <w:r>
        <w:t xml:space="preserve">Figure 18. Creatively Utilize Grade Changes in Parking Lots Parking areas should be separated from buildings by a raised walkway or planting strip at least 5 (preferably more) feet wide. Parking areas directly abutting the building shall not be considered acceptable (Figure 19). The buffer strip should be planted with grass, shrubs and shade trees (minimum 3 inch caliper diameter at breast height, minimum height of 15 feet, planted at least every 30 feet along the road frontage). Parking areas should be located to the rear or sides of buildings out of sight from passing traffic to the greatest extent possible. Vegetative buffering, berms, walls and fences should be used to screen parking to the greatest extent possible from all surrounding areas. In all developments, pedestrian walkways should be provided through and between parking areas and separate buildings wherever possible to adjacent streets. Figure 20 exemplifies a desired outgrowth of these standards. Parking areas should be softened with vegetative screens with at least one tree per 5 parking spaces should be provided. A continuous wall of green should be provided with breaks for visual safety (Figure 21).</w:t>
      </w:r>
    </w:p>
    <w:p>
      <w:pPr>
        <w:numPr>
          <w:ilvl w:val="0"/>
          <w:numId w:val="2707"/>
        </w:numPr>
      </w:pPr>
      <w:r>
        <w:t xml:space="preserve">Figure 19. Planting Strip and Raised Walkway Figure 20. Parking behind buildings Figure 21. Acceptable parking island Pedestrian Pathways Natural earth-like walking paths shall be encouraged outside the village centers. Asphalt (bituminous concrete) walkways shall be avoided for aesthetic and environmental reasons in such outlying areas. Within the village centers, sidewalks and paved pathways should be a minimum of 4 feet wide. Clearly defined pedestrian access should be provided from bus stops to primary building entrances. In areas where bicycles are expected to share the sidewalk, they should be a minimum of 6 feet (Figure 22). Informal pathways/trails should be provided to connect adjacent natural areas and potential future regional pathways and bikeways.</w:t>
      </w:r>
    </w:p>
    <w:p>
      <w:pPr>
        <w:numPr>
          <w:ilvl w:val="0"/>
          <w:numId w:val="2708"/>
        </w:numPr>
      </w:pPr>
      <w:r>
        <w:t xml:space="preserve">Figure 22. Sidewalk Widths Crosswalks, signs, or other warning cues should be used wherever pedestrians cross traffic aisles (Figure 23). Developments should provide ample pedestrian open spaces (green spaces) for enjoyment of pedestrians. Walkways and open areas shall be generously vegetated.</w:t>
      </w:r>
    </w:p>
    <w:p>
      <w:pPr>
        <w:numPr>
          <w:ilvl w:val="0"/>
          <w:numId w:val="2709"/>
        </w:numPr>
      </w:pPr>
      <w:r>
        <w:t xml:space="preserve">Stairways and Ramps All buildings should be handicapped accessible in accordance with state and federal laws. Stairs should combine visual attractiveness with safety considerations and provide landings every 10 stairs for visual variation and pedestrian rest. Sloping paths are preferable to ramps or lifts.</w:t>
      </w:r>
    </w:p>
    <w:p>
      <w:pPr>
        <w:numPr>
          <w:ilvl w:val="0"/>
          <w:numId w:val="2710"/>
        </w:numPr>
      </w:pPr>
      <w:r>
        <w:t xml:space="preserve">However where ramps are used, they should be handicapped accessible and integrated with the building design.</w:t>
      </w:r>
    </w:p>
    <w:p>
      <w:pPr>
        <w:numPr>
          <w:ilvl w:val="0"/>
          <w:numId w:val="2711"/>
        </w:numPr>
      </w:pPr>
      <w:r>
        <w:t xml:space="preserve">Figure 23. Sidewalks and Crosswalks 17.8.4. Landscaping To the maximum extent possible, the natural landscape should be preserved. Landscaping should reflect the site as a whole, integrating the various elements of site design into the plan with the surrounding landscape elements and processes. Effort shall be made to use native plants with high wildlife value and aesthetic interest. Plants should also accent the cultural landscape, providing such elements as rhythm, spatial structure, color, texture, etc. to the built environment.</w:t>
      </w:r>
    </w:p>
    <w:p>
      <w:pPr>
        <w:numPr>
          <w:ilvl w:val="0"/>
          <w:numId w:val="2712"/>
        </w:numPr>
      </w:pPr>
      <w:r>
        <w:t xml:space="preserve">Landscape plantings should generally follow a three-tiered system:</w:t>
      </w:r>
    </w:p>
    <w:p>
      <w:pPr>
        <w:numPr>
          <w:ilvl w:val="0"/>
          <w:numId w:val="2713"/>
        </w:numPr>
      </w:pPr>
      <w:r>
        <w:t xml:space="preserve">1. Grasses and groundcovers</w:t>
      </w:r>
    </w:p>
    <w:p>
      <w:pPr>
        <w:numPr>
          <w:ilvl w:val="0"/>
          <w:numId w:val="1000"/>
        </w:numPr>
      </w:pPr>
      <w:r>
        <w:t xml:space="preserve">2. Shrubs and vines</w:t>
      </w:r>
    </w:p>
    <w:p>
      <w:pPr>
        <w:numPr>
          <w:ilvl w:val="0"/>
          <w:numId w:val="1000"/>
        </w:numPr>
      </w:pPr>
      <w:r>
        <w:t xml:space="preserve">3. Trees All areas not covered by structures, service yards, driveways, paths, etc. should be landscaped. The following are planting design concepts that should be used whenever possible:</w:t>
      </w:r>
    </w:p>
    <w:p>
      <w:pPr>
        <w:numPr>
          <w:ilvl w:val="0"/>
          <w:numId w:val="2714"/>
        </w:numPr>
      </w:pPr>
      <w:r>
        <w:t xml:space="preserve">1. Specimen trees in informal groupings and rows at major focal points</w:t>
      </w:r>
    </w:p>
    <w:p>
      <w:pPr>
        <w:numPr>
          <w:ilvl w:val="0"/>
          <w:numId w:val="1000"/>
        </w:numPr>
      </w:pPr>
      <w:r>
        <w:t xml:space="preserve">2. Use of flowering vines on walls and arbors</w:t>
      </w:r>
    </w:p>
    <w:p>
      <w:pPr>
        <w:numPr>
          <w:ilvl w:val="0"/>
          <w:numId w:val="1000"/>
        </w:numPr>
      </w:pPr>
      <w:r>
        <w:t xml:space="preserve">3. Use of planting to create shadow, texture, patterns, rhythm, aroma, color, etc.</w:t>
      </w:r>
    </w:p>
    <w:p>
      <w:pPr>
        <w:numPr>
          <w:ilvl w:val="0"/>
          <w:numId w:val="2715"/>
        </w:numPr>
      </w:pPr>
      <w:r>
        <w:t xml:space="preserve">4. Use of trees to create canopy and shade, especially in parking areas</w:t>
      </w:r>
    </w:p>
    <w:p>
      <w:pPr>
        <w:numPr>
          <w:ilvl w:val="0"/>
          <w:numId w:val="1000"/>
        </w:numPr>
      </w:pPr>
      <w:r>
        <w:t xml:space="preserve">5. Use of berms, planting and walls to screen outdoor areas from wind and noise.</w:t>
      </w:r>
    </w:p>
    <w:p>
      <w:pPr>
        <w:numPr>
          <w:ilvl w:val="0"/>
          <w:numId w:val="2716"/>
        </w:numPr>
      </w:pPr>
      <w:r>
        <w:t xml:space="preserve">6. The development of sloped properties should follow the natural contours of the land.</w:t>
      </w:r>
    </w:p>
    <w:p>
      <w:pPr>
        <w:numPr>
          <w:ilvl w:val="0"/>
          <w:numId w:val="2717"/>
        </w:numPr>
      </w:pPr>
      <w:r>
        <w:t xml:space="preserve">7. Terraced parking lots, stepped building pads, and larger setbacks should be used to preserve the general topography of the site and to minimize grade differences between adjacent streets and properties, especially when adjacent downhill properties are residential.</w:t>
      </w:r>
    </w:p>
    <w:p>
      <w:pPr>
        <w:numPr>
          <w:ilvl w:val="0"/>
          <w:numId w:val="2718"/>
        </w:numPr>
      </w:pPr>
      <w:r>
        <w:t xml:space="preserve">8. Landscaping around the entire building to soften edges and moderate scale is recommended, particularly near parking lots, entrances, and other pedestrian areas.</w:t>
      </w:r>
    </w:p>
    <w:p>
      <w:pPr>
        <w:numPr>
          <w:ilvl w:val="0"/>
          <w:numId w:val="2719"/>
        </w:numPr>
      </w:pPr>
      <w:r>
        <w:t xml:space="preserve">Plants in containers are encouraged for areas not conducive to permanent plantings (Figure 24).</w:t>
      </w:r>
    </w:p>
    <w:p>
      <w:pPr>
        <w:numPr>
          <w:ilvl w:val="0"/>
          <w:numId w:val="2720"/>
        </w:numPr>
      </w:pPr>
      <w:r>
        <w:t xml:space="preserve">Landscaped Setback Yards, Berms, Walls, and Screens Vegetated setback yards, berms, walls, and other screens provide barriers to undesirable land uses such as roadways, parking lots, utility areas, loading docks, trash pickup areas, and transportation corridors. These barriers will vary in materials and dimensions depending on the intensity of adjacent land uses and other design considerations. The goal should be to provide as much buffering as possible from undesirable land uses.</w:t>
      </w:r>
    </w:p>
    <w:p>
      <w:pPr>
        <w:numPr>
          <w:ilvl w:val="0"/>
          <w:numId w:val="2721"/>
        </w:numPr>
      </w:pPr>
      <w:r>
        <w:t xml:space="preserve">Fences and walls should be architecturally appropriate. Walls shall be terraced with wall sections no more than 5 feet in height. Chain link fencing should be avoided except where necessary for security purposes.</w:t>
      </w:r>
    </w:p>
    <w:p>
      <w:pPr>
        <w:numPr>
          <w:ilvl w:val="0"/>
          <w:numId w:val="2722"/>
        </w:numPr>
      </w:pPr>
      <w:r>
        <w:t xml:space="preserve">Figure 24. Container Plants Utilize berms, vegetation and walls to:</w:t>
      </w:r>
    </w:p>
    <w:p>
      <w:pPr>
        <w:numPr>
          <w:ilvl w:val="0"/>
          <w:numId w:val="2723"/>
        </w:numPr>
      </w:pPr>
      <w:r>
        <w:t xml:space="preserve">1. Reduce wind speeds in and around developments, particularly where development on ridges cannot be avoided and in open areas where winds could cause uncomfortable pedestrian conditions.</w:t>
      </w:r>
    </w:p>
    <w:p>
      <w:pPr>
        <w:numPr>
          <w:ilvl w:val="0"/>
          <w:numId w:val="2724"/>
        </w:numPr>
      </w:pPr>
      <w:r>
        <w:t xml:space="preserve">2. Provide insulation to reduce the need for heat and air conditioning. Reduce dust, fumes, noxious smells or other potential air borne pollutants near certain industrial land uses (Figure 25). Figure 25. Windbreaks Adjacent residential and non-residential uses should be segregated as much as possible in order to maintain a healthy residential environment through the use of berms, walls, fences, buffer yards, and other barriers unless connections are for some reason desirable. A screen along the lot line should be provided consisting of either a row of evergreens at least 6 feet in height at planting, which will grow into a thick hedge not less than 6 feet high, or an opaque and neatly maintained fence not less than six feet in height (Figure 26). Figure 26. Use Vegetative Screens Screen parking lots and undesirable facades of buildings. Consider the following screening options:</w:t>
      </w:r>
    </w:p>
    <w:p>
      <w:pPr>
        <w:numPr>
          <w:ilvl w:val="0"/>
          <w:numId w:val="2725"/>
        </w:numPr>
      </w:pPr>
      <w:r>
        <w:t xml:space="preserve">1. Evergreen trees (maximum 20 feet on center) 2. 3-4 foot high evergreen hedge, fence, berm, or wall; 36” maximum immediately in front of buildings 3. Masonry walls approximately 4 feet in height consisting of stone, brick, or other similar solid masonry materials (Figure 27).</w:t>
      </w:r>
    </w:p>
    <w:p>
      <w:pPr>
        <w:numPr>
          <w:ilvl w:val="0"/>
          <w:numId w:val="2726"/>
        </w:numPr>
      </w:pPr>
      <w:r>
        <w:t xml:space="preserve">4. Wooden walls approximately 4 feet tall and constructed of heavy wood, or heavy wood and masonry to form an opaque screen</w:t>
      </w:r>
    </w:p>
    <w:p>
      <w:pPr>
        <w:numPr>
          <w:ilvl w:val="0"/>
          <w:numId w:val="1000"/>
        </w:numPr>
      </w:pPr>
      <w:r>
        <w:t xml:space="preserve">5. Depressing the parking lot so that its elevation is approximately 4 feet below adjacent land use. Long expanses of fence or wall surfaces should be offset and architecturally designed to prevent monotony. Landscape pockets should be provided at 50-foot minimum intervals along the wall. Vines should be used to break up flat surfaces. Berms can be used to block wind, noise, views and other undesirable land uses or to vary soil depths above unfavorable soil conditions (Figure 27). Figure 27. Berms and Screen Walls Vegetation and Plant Lists Species should be suitable for U.S.D.A. Zone 5 hardiness. Use of native vegetation and xeriscaping (low water use landscaping) is encouraged. Scale of plants should be compatible with buildings and land use. Plants should be used to moderate changes in scale. Larger plants can be used to buffer and soften buildings while smaller plants with greater sensory interest can be used in pedestrian areas. The approved plant list reference is entitled Sustainable Trees and Shrubs, third edition, and 1999, authored by the University of Rhode Island Cooperative Extension Landscape Horticulture Program. Although the list is comprehensive, designers and developers should feel free to add species that they feel augment the objective outlined within this document. Plant Size, Quality, Spacing, and Distribution Newly planted large shade trees should have a minimum caliper size of 3 inches dbh , minimum 15 feet in height and should be staked securely for a period of two years from date of planting. The lowest branch should be at least 80 inches above finished grade to meet ADA standard. Street trees should be planted along both sides of all streets at not more than 30 feet apart, preferably closer, as long as they do not obstruct sight triangles at street intersections. Trees and large shrubs should be placed as follows:</w:t>
      </w:r>
    </w:p>
    <w:p>
      <w:pPr>
        <w:numPr>
          <w:ilvl w:val="0"/>
          <w:numId w:val="2727"/>
        </w:numPr>
      </w:pPr>
      <w:r>
        <w:t xml:space="preserve">1. A minimum of 7 feet between centers of trees or large shrubs and edge of driveway, water meter or gas meter and sewer laterals.</w:t>
      </w:r>
    </w:p>
    <w:p>
      <w:pPr>
        <w:numPr>
          <w:ilvl w:val="0"/>
          <w:numId w:val="2728"/>
        </w:numPr>
      </w:pPr>
      <w:r>
        <w:t xml:space="preserve">2. A minimum of 10 feet between centers of trees or large shrubs and point of intersection of driveways and streets or walkways.</w:t>
      </w:r>
    </w:p>
    <w:p>
      <w:pPr>
        <w:numPr>
          <w:ilvl w:val="0"/>
          <w:numId w:val="2729"/>
        </w:numPr>
      </w:pPr>
      <w:r>
        <w:t xml:space="preserve">3. A minimum of 10 feet between center of trees and large shrubs to utility poles.</w:t>
      </w:r>
    </w:p>
    <w:p>
      <w:pPr>
        <w:numPr>
          <w:ilvl w:val="0"/>
          <w:numId w:val="2730"/>
        </w:numPr>
      </w:pPr>
      <w:r>
        <w:t xml:space="preserve">4. A minimum of 8 feet between center of trees or large shrubs and fire hydrants and fire department sprinkler and standpipe connections (Figure 28). Figure 28. Tree Placement and Spacing No species of plant or large shrub should be planted under the overhead lines or over underground utilities if its growth might interfere with the installation or maintenance of any public utilities. Evergreen trees shall be planted no further apart than 20 feet on center, depending on species, to screen parking lots and large commercial buildings in order to provide a visual barrier between commercial and residential areas.</w:t>
      </w:r>
    </w:p>
    <w:p>
      <w:pPr>
        <w:numPr>
          <w:ilvl w:val="0"/>
          <w:numId w:val="2731"/>
        </w:numPr>
      </w:pPr>
      <w:r>
        <w:t xml:space="preserve">Lighting Lighting shall be designed so as not to disturb adjacent properties or traffic. Lights shall be directed down and the height of light standards appropriate to the site. Upward lighting, such as accent lighting shall be carefully directed away from oncoming traffic. Lamp and post selection shall reflect architectural style of the building and be sensitive to adjacent architecture (Figure 29). Figure 29. Examples of Overhead Lighting and Fixtures Site Furnishings and Amenities Site furnishings such as trellises, benches, lighting, trash containers, fencing, phone booths, etc. should be integral elements of the design and should be shown on the plans. Site furnishings shall be placed leaving adequate space for the stockpiling and removal of snow. Exterior vending machines such as soft drink and cigarette dispensers are to be discouraged, unless they are screened such that they do not constitute another outdoor sign or advertisement. Seating/Benches Rest areas such as benches and wall seating should be provided where pedestrians walk long distances. At least one seat for every 100 feet of pathway is a good rule of thumb. A variety of bench heights should be provided for different uses and user groups:</w:t>
      </w:r>
    </w:p>
    <w:p>
      <w:pPr>
        <w:numPr>
          <w:ilvl w:val="0"/>
          <w:numId w:val="2732"/>
        </w:numPr>
      </w:pPr>
      <w:r>
        <w:t xml:space="preserve">1. For the elderly, a wall height of 18-22 inches is preferable.</w:t>
      </w:r>
    </w:p>
    <w:p>
      <w:pPr>
        <w:numPr>
          <w:ilvl w:val="0"/>
          <w:numId w:val="2733"/>
        </w:numPr>
      </w:pPr>
      <w:r>
        <w:t xml:space="preserve">2. Wall heights of 24-36 inches provide a surface to lean against in a half-sitting position.</w:t>
      </w:r>
    </w:p>
    <w:p>
      <w:pPr>
        <w:numPr>
          <w:ilvl w:val="0"/>
          <w:numId w:val="2734"/>
        </w:numPr>
      </w:pPr>
      <w:r>
        <w:t xml:space="preserve">3. Benches are typically 18-20 inches high and 12-18 inches wide.</w:t>
      </w:r>
    </w:p>
    <w:p>
      <w:pPr>
        <w:numPr>
          <w:ilvl w:val="0"/>
          <w:numId w:val="2735"/>
        </w:numPr>
      </w:pPr>
      <w:r>
        <w:t xml:space="preserve">Shade Structures and Shelters Shade structures and shelters must be used generously for their practical and aesthetic purposes (Figure 30). Some examples include:</w:t>
      </w:r>
    </w:p>
    <w:p>
      <w:pPr>
        <w:numPr>
          <w:ilvl w:val="0"/>
          <w:numId w:val="2736"/>
        </w:numPr>
      </w:pPr>
      <w:r>
        <w:t xml:space="preserve">1. Kiosks</w:t>
      </w:r>
    </w:p>
    <w:p>
      <w:pPr>
        <w:numPr>
          <w:ilvl w:val="0"/>
          <w:numId w:val="1000"/>
        </w:numPr>
      </w:pPr>
      <w:r>
        <w:t xml:space="preserve">2. Typical shelter 3. Picnic area 4. Awnings 5. Pergolas 6. Arbors Figure 30. Kiosks and Shelters 17.8.5. On-site Storage and Use of Materials No materials of a hazardous nature as defined by the Hazardous Substance Act (Rhode Island General Laws 23-24-2) shall be stored except with the explicit approval of the Town and then in strict compliance with applicable local, state, and federal regulations governing such storage. All aboveground storage tanks containing hazardous materials shall use the highest state of the art equipment to ensure safety. Facilities should include secondary containment within a vault constructed of appropriate materials, i.e., concrete. Outside storage of materials supplies, or equipment, including trucks or other motor vehicles, must comply with the appropriate applicable sections of the Zoning Ordinance. Further, equipment shall be screened on sides and top in harmony with the architecture, design, and appearance of neighboring structures and other surroundings.</w:t>
      </w:r>
    </w:p>
    <w:p>
      <w:pPr>
        <w:numPr>
          <w:ilvl w:val="0"/>
          <w:numId w:val="2737"/>
        </w:numPr>
      </w:pPr>
      <w:r>
        <w:t xml:space="preserve">17.8.6. Building Design Maintaining Local Architectural Character New developments and expansions shall be integrated with and complementary to existing architecture. Development projects should reuse existing buildings of character whenever possible. Vacant, historic buildings should be stabilized and preserved until rehabilitated. “… In performing their functions, Town commissions and boards should require owners to emulate typical village building forms when carrying out new construction, renovations or restorations.” - 1994 Slatersville Area Plan Facades and Exterior Walls Facades should be articulated to reduce massive scale and uniform, impersonal appearances of large buildings and provide visual interest that will be consistent with the community’s identity, character and scale. Facades greater than 100 feet in length, measured horizontally, shall incorporate wall plane projections or recesses having a depth of at least 3% of the length of the facade and extending at least 20 percent of the length of the façade. No uninterrupted length of any façade shall exceed 100 horizontal feet. Ground floor facades that face public streets shall have arcades, display windows, entry areas, awnings, or other such features along no less than 60 percent of their horizontal length. Multi-planed pitched roofs and entryways (Figure 31) Each principal building on a site shall have clearly defined, highly visible customer entrances featuring at minimum four of the following:</w:t>
      </w:r>
    </w:p>
    <w:p>
      <w:pPr>
        <w:numPr>
          <w:ilvl w:val="0"/>
          <w:numId w:val="2738"/>
        </w:numPr>
      </w:pPr>
      <w:r>
        <w:t xml:space="preserve">1. Recesses/projections</w:t>
      </w:r>
    </w:p>
    <w:p>
      <w:pPr>
        <w:numPr>
          <w:ilvl w:val="0"/>
          <w:numId w:val="1000"/>
        </w:numPr>
      </w:pPr>
      <w:r>
        <w:t xml:space="preserve">2. Arcades, overhangs or canopies 3. Raised corniced parapets over the door 4. Peaked roof forms 5. Arches 6. Outdoor patios 7. Display windows 8. Architectural details such as tile work and moldings which are integrated into the building structure and design 9. Integral planters or wing walk that incorporate landscaped areas and/or places for sitting. Detailed Features Buildings should have architectural features and patterns that provide visual interest, at the scale of the pedestrian, reduce massive aesthetic effects, and recognize local character. The elements in the following standard should be integral parts of the building fabric, and not superficially applied trim or graphics, or paint. Building facades must include a repeating pattern such as: color change, texture change or material module change. Wall materials and colors Exterior building materials should be aesthetically pleasing and compatible with materials and colors used in adjoining neighborhoods. Predominant exterior building materials shall be high quality materials, such as: brick, wood, sandstone, other native stone, tinted, textured, concrete masonry units.</w:t>
      </w:r>
    </w:p>
    <w:p>
      <w:pPr>
        <w:numPr>
          <w:ilvl w:val="0"/>
          <w:numId w:val="2739"/>
        </w:numPr>
      </w:pPr>
      <w:r>
        <w:t xml:space="preserve">Figure 31. Required Building Elements Predominant exterior building materials shall not include the following:</w:t>
      </w:r>
    </w:p>
    <w:p>
      <w:pPr>
        <w:numPr>
          <w:ilvl w:val="0"/>
          <w:numId w:val="2740"/>
        </w:numPr>
      </w:pPr>
      <w:r>
        <w:t xml:space="preserve">1. smooth-faced 2. tilt-up concrete panels 3. pre-fabricated steel panels 4. Large blank walls 5. Flat roofs without a decorative cornice or parapet 6. Unpainted concrete and cinderblock walls 7. Highly reflective surfaces 8. Square “box like” buildings 9. Mixing of unrelated exterior materials 10. Exposed pipe columns Franchise architecture is strongly discouraged. Building elevations should be designed to fit into the surrounding neighborhood. Architectural gimmicks, such as roof lights, distinctive roof shapes, large false cornices and parapets that sacrifice the integrity of a streetscape to promote a single structure should be avoided. Building forms shall be designed to create and define visually attractive exterior and functional spaces. Auxiliary structures should be architecturally consistent with primary structures on site. Commercial Storefront Design Interesting and enticing storefronts are one of the most crucial ingredients in promoting a vital environment in a commercial development. Storefronts should be generous, providing ample displays and entrances and a level of design detail that establishes individuality for each shop while assuring relatedness to the complex. Provide protection from rain and snow for pedestrians through the use of covered walkways and waiting areas, vegetation, and recessed entryways (Figure 32).</w:t>
      </w:r>
    </w:p>
    <w:p>
      <w:pPr>
        <w:numPr>
          <w:ilvl w:val="0"/>
          <w:numId w:val="2741"/>
        </w:numPr>
      </w:pPr>
      <w:r>
        <w:t xml:space="preserve">Figure 32. Storefront Sheltered Areas Architectural Elements Every new building in North Smithfield shall strive to contain some, if not all, of the following desirable architectural elements. Although design not containing such elements may be permitted, the architect should be prepared to explain his/her design and how it meets the intent of the standards: In general, base material should appear “heavier” in appearance than walls. Windows, doors, and other openings should be detailed to establish them as important parts of the total composition. Design details should be employed to accentuate all entries. Where a flat roof not meant to be visible from the street is used in the building’s design, decorative cornices and parapet walls should be used to screen the roof and to delineate the building’s profile. Mechanical equipment shall not be located on the roof if the building is located below grade of an adjacent road unless it can be hidden from view by building elements that are designed for that purpose as an integral part of the building design. Roofs should be an integral part of the building design and overall form of the structure and should respond to the general design and nature of other roofs along the street. Roofs shall have no less than two of the following features:</w:t>
      </w:r>
    </w:p>
    <w:p>
      <w:pPr>
        <w:numPr>
          <w:ilvl w:val="0"/>
          <w:numId w:val="2742"/>
        </w:numPr>
      </w:pPr>
      <w:r>
        <w:t xml:space="preserve">1. Parapets concealing flat roofs and rooftop equipment such as HVAC units from public view. The average height of such parapets shall not exceed 15% of the height of the supporting wall and such parapets shall not at any point exceed one-third of the height of the supporting wall. Such parapets shall feature three dimensional cornice treatment.</w:t>
      </w:r>
    </w:p>
    <w:p>
      <w:pPr>
        <w:numPr>
          <w:ilvl w:val="0"/>
          <w:numId w:val="2743"/>
        </w:numPr>
      </w:pPr>
      <w:r>
        <w:t xml:space="preserve">2. Overhanging eaves, extending no less than 3 feet past the supporting walls.</w:t>
      </w:r>
    </w:p>
    <w:p>
      <w:pPr>
        <w:numPr>
          <w:ilvl w:val="0"/>
          <w:numId w:val="2744"/>
        </w:numPr>
      </w:pPr>
      <w:r>
        <w:t xml:space="preserve">3. Sloping roofs that do not exceed the average height of the supporting walls, with an average slope greater than or equal to 1 foot of vertical rise for every 3 feet of horizontal run and less than or equal to 1 foot of vertical rise for every 1 foot of horizontal run.</w:t>
      </w:r>
    </w:p>
    <w:p>
      <w:pPr>
        <w:numPr>
          <w:ilvl w:val="0"/>
          <w:numId w:val="2745"/>
        </w:numPr>
      </w:pPr>
      <w:r>
        <w:t xml:space="preserve">4. Three or more roof slope planes. Signs may be printed/painted on awnings but should be restricted to the awing flap (valance) or the end panels of angles, curved, or box awnings. Awning signs are regulated by the Town’s sign code. Sign design guidelines are included below.</w:t>
      </w:r>
    </w:p>
    <w:p>
      <w:pPr>
        <w:numPr>
          <w:ilvl w:val="0"/>
          <w:numId w:val="2746"/>
        </w:numPr>
      </w:pPr>
      <w:r>
        <w:t xml:space="preserve">Signage Design, Dimension, Scale and Location Signage should be provided for both vehicles and pedestrians. Each development should work within a pre-established “sign envelope” according to the type of sign and size of the development. Envelope size should be proportional to the size of the overall development and immediate streetscape as defined in the Zoning Ordinance. Signs should be simple, easy to read by passing motorists, adequately illuminated, and should complement the color, materials and design of the building architecture. Signs and their illumination shall not adversely impact public safety. For multi-tenant buildings, a comprehensive signage program shall be developed; only one freestanding sign is allowed (Figure 33).</w:t>
      </w:r>
    </w:p>
    <w:p>
      <w:pPr>
        <w:numPr>
          <w:ilvl w:val="0"/>
          <w:numId w:val="2747"/>
        </w:numPr>
      </w:pPr>
      <w:r>
        <w:t xml:space="preserve">Figure 33. Signs Projected and or hanging signs shall reflect the architecture and be safely secured (Figure 34).</w:t>
      </w:r>
    </w:p>
    <w:p>
      <w:pPr>
        <w:numPr>
          <w:ilvl w:val="0"/>
          <w:numId w:val="2748"/>
        </w:numPr>
      </w:pPr>
      <w:r>
        <w:t xml:space="preserve">Figure 34. Projecting/hanging signs Sign Materials Materials shall be similar to those used in buildings. Signs shall be simple in design, although engraving, molding and other design features can provide a craftsman-like look.</w:t>
      </w:r>
    </w:p>
    <w:p>
      <w:pPr>
        <w:numPr>
          <w:ilvl w:val="0"/>
          <w:numId w:val="2749"/>
        </w:numPr>
      </w:pPr>
      <w:r>
        <w:t xml:space="preserve">17.8.7 Servicing the Building Loading Areas Loading areas shall not be in front of buildings. Locate loading areas at the rear or sides of buildings and screen as appropriate (Figure 35). Areas adjacent to residential properties should be free of service circulation. Dumpsters, air conditioners, HVAC equipment, trash compaction equipment and other utilities shall be incorporated into the building architecture or screened from view with appropriate fencing or plantings. All trash and garbage bins shall be:</w:t>
      </w:r>
    </w:p>
    <w:p>
      <w:pPr>
        <w:numPr>
          <w:ilvl w:val="0"/>
          <w:numId w:val="2750"/>
        </w:numPr>
      </w:pPr>
      <w:r>
        <w:t xml:space="preserve">1. stored in an approved enclosure unless bins are stored in an approved service yard 2. easily accessible by each tenant 3. located away from residential areas 4. architecturally compatible with the project 5. screened using plant materials 6. provided with stress pads to avoid damage to pavement (Figure 36).</w:t>
      </w:r>
    </w:p>
    <w:p>
      <w:pPr>
        <w:numPr>
          <w:ilvl w:val="0"/>
          <w:numId w:val="2751"/>
        </w:numPr>
      </w:pPr>
      <w:r>
        <w:t xml:space="preserve">Figure 35. Loading Areas Figure 36. Dumpster Screened from View</w:t>
      </w:r>
    </w:p>
    <w:bookmarkEnd w:id="126"/>
    <w:bookmarkStart w:id="127" w:name="waivers"/>
    <w:p>
      <w:pPr>
        <w:pStyle w:val="Heading2"/>
      </w:pPr>
      <w:r>
        <w:t xml:space="preserve">§ 17.9. Waivers</w:t>
      </w:r>
    </w:p>
    <w:p>
      <w:pPr>
        <w:pStyle w:val="FirstParagraph"/>
      </w:pPr>
      <w:r>
        <w:t xml:space="preserve">Sec. 17.9. Waivers.</w:t>
      </w:r>
    </w:p>
    <w:p>
      <w:pPr>
        <w:pStyle w:val="BodyText"/>
      </w:pPr>
      <w:r>
        <w:t xml:space="preserve">The Planning Board may grant waivers to the application of design standards in Article V of the Land Development and Subdivision Regulations, but may not grant waivers that are contrary to required standards contained in this Zoning Ordinance. Requests for waivers shall be based on the impact of the proposal on the quality of life. Specific impacts on noise levels, air, surface and groundwater quality, soil, traffic, fiscal, natural, historical, cultural and scenic resources shall considered. be</w:t>
      </w:r>
    </w:p>
    <w:bookmarkEnd w:id="127"/>
    <w:bookmarkStart w:id="128" w:name="required-findings"/>
    <w:p>
      <w:pPr>
        <w:pStyle w:val="Heading2"/>
      </w:pPr>
      <w:r>
        <w:t xml:space="preserve">§ 17.10. Required Findings</w:t>
      </w:r>
    </w:p>
    <w:p>
      <w:pPr>
        <w:pStyle w:val="FirstParagraph"/>
      </w:pPr>
      <w:r>
        <w:t xml:space="preserve">Sec. 17.10. Required Findings.</w:t>
      </w:r>
    </w:p>
    <w:p>
      <w:pPr>
        <w:pStyle w:val="BodyText"/>
      </w:pPr>
      <w:r>
        <w:t xml:space="preserve">The following required findings shall be the basis for Development Plan Review approval:</w:t>
      </w:r>
    </w:p>
    <w:p>
      <w:pPr>
        <w:numPr>
          <w:ilvl w:val="0"/>
          <w:numId w:val="2752"/>
        </w:numPr>
      </w:pPr>
      <w:r>
        <w:t xml:space="preserve">(1) That the design of the proposed development will be consistent with the purposes of this Ordinance as listed in Section 17.1;</w:t>
      </w:r>
    </w:p>
    <w:p>
      <w:pPr>
        <w:numPr>
          <w:ilvl w:val="0"/>
          <w:numId w:val="2753"/>
        </w:numPr>
      </w:pPr>
      <w:r>
        <w:t xml:space="preserve">(2) That the design of the proposed development will be consistent with the goals of the North Smithfield Comprehensive Plan, as amended, and complies in all respects with the North Smithfield Zoning Ordinance;</w:t>
      </w:r>
    </w:p>
    <w:p>
      <w:pPr>
        <w:numPr>
          <w:ilvl w:val="0"/>
          <w:numId w:val="2754"/>
        </w:numPr>
      </w:pPr>
      <w:r>
        <w:t xml:space="preserve">(3) Any conditions or restrictions that are necessary to ensure that these findings have been met have been incorporated into the vote of approval.</w:t>
      </w:r>
    </w:p>
    <w:bookmarkEnd w:id="128"/>
    <w:bookmarkStart w:id="129" w:name="X63246569ca48a8227a97a9cfdedbc69ca55db4d"/>
    <w:p>
      <w:pPr>
        <w:pStyle w:val="Heading2"/>
      </w:pPr>
      <w:r>
        <w:t xml:space="preserve">§ 17.11. Conditions of Development Plan Review Approval</w:t>
      </w:r>
    </w:p>
    <w:p>
      <w:pPr>
        <w:pStyle w:val="FirstParagraph"/>
      </w:pPr>
      <w:r>
        <w:t xml:space="preserve">Sec. 17.11. Conditions of Development Plan Review Approval.</w:t>
      </w:r>
    </w:p>
    <w:p>
      <w:pPr>
        <w:pStyle w:val="BodyText"/>
      </w:pPr>
      <w:r>
        <w:t xml:space="preserve">The following conditions of approval may be imposed by the Planning Board if it is deemed necessary to promote the purpose of this section and minimize the impacts of the project:</w:t>
      </w:r>
    </w:p>
    <w:p>
      <w:pPr>
        <w:numPr>
          <w:ilvl w:val="0"/>
          <w:numId w:val="2755"/>
        </w:numPr>
      </w:pPr>
      <w:r>
        <w:t xml:space="preserve">(1) Sidewalk or easements for future sidewalks to connect stores and buildings within the site and to adjacent sites.</w:t>
      </w:r>
    </w:p>
    <w:p>
      <w:pPr>
        <w:numPr>
          <w:ilvl w:val="0"/>
          <w:numId w:val="2756"/>
        </w:numPr>
      </w:pPr>
      <w:r>
        <w:t xml:space="preserve">(2) Construction of travel lanes not less than twelve (12) feet in width, to permit travel on the site, to and from adjacent parking areas and adjacent property, or where deemed necessary, a separation between parking areas.</w:t>
      </w:r>
    </w:p>
    <w:p>
      <w:pPr>
        <w:numPr>
          <w:ilvl w:val="0"/>
          <w:numId w:val="2757"/>
        </w:numPr>
      </w:pPr>
      <w:r>
        <w:t xml:space="preserve">(3) Connection, wherever possible, of walkways, travel lanes and driveways with similar facilities in adjacent developments.</w:t>
      </w:r>
    </w:p>
    <w:p>
      <w:pPr>
        <w:numPr>
          <w:ilvl w:val="0"/>
          <w:numId w:val="2758"/>
        </w:numPr>
      </w:pPr>
      <w:r>
        <w:t xml:space="preserve">(4) Screening, fences, walls.</w:t>
      </w:r>
    </w:p>
    <w:p>
      <w:pPr>
        <w:numPr>
          <w:ilvl w:val="0"/>
          <w:numId w:val="2759"/>
        </w:numPr>
      </w:pPr>
      <w:r>
        <w:t xml:space="preserve">(5) Adequate drainage system for the disposition of storm and natural waters.</w:t>
      </w:r>
    </w:p>
    <w:p>
      <w:pPr>
        <w:numPr>
          <w:ilvl w:val="0"/>
          <w:numId w:val="2760"/>
        </w:numPr>
      </w:pPr>
      <w:r>
        <w:t xml:space="preserve">(6) Temporary and permanent erosion and sedimentation control measures.</w:t>
      </w:r>
    </w:p>
    <w:p>
      <w:pPr>
        <w:numPr>
          <w:ilvl w:val="0"/>
          <w:numId w:val="2761"/>
        </w:numPr>
      </w:pPr>
      <w:r>
        <w:t xml:space="preserve">(7) Construction of public improvements including but not limited to curbs and sidewalks as required by the Land Development and Subdivision Regulations.</w:t>
      </w:r>
    </w:p>
    <w:p>
      <w:pPr>
        <w:numPr>
          <w:ilvl w:val="0"/>
          <w:numId w:val="2762"/>
        </w:numPr>
      </w:pPr>
      <w:r>
        <w:t xml:space="preserve">(8) Landscaped areas and planting strips (vegetative buffers) between the parking area, the street, adjacent property and other landscaping treatment that will enhance the premises.</w:t>
      </w:r>
    </w:p>
    <w:p>
      <w:pPr>
        <w:numPr>
          <w:ilvl w:val="0"/>
          <w:numId w:val="2763"/>
        </w:numPr>
      </w:pPr>
      <w:r>
        <w:t xml:space="preserve">The types and methods of planting may be specified by the Board.</w:t>
      </w:r>
    </w:p>
    <w:p>
      <w:pPr>
        <w:numPr>
          <w:ilvl w:val="0"/>
          <w:numId w:val="2764"/>
        </w:numPr>
      </w:pPr>
      <w:r>
        <w:t xml:space="preserve">(9) Revision of the location, height, and size of signs in relationship to the overall plan.</w:t>
      </w:r>
    </w:p>
    <w:p>
      <w:pPr>
        <w:numPr>
          <w:ilvl w:val="0"/>
          <w:numId w:val="2765"/>
        </w:numPr>
      </w:pPr>
      <w:r>
        <w:t xml:space="preserve">(10) Connection to public utilities, services and facilities.</w:t>
      </w:r>
    </w:p>
    <w:p>
      <w:pPr>
        <w:numPr>
          <w:ilvl w:val="0"/>
          <w:numId w:val="2766"/>
        </w:numPr>
      </w:pPr>
      <w:r>
        <w:t xml:space="preserve">(11) Appropriate and adequate lighting (minimum glare and light spill over to adjacent properties).</w:t>
      </w:r>
    </w:p>
    <w:p>
      <w:pPr>
        <w:numPr>
          <w:ilvl w:val="0"/>
          <w:numId w:val="2767"/>
        </w:numPr>
      </w:pPr>
      <w:r>
        <w:t xml:space="preserve">(12) Appropriate mechanisms for the containment and disposal of solid waste.</w:t>
      </w:r>
    </w:p>
    <w:p>
      <w:pPr>
        <w:numPr>
          <w:ilvl w:val="0"/>
          <w:numId w:val="2768"/>
        </w:numPr>
      </w:pPr>
      <w:r>
        <w:t xml:space="preserve">(13) Application of traffic impact, control, mechanisms and principals.</w:t>
      </w:r>
    </w:p>
    <w:p>
      <w:pPr>
        <w:numPr>
          <w:ilvl w:val="0"/>
          <w:numId w:val="2769"/>
        </w:numPr>
      </w:pPr>
      <w:r>
        <w:t xml:space="preserve">(14) Minimization of nuisances from excessive or unreasonable noise, vibrations, dust, fumes, noxious gases, gases, radiation, water pollutants, or any other significant environmental impact.</w:t>
      </w:r>
    </w:p>
    <w:p>
      <w:pPr>
        <w:numPr>
          <w:ilvl w:val="0"/>
          <w:numId w:val="2770"/>
        </w:numPr>
      </w:pPr>
      <w:r>
        <w:t xml:space="preserve">(15) Minimization of impacts on natural resources.</w:t>
      </w:r>
    </w:p>
    <w:p>
      <w:pPr>
        <w:numPr>
          <w:ilvl w:val="0"/>
          <w:numId w:val="2771"/>
        </w:numPr>
      </w:pPr>
      <w:r>
        <w:t xml:space="preserve">(16) Design standards and features in harmony with existing historic (properties, districts or areas), cultural, natural and archaeological resources.</w:t>
      </w:r>
    </w:p>
    <w:p>
      <w:pPr>
        <w:numPr>
          <w:ilvl w:val="0"/>
          <w:numId w:val="2772"/>
        </w:numPr>
      </w:pPr>
      <w:r>
        <w:t xml:space="preserve">(17) Reduction in scale of project.</w:t>
      </w:r>
    </w:p>
    <w:p>
      <w:pPr>
        <w:numPr>
          <w:ilvl w:val="0"/>
          <w:numId w:val="2773"/>
        </w:numPr>
      </w:pPr>
      <w:r>
        <w:t xml:space="preserve">(18) Interim measures to reduce impact on traffic and environmental factors during construction.</w:t>
      </w:r>
    </w:p>
    <w:p>
      <w:pPr>
        <w:numPr>
          <w:ilvl w:val="0"/>
          <w:numId w:val="2774"/>
        </w:numPr>
      </w:pPr>
      <w:r>
        <w:t xml:space="preserve">(19) Other relevant measures to meet purposes as identified in Section 17.1.</w:t>
      </w:r>
    </w:p>
    <w:p>
      <w:pPr>
        <w:numPr>
          <w:ilvl w:val="0"/>
          <w:numId w:val="2775"/>
        </w:numPr>
      </w:pPr>
      <w:r>
        <w:t xml:space="preserve">(20) A performance bond with a rating of A minus or better or certified check filed with the Town as a guarantee for all or part of the proposed improvements.</w:t>
      </w:r>
    </w:p>
    <w:bookmarkEnd w:id="129"/>
    <w:bookmarkStart w:id="130" w:name="Xb4fe45d5a0f77f03d7c500c8cfa9d363e72d2c7"/>
    <w:p>
      <w:pPr>
        <w:pStyle w:val="Heading2"/>
      </w:pPr>
      <w:r>
        <w:t xml:space="preserve">§ 17.12. Appeals. Any and all appeals from any decisions of the Planning Board as it relates to</w:t>
      </w:r>
    </w:p>
    <w:p>
      <w:pPr>
        <w:pStyle w:val="FirstParagraph"/>
      </w:pPr>
      <w:r>
        <w:t xml:space="preserve">Sec. 17.12. Appeals. Any and all appeals from any decisions of the Planning Board as it relates to.</w:t>
      </w:r>
    </w:p>
    <w:p>
      <w:pPr>
        <w:pStyle w:val="BodyText"/>
      </w:pPr>
      <w:r>
        <w:t xml:space="preserve">Site Plan Review shall be to the Zoning Board of Review as other appeals of decisions by the Planning Board.</w:t>
      </w:r>
    </w:p>
    <w:bookmarkEnd w:id="130"/>
    <w:bookmarkStart w:id="131" w:name="enforcement"/>
    <w:p>
      <w:pPr>
        <w:pStyle w:val="Heading2"/>
      </w:pPr>
      <w:r>
        <w:t xml:space="preserve">§ 17.13. Enforcement</w:t>
      </w:r>
    </w:p>
    <w:p>
      <w:pPr>
        <w:pStyle w:val="FirstParagraph"/>
      </w:pPr>
      <w:r>
        <w:t xml:space="preserve">Sec. 17.13. Enforcement.</w:t>
      </w:r>
    </w:p>
    <w:p>
      <w:pPr>
        <w:pStyle w:val="BodyText"/>
      </w:pPr>
      <w:r>
        <w:t xml:space="preserve">The provisions of this Ordinance shall be enforced by the Zoning Inspector or his designee.</w:t>
      </w:r>
    </w:p>
    <w:bookmarkEnd w:id="131"/>
    <w:bookmarkStart w:id="132" w:name="soil-erosion-and-sediment-control"/>
    <w:p>
      <w:pPr>
        <w:pStyle w:val="Heading1"/>
      </w:pPr>
      <w:r>
        <w:t xml:space="preserve">§ 18. Soil Erosion and Sediment Control</w:t>
      </w:r>
    </w:p>
    <w:p>
      <w:pPr>
        <w:pStyle w:val="FirstParagraph"/>
      </w:pPr>
      <w:r>
        <w:t xml:space="preserve">SECTION 18. Soil Erosion and Sediment Control SOIL EROSION AND SEDIMENT CONTROL AND STORMWATER POLLUTION PREVENTION PLAN (SWPPP)</w:t>
      </w:r>
    </w:p>
    <w:p>
      <w:pPr>
        <w:pStyle w:val="BodyText"/>
      </w:pPr>
      <w:r>
        <w:t xml:space="preserve">ARTICLE 1</w:t>
      </w:r>
    </w:p>
    <w:bookmarkEnd w:id="132"/>
    <w:bookmarkStart w:id="133" w:name="purpose-1"/>
    <w:p>
      <w:pPr>
        <w:pStyle w:val="Heading2"/>
      </w:pPr>
      <w:r>
        <w:t xml:space="preserve">§ 18.1. Purpose</w:t>
      </w:r>
    </w:p>
    <w:p>
      <w:pPr>
        <w:pStyle w:val="FirstParagraph"/>
      </w:pPr>
      <w:r>
        <w:t xml:space="preserve">Sec. 18.1. Purpose.</w:t>
      </w:r>
    </w:p>
    <w:p>
      <w:pPr>
        <w:pStyle w:val="BodyText"/>
      </w:pPr>
      <w:r>
        <w:t xml:space="preserve">The North Smithfield Town Council hereby finds that excessive quantities of soil are eroding from certain areas that are undergoing development for nonagricultural uses such as housing development, industrial areas, recreational facilities, and roads. This erosion makes necessary costly repairs to gullies, washed out fills, roads, and embankments. The resulting sediment clogs the storm sewers, road ditches, and muddies streams, leave deposits of silt in ponds and reservoirs and is considered a major water pollutant. The purpose of this ordinance is to control the discharge of construction waste and prevent soil erosion and sedimentation from occurring as a result of nonagricultural development within the Town of North Smithfield by requiring the use of appropriate best management practices (BMP’s) and proper provisions for water disposal, construction waste management, and the protection of soil surfaces during and after construction to reduce or eliminate the pollutants in stormwater discharges, in order to promote the safety, public health and general welfare of the Town.</w:t>
      </w:r>
    </w:p>
    <w:bookmarkEnd w:id="133"/>
    <w:bookmarkStart w:id="134" w:name="findings"/>
    <w:p>
      <w:pPr>
        <w:pStyle w:val="Heading2"/>
      </w:pPr>
      <w:r>
        <w:t xml:space="preserve">§ 18.2. Findings</w:t>
      </w:r>
    </w:p>
    <w:p>
      <w:pPr>
        <w:pStyle w:val="FirstParagraph"/>
      </w:pPr>
      <w:r>
        <w:t xml:space="preserve">Sec. 18.2. Findings.</w:t>
      </w:r>
    </w:p>
    <w:p>
      <w:pPr>
        <w:pStyle w:val="BodyText"/>
      </w:pPr>
      <w:r>
        <w:t xml:space="preserve">(1). The Town Council finds that excessive quantities of soil are eroding from certain areas of the Town which are undergoing development for certain nonagricultural uses such as housing developments, industrial areas, recreational facilities, commercial facilities, and roads. (2). Soil erosion occurring in areas undergoing nonagricultural development makes costly repairs necessary to gullies, washed-out fills, roads, and embankments. The resulting sediment clogs storm sewers and road ditches, and deposits silt into ponds, rivers, streams, and brooks. (3). Silt resulting from erosion threatens the water supply, as well as the recreational, aesthetic, and wildlife habitat values associated with these waters. (4). Construction debris, litter and spills also clog the storm water management system and contaminate surface and ground water. Other construction wastes including construction debris and chemicals, concrete truck washout, oil and grease, litter and sanitary waste may cause adverse impacts to water quality when discharge from a construction site.</w:t>
      </w:r>
    </w:p>
    <w:bookmarkEnd w:id="134"/>
    <w:bookmarkStart w:id="135" w:name="authority"/>
    <w:p>
      <w:pPr>
        <w:pStyle w:val="Heading2"/>
      </w:pPr>
      <w:r>
        <w:t xml:space="preserve">§ 18.3. Authority</w:t>
      </w:r>
    </w:p>
    <w:p>
      <w:pPr>
        <w:pStyle w:val="FirstParagraph"/>
      </w:pPr>
      <w:r>
        <w:t xml:space="preserve">Sec. 18.3. Authority.</w:t>
      </w:r>
    </w:p>
    <w:p>
      <w:pPr>
        <w:pStyle w:val="BodyText"/>
      </w:pPr>
      <w:r>
        <w:t xml:space="preserve">The Town Council shall grant the Building Official and/or his designee the authority necessary to administer this chapter under the provisions of G.L. 1956, § 45-46-1 et seq., Soil Erosion and Sediment Control. ARTICLE II</w:t>
      </w:r>
    </w:p>
    <w:bookmarkEnd w:id="135"/>
    <w:bookmarkStart w:id="136" w:name="applicability-2"/>
    <w:p>
      <w:pPr>
        <w:pStyle w:val="Heading2"/>
      </w:pPr>
      <w:r>
        <w:t xml:space="preserve">§ 18.4. Applicability</w:t>
      </w:r>
    </w:p>
    <w:p>
      <w:pPr>
        <w:pStyle w:val="FirstParagraph"/>
      </w:pPr>
      <w:r>
        <w:t xml:space="preserve">Sec. 18.4. Applicability.</w:t>
      </w:r>
    </w:p>
    <w:p>
      <w:pPr>
        <w:pStyle w:val="BodyText"/>
      </w:pPr>
      <w:r>
        <w:t xml:space="preserve">This ordinance is applicable to any situation involving any disturbance to the terrain, topsoil or vegetative ground cover upon any property within the Town of North Smithfield after determination of applicability by the Building Official or his or her designee based upon criteria outlined below. This section shall not apply to existing quarrying operations actively engaged in excavating rock. Compliance with the requirements as described herein shall not be construed to relieve the owner/applicant of any obligations to obtain necessary state or federal permits. Projects requiring review and approval from the Planning and/or Zoning Board shall receive Final approvals from the appropriate board prior to commencement of any land disturbing activities as described above. ARTICLE III</w:t>
      </w:r>
    </w:p>
    <w:bookmarkEnd w:id="136"/>
    <w:bookmarkStart w:id="137" w:name="determination-of-applicability"/>
    <w:p>
      <w:pPr>
        <w:pStyle w:val="Heading2"/>
      </w:pPr>
      <w:r>
        <w:t xml:space="preserve">§ 18.5. Determination of applicability</w:t>
      </w:r>
    </w:p>
    <w:p>
      <w:pPr>
        <w:pStyle w:val="FirstParagraph"/>
      </w:pPr>
      <w:r>
        <w:t xml:space="preserve">Sec. 18.5. Determination of applicability.</w:t>
      </w:r>
    </w:p>
    <w:p>
      <w:pPr>
        <w:pStyle w:val="BodyText"/>
      </w:pPr>
      <w:r>
        <w:t xml:space="preserve">It is unlawful for any person to disturb any existing vegetation, grades, and contours of land in a manner which may increase the potential for soil erosion and affect the quality and quantity of stormwater discharges associated with both the construction and postconstruction activity, without first applying for a determination of applicability from the Building Official or his or her designee, except that the following activities shall be determined to be subject to the requirements of this ordinance: all activities disturbing a acre1, total area equal to or greater than one including disturbances less than one acre if part of a larger common plan; and any activity that requires permit approval by the Rhode Island Department of Environmental Management (RIDEM). Upon determination of applicability, the owner/applicant shall submit a stormwater pollution prevention plan (SWPPP) for approval by the Building Official or his or her designee. The application for determination of applicability shall describe the location, nature, character, and time schedule of the proposed land disturbing activity in sufficient detail to allow the Building Official or his or her designee to determine the potential for soil erosion and sedimentation resulting from the proposed project. In determining the applicability of this Section to a particular land disturbing activity, the Building Official or his or her designee shall consider site topography, drainage patterns, soils, proximity to watercourses, and other such information as deemed appropriate by the Building Official or his or her designee. 1 Throughout this document, this term shall include disturbances less than one acre if part of a larger common plan.</w:t>
      </w:r>
    </w:p>
    <w:p>
      <w:pPr>
        <w:pStyle w:val="BodyText"/>
      </w:pPr>
      <w:r>
        <w:t xml:space="preserve">Where less than a total of one acre is disturbed, a particular land disturbing activity shall not be subject to the requirements of this ordinance if the Building Official or his or her designee finds that erosion resulting from the land disturbing activity is insignificant and represents no threat to adjacent properties or to the quality of any watercourse, as defined herein. The most current “Rhode Island Soil Erosion and Sediment Control Handbook” prepared by the U.S. Department of Agriculture Natural Resources Conservation Service, R.I. Department of Environmental Management, and R.I. State Conservation Committee shall be consulted in making this determination. In making this determination, the building official will also take into consideration the sensitivity of the waterbody to which the site drains. A waterbody and its watershed will be considered sensitive if a Total Maximum Daily Load or Special Area Management Plan is written or under development for it, or it is included on RIDEM’s 303(d) list, or is included on RIDEM’s list of Special Resource Protection Waters (Appendix D of the Water Quality Regulations), or has been noted by the municipality to be of special concern. The Building Official or his or her designee shall accept satisfactory evidence in writing from persons who have been conducting excavation and sand and gravel operations for more than one (1) year prior to the date of the determination of applicability. The evidence shall show that the excavation and the sand and gravel operations have been actively operating for five (5) years and that the procedures followed at the existing operations accomplish the objectives of the statute as such procedures prevent soil erosion and sedimentation from occurring and procedures regarding water disposal and soil surfaces promote the safety, public health and general welfare of the Town. Exemptions. No determination of applicability is required for the following:</w:t>
      </w:r>
    </w:p>
    <w:p>
      <w:pPr>
        <w:numPr>
          <w:ilvl w:val="0"/>
          <w:numId w:val="2776"/>
        </w:numPr>
      </w:pPr>
      <w:r>
        <w:t xml:space="preserve">(1) Construction, alteration, or use of any additions to existing single-family or duplex homes or related structures, provided the grounds coverage of such addition is less than 1,000 square feet; such construction, alteration, and use does not occur within 100 feet of any watercourse or coastal feature; and the slopes at the site of land disturbance do not exceed 10%.</w:t>
      </w:r>
    </w:p>
    <w:p>
      <w:pPr>
        <w:numPr>
          <w:ilvl w:val="0"/>
          <w:numId w:val="2777"/>
        </w:numPr>
      </w:pPr>
      <w:r>
        <w:t xml:space="preserve">(2) Use of a home garden in association with on-site residential use.</w:t>
      </w:r>
    </w:p>
    <w:p>
      <w:pPr>
        <w:numPr>
          <w:ilvl w:val="0"/>
          <w:numId w:val="2778"/>
        </w:numPr>
      </w:pPr>
      <w:r>
        <w:t xml:space="preserve">(3) Accepted agricultural management practices such as seasonal tilling and harvest activities associated with property utilized for private and/or commercial agricultural or silvacultural purpose.</w:t>
      </w:r>
    </w:p>
    <w:p>
      <w:pPr>
        <w:numPr>
          <w:ilvl w:val="0"/>
          <w:numId w:val="2779"/>
        </w:numPr>
      </w:pPr>
      <w:r>
        <w:t xml:space="preserve">(4) Excavations for improvements other than those described in Subsection E(1) of this section which exhibit all of the following characteristics:</w:t>
      </w:r>
    </w:p>
    <w:p>
      <w:pPr>
        <w:pStyle w:val="Compact"/>
        <w:numPr>
          <w:ilvl w:val="0"/>
          <w:numId w:val="2780"/>
        </w:numPr>
      </w:pPr>
    </w:p>
    <w:p>
      <w:pPr>
        <w:numPr>
          <w:ilvl w:val="1"/>
          <w:numId w:val="2781"/>
        </w:numPr>
      </w:pPr>
      <w:r>
        <w:t xml:space="preserve">(a) Does not result in a total displacement of more than 50 cubic yards of material.</w:t>
      </w:r>
    </w:p>
    <w:p>
      <w:pPr>
        <w:pStyle w:val="Compact"/>
        <w:numPr>
          <w:ilvl w:val="0"/>
          <w:numId w:val="2782"/>
        </w:numPr>
      </w:pPr>
    </w:p>
    <w:p>
      <w:pPr>
        <w:numPr>
          <w:ilvl w:val="1"/>
          <w:numId w:val="2783"/>
        </w:numPr>
      </w:pPr>
      <w:r>
        <w:t xml:space="preserve">(b) Has no slopes greater than 10%.</w:t>
      </w:r>
    </w:p>
    <w:p>
      <w:pPr>
        <w:pStyle w:val="Compact"/>
        <w:numPr>
          <w:ilvl w:val="0"/>
          <w:numId w:val="2784"/>
        </w:numPr>
      </w:pPr>
    </w:p>
    <w:p>
      <w:pPr>
        <w:numPr>
          <w:ilvl w:val="1"/>
          <w:numId w:val="2785"/>
        </w:numPr>
      </w:pPr>
      <w:r>
        <w:t xml:space="preserve">(c) Has all disturbed surface areas promptly and effectively protected to prevent soil erosion and sedimentation.</w:t>
      </w:r>
    </w:p>
    <w:p>
      <w:pPr>
        <w:numPr>
          <w:ilvl w:val="0"/>
          <w:numId w:val="2786"/>
        </w:numPr>
      </w:pPr>
      <w:r>
        <w:t xml:space="preserve">(5) Grading, as a maintenance measure, or for landscaping purposes on existing developed land parcels or lots provided that all bare surface is immediately seeded, sodded or otherwise protected from erosive actions and all of the following conditions are met:</w:t>
      </w:r>
    </w:p>
    <w:p>
      <w:pPr>
        <w:pStyle w:val="Compact"/>
        <w:numPr>
          <w:ilvl w:val="0"/>
          <w:numId w:val="2787"/>
        </w:numPr>
      </w:pPr>
    </w:p>
    <w:p>
      <w:pPr>
        <w:numPr>
          <w:ilvl w:val="1"/>
          <w:numId w:val="2788"/>
        </w:numPr>
      </w:pPr>
      <w:r>
        <w:t xml:space="preserve">(a) The aggregate areas of such activity do not exceed 2,000 square feet.</w:t>
      </w:r>
    </w:p>
    <w:p>
      <w:pPr>
        <w:pStyle w:val="Compact"/>
        <w:numPr>
          <w:ilvl w:val="0"/>
          <w:numId w:val="2789"/>
        </w:numPr>
      </w:pPr>
    </w:p>
    <w:p>
      <w:pPr>
        <w:numPr>
          <w:ilvl w:val="1"/>
          <w:numId w:val="2790"/>
        </w:numPr>
      </w:pPr>
      <w:r>
        <w:t xml:space="preserve">(b) The change of elevation does not exceed two feet at any point.</w:t>
      </w:r>
    </w:p>
    <w:p>
      <w:pPr>
        <w:pStyle w:val="Compact"/>
        <w:numPr>
          <w:ilvl w:val="0"/>
          <w:numId w:val="2791"/>
        </w:numPr>
      </w:pPr>
    </w:p>
    <w:p>
      <w:pPr>
        <w:numPr>
          <w:ilvl w:val="1"/>
          <w:numId w:val="2792"/>
        </w:numPr>
      </w:pPr>
      <w:r>
        <w:t xml:space="preserve">(c) The grading does not involve a quantity of fill greater than 18 cubic yards except where excavated from another portion of the same parcel, and the quantity does not exceed 50 cubic yards.</w:t>
      </w:r>
    </w:p>
    <w:p>
      <w:pPr>
        <w:pStyle w:val="Compact"/>
        <w:numPr>
          <w:ilvl w:val="0"/>
          <w:numId w:val="2793"/>
        </w:numPr>
      </w:pPr>
    </w:p>
    <w:p>
      <w:pPr>
        <w:numPr>
          <w:ilvl w:val="1"/>
          <w:numId w:val="2794"/>
        </w:numPr>
      </w:pPr>
      <w:r>
        <w:t xml:space="preserve">(d) When the preexisting use is a gravel extraction operation, the property owner shall conduct the operation in a manner so as not to devalue abutting properties, to protect abutting property from wind erosion and soil erosion, from increased runoff, sedimentation of reservoirs and drainage systems, and to limit the depth of extraction so as not to interfere with the nearby water table. Where any portion of a proposed development requires approval under the Rhode Island Freshwater Wetlands Act (G.L. 2-1-15 et seq. 2.), as amended, and where said approval contains provision for soil erosion and sediment controls, that approved plan shall be a component of the overall SWPPP required hereunder for the development.</w:t>
      </w:r>
    </w:p>
    <w:p>
      <w:pPr>
        <w:numPr>
          <w:ilvl w:val="0"/>
          <w:numId w:val="2795"/>
        </w:numPr>
      </w:pPr>
      <w:r>
        <w:t xml:space="preserve">(6) Grading, filling, removal, or excavation activities and operations undertaken by the Town under the direction of the Director of Public Works for work on streets, roads, or rights-of-way dedicated to public use; provided, however, that adequate and acceptable erosion and sediment controls and controls for other construction wastes, are incorporated in engineering plans and specifications, are followed and employed. Appropriate controls shall apply during construction as well as after the completion of these activities. All such work shall be undertaken in accordance with the performance principles provided for in Article V, Section 18.11, and such standards and definitions as may be adopted to implement such performance principles. ARTICLE IV</w:t>
      </w:r>
    </w:p>
    <w:bookmarkEnd w:id="137"/>
    <w:bookmarkStart w:id="138" w:name="provisions-of-plan---procedures"/>
    <w:p>
      <w:pPr>
        <w:pStyle w:val="Heading2"/>
      </w:pPr>
      <w:r>
        <w:t xml:space="preserve">§ 18.6. Provisions of plan - Procedures</w:t>
      </w:r>
    </w:p>
    <w:p>
      <w:pPr>
        <w:pStyle w:val="FirstParagraph"/>
      </w:pPr>
      <w:r>
        <w:t xml:space="preserve">Sec. 18.6. Provisions of plan - Procedures.</w:t>
      </w:r>
    </w:p>
    <w:p>
      <w:pPr>
        <w:numPr>
          <w:ilvl w:val="0"/>
          <w:numId w:val="2796"/>
        </w:numPr>
      </w:pPr>
      <w:r>
        <w:t xml:space="preserve">(1) To obtain approval for a land disturbing activity as found applicable by the building official or his or her designee under Article III, if the site is less than one (1) acre in size, an applicant shall file an erosion and sediment control plan. If the site is a total of one (1) acre or greater in size, they shall submit a Stormwater Pollution Prevention Plan (SWPPP), signed by the owner of the property, or authorized agent, on which the work subject to approval is to be performed. The plan or drawings, as described in Article V, shall include proposed erosion and sediment control and waste management measures to be employed by the applicant or the applicant’s agent.</w:t>
      </w:r>
    </w:p>
    <w:p>
      <w:pPr>
        <w:numPr>
          <w:ilvl w:val="0"/>
          <w:numId w:val="2797"/>
        </w:numPr>
      </w:pPr>
      <w:r>
        <w:t xml:space="preserve">(2) R.I. Freshwater Wetlands Permit: Where any portion of a proposed development requires approval under any provision of the general laws approved by the general assembly or where the approval contains provisions for soil erosion and sediment controls, that approved plan shall be a component of the overall soil erosion and sediment control plan or SWPPP required under this ordinance for the development</w:t>
      </w:r>
    </w:p>
    <w:p>
      <w:pPr>
        <w:numPr>
          <w:ilvl w:val="0"/>
          <w:numId w:val="1000"/>
        </w:numPr>
      </w:pPr>
      <w:r>
        <w:t xml:space="preserve">(3) Construction General Permit: In those cases where a SWPPP is submitted, the applicant will also submit a copy of the Notice of Intent.</w:t>
      </w:r>
    </w:p>
    <w:bookmarkEnd w:id="138"/>
    <w:bookmarkStart w:id="139" w:name="fees"/>
    <w:p>
      <w:pPr>
        <w:pStyle w:val="Heading2"/>
      </w:pPr>
      <w:r>
        <w:t xml:space="preserve">§ 18.7. Fees</w:t>
      </w:r>
    </w:p>
    <w:p>
      <w:pPr>
        <w:pStyle w:val="FirstParagraph"/>
      </w:pPr>
      <w:r>
        <w:t xml:space="preserve">Sec. 18.7. Fees.</w:t>
      </w:r>
    </w:p>
    <w:p>
      <w:pPr>
        <w:numPr>
          <w:ilvl w:val="0"/>
          <w:numId w:val="2798"/>
        </w:numPr>
      </w:pPr>
      <w:r>
        <w:t xml:space="preserve">(1) The Town may collect fair and reasonable fees from each applicant requesting approval of a SWPPP for the purpose of administering this ordinance.</w:t>
      </w:r>
    </w:p>
    <w:p>
      <w:pPr>
        <w:numPr>
          <w:ilvl w:val="0"/>
          <w:numId w:val="2799"/>
        </w:numPr>
      </w:pPr>
      <w:r>
        <w:t xml:space="preserve">(2) At the time of submission of a SWPPP to the Office of the Building Official or his or her designee, the applicant shall pay a filing fee. This fee is in addition to any required by the R.I. Freshwater Wetlands Act.</w:t>
      </w:r>
    </w:p>
    <w:p>
      <w:pPr>
        <w:numPr>
          <w:ilvl w:val="0"/>
          <w:numId w:val="2800"/>
        </w:numPr>
      </w:pPr>
      <w:r>
        <w:t xml:space="preserve">(3) The Building Official or his or her designee may waive the filing fee for an applicant who demonstrates that imposition of the filing fee will result in substantial hardship, or that the imposition of the filing fee will make unnecessarily difficult a project which should enjoy routine approval or which could be beneficial to soil, water, or land resources. Any such determination of waiving a filing fee shall be based upon documentation provided to the Building Official or his or her designee prior to the application for plan approval.</w:t>
      </w:r>
    </w:p>
    <w:p>
      <w:pPr>
        <w:numPr>
          <w:ilvl w:val="0"/>
          <w:numId w:val="2801"/>
        </w:numPr>
      </w:pPr>
      <w:r>
        <w:t xml:space="preserve">(4) The Building Official or his or her designee may waive the filing fee for an application or request filed by a Town office or agency.</w:t>
      </w:r>
    </w:p>
    <w:p>
      <w:pPr>
        <w:numPr>
          <w:ilvl w:val="0"/>
          <w:numId w:val="2802"/>
        </w:numPr>
      </w:pPr>
      <w:r>
        <w:t xml:space="preserve">(5) The Building Official or his or her designee may draw upon the fees for costs and expenses in processing applications, plans, and requests; copying plans, technical reports, and other documents for review; advertising, circulating, or otherwise publishing notices and information regarding applications and other matters pending; conducting hearings, meetings, field inspections and other professionally contracted reviews; and communicating with federal and state agencies, consultants and engineers, provided that only those costs and expenses are reasonably attributable to review, approval, disapproval, or other action on plans and determinations of applicability.</w:t>
      </w:r>
    </w:p>
    <w:p>
      <w:pPr>
        <w:numPr>
          <w:ilvl w:val="0"/>
          <w:numId w:val="2803"/>
        </w:numPr>
      </w:pPr>
      <w:r>
        <w:t xml:space="preserve">(6) This filing fee schedule (see Appendix A) has been determined by the Town to be commensurate with the expenses of providing these municipal services to applicants.</w:t>
      </w:r>
    </w:p>
    <w:bookmarkEnd w:id="139"/>
    <w:bookmarkStart w:id="140" w:name="plan-review"/>
    <w:p>
      <w:pPr>
        <w:pStyle w:val="Heading2"/>
      </w:pPr>
      <w:r>
        <w:t xml:space="preserve">§ 18.8. Plan review</w:t>
      </w:r>
    </w:p>
    <w:p>
      <w:pPr>
        <w:pStyle w:val="FirstParagraph"/>
      </w:pPr>
      <w:r>
        <w:t xml:space="preserve">Sec. 18.8. Plan review.</w:t>
      </w:r>
    </w:p>
    <w:p>
      <w:pPr>
        <w:pStyle w:val="BodyText"/>
      </w:pPr>
      <w:r>
        <w:t xml:space="preserve">Within ten (10) days of the receipt of a completed SWPPP, the Building Official or his or her designee shall send a copy of the plan to the review authorities which shall include the Public Works Department, the Planning Board, or Planning Department and Conservation Commission for the purpose of review and comment. The Building Official or his or her designee shall also within the above time frame submit copies of the SWPPP to other local departments or agencies, including the Northern Rhode Island Conservation District , in order to better achieve the purposes of this section. Failure of the aforementioned review authorities to respond within forty-five (45) days of their receipt of the plan shall be deemed as no objection to the plan as submitted. The time allowed for plan review shall be commensurate with the proposed development project, and shall be done simultaneously with other reviews.</w:t>
      </w:r>
    </w:p>
    <w:bookmarkEnd w:id="140"/>
    <w:bookmarkStart w:id="141" w:name="plan-approval"/>
    <w:p>
      <w:pPr>
        <w:pStyle w:val="Heading2"/>
      </w:pPr>
      <w:r>
        <w:t xml:space="preserve">§ 18.9. Plan approval</w:t>
      </w:r>
    </w:p>
    <w:p>
      <w:pPr>
        <w:pStyle w:val="FirstParagraph"/>
      </w:pPr>
      <w:r>
        <w:t xml:space="preserve">Sec. 18.9. Plan approval.</w:t>
      </w:r>
    </w:p>
    <w:p>
      <w:pPr>
        <w:pStyle w:val="BodyText"/>
      </w:pPr>
      <w:r>
        <w:t xml:space="preserve">The Building Official or his or her designee shall take action in writing either approving or disapproving the SWPPP with reasons stated within ten (10) days after the Building Official or his or her designee has received the written opinion of the aforementioned review authorities. In approving a SWPPP, the Building Official or his or her designee may attach such conditions deemed reasonably necessary by the aforementioned review authorities to further the purposes of this ordinance. The conditions pertaining to control measures and/or devices, may include, but are not limited to, the erection of walls, drains, dams, and structures, planting vegetation, trees and shrubs, furnishings, necessary easements, good housekeeping and spill prevention measures for construction waste; and specification of the methods for performance and timing of various kinds of work. The applicant/owner shall notify the Building Official or his or her designee in advance of his or her intent to begin clearing and construction work described in the SWPPP. The applicant shall have the SWPPP on the site during grading and construction. Following receipt of a permit, the applicant/owner shall notify the Building Official or his designee at least 72 hours in advance of his intent to begin clearing and construction work on the site as described within the approved SWPPP. Projects requiring review and approval from the Planning and/or Zoning Board shall receive Final approvals from the appropriate board prior to commencement of any land disturbing activities as described above. The applicant shall have an approved copy of the SWPPP on site for the duration of the project and shall be made available upon request.</w:t>
      </w:r>
    </w:p>
    <w:bookmarkEnd w:id="141"/>
    <w:bookmarkStart w:id="142" w:name="appeals"/>
    <w:p>
      <w:pPr>
        <w:pStyle w:val="Heading2"/>
      </w:pPr>
      <w:r>
        <w:t xml:space="preserve">§ 18.10. Appeals</w:t>
      </w:r>
    </w:p>
    <w:p>
      <w:pPr>
        <w:pStyle w:val="FirstParagraph"/>
      </w:pPr>
      <w:r>
        <w:t xml:space="preserve">Sec. 18.10. Appeals.</w:t>
      </w:r>
    </w:p>
    <w:p>
      <w:pPr>
        <w:numPr>
          <w:ilvl w:val="0"/>
          <w:numId w:val="2804"/>
        </w:numPr>
      </w:pPr>
      <w:r>
        <w:t xml:space="preserve">18.10.1. Administrative procedures. If the finding made by the Building Official or his or her designee is unsatisfactory to the applicant/owner, the applicant/owner may file a written appeal. The appeal of plans for SWPPP shall be in the Zoning Board of Review or other appropriate board of review, as determined by the Town Council. Appeal procedures shall follow current requirements for appeal to boards above. During the period in which the request for appeal is filed, and until such time as a final decision is rendered on the appeal, the decision of the Building Official or his or her designee shall remain in effect.</w:t>
      </w:r>
    </w:p>
    <w:p>
      <w:pPr>
        <w:numPr>
          <w:ilvl w:val="0"/>
          <w:numId w:val="2805"/>
        </w:numPr>
      </w:pPr>
      <w:r>
        <w:t xml:space="preserve">18.10.2 Expert opinion. The official or his/her designee and/or the Zoning Board of Review or other board of review, may seek technical assistance on any SWPPP. The expert opinion must be made available in the office of the Building Official or his or her designee as a public record prior to the appeals hearing. ARTICLE V</w:t>
      </w:r>
    </w:p>
    <w:bookmarkEnd w:id="142"/>
    <w:bookmarkStart w:id="143" w:name="Xf39ebf6bbc8b3f18ab8e7a41ac1687b8ed60af7"/>
    <w:p>
      <w:pPr>
        <w:pStyle w:val="Heading2"/>
      </w:pPr>
      <w:r>
        <w:t xml:space="preserve">§ 18.11. Soil Erosion and Sediment Control Plan, and Stormwater Pollution</w:t>
      </w:r>
    </w:p>
    <w:p>
      <w:pPr>
        <w:pStyle w:val="FirstParagraph"/>
      </w:pPr>
      <w:r>
        <w:t xml:space="preserve">Sec. 18.11. Soil Erosion and Sediment Control Plan, and Stormwater Pollution.</w:t>
      </w:r>
    </w:p>
    <w:p>
      <w:pPr>
        <w:pStyle w:val="BodyText"/>
      </w:pPr>
      <w:r>
        <w:t xml:space="preserve">Prevention Plan. Upon determination of applicability by the Building Official or his or her designee, the erosion and sediment control plan and/or SWPPP shall be prepared by a registered engineer, or landscape architect or a Certified Erosion, Sediment and Stormwater Inspector (by CPESC, Inc) and copies of the plan shall be submitted to the Building Official or his or her designee. The SWPPP shall include sufficient information about the proposed activities and land parcel(s) to form a clear basis for discussion and review and to assure compliance with all applicable requirements of this section. The SWPPP for proposed activities disturbing a total of one (1) acre or greater shall be prepared in conformance with the requirements for a Storm Water Pollution Prevention Plan (SWPPP), as provided in the RI Department of Environmental Management’s General Permit for Storm Water Discharge Associated with Construction Activity. For sites disturbing less than one acre, the plan shall be consistent with the data collection, data analysis, and plan preparation guidelines in the current “Rhode Island Soil Erosion and Sediment Control Handbook”, prepared by the U.S. Department of Agriculture, Natural Resources Conservation Service, R.I. Department of Environmental Management and R.I. State Conservation Committee, and at a minimum, shall contain:</w:t>
      </w:r>
    </w:p>
    <w:p>
      <w:pPr>
        <w:numPr>
          <w:ilvl w:val="0"/>
          <w:numId w:val="2806"/>
        </w:numPr>
      </w:pPr>
      <w:r>
        <w:t xml:space="preserve">(1) A brief narrative describing the proposed land disturbing activity and the soil erosion and sediment control measures, waste management measures, and stormwater management measures to be installed to control erosion and mitigate any change in water quality and quantity that could result from the proposed activity. Supporting documentation, such as a drainage area, existing site, and soil maps shall be provided as required by the Building Official or his or her designee.</w:t>
      </w:r>
    </w:p>
    <w:p>
      <w:pPr>
        <w:numPr>
          <w:ilvl w:val="0"/>
          <w:numId w:val="2807"/>
        </w:numPr>
      </w:pPr>
      <w:r>
        <w:t xml:space="preserve">(2) Construction drawings in detail commensurate with the size of the project, sensitivity of the potentially impacted waterbody and distance to water and/or storm water system. These drawings will illustrate existing and proposed contours, drainage features,and vegetation; limit of clearing and grading, the location of soil erosion and sediment control and storm water management measures, detail drawings of measures; stock piles and borrow areas; waste collection and burial areas; concrete truck wash out sites; sequence and staging of land disturbing activities; and other such information needed for construction.</w:t>
      </w:r>
    </w:p>
    <w:p>
      <w:pPr>
        <w:numPr>
          <w:ilvl w:val="0"/>
          <w:numId w:val="2808"/>
        </w:numPr>
      </w:pPr>
      <w:r>
        <w:t xml:space="preserve">(3) A schedule showing the sequence of construction and inspection and maintenance of erosion and sediment control and waste control measures.</w:t>
      </w:r>
    </w:p>
    <w:p>
      <w:pPr>
        <w:numPr>
          <w:ilvl w:val="0"/>
          <w:numId w:val="2809"/>
        </w:numPr>
      </w:pPr>
      <w:r>
        <w:t xml:space="preserve">(4) All applicants shall provide other information or construction plans and details as deemed necessary by the Building Official or his or her designee for thorough review of the plan prior to action being taken as prescribed in this section.</w:t>
      </w:r>
    </w:p>
    <w:p>
      <w:pPr>
        <w:numPr>
          <w:ilvl w:val="0"/>
          <w:numId w:val="2810"/>
        </w:numPr>
      </w:pPr>
      <w:r>
        <w:t xml:space="preserve">(5) Withholding or delay of this information in whole or in part may be reason for the Building Official or his or her designee to judge the application as deficient and shall serve as grounds for disapproval.</w:t>
      </w:r>
    </w:p>
    <w:p>
      <w:pPr>
        <w:numPr>
          <w:ilvl w:val="0"/>
          <w:numId w:val="2811"/>
        </w:numPr>
      </w:pPr>
      <w:r>
        <w:t xml:space="preserve">(6) If the application is deemed to be incomplete by the Building Official or his designee, he shall send a letter of deficiency to the applicant within seven days from the date of submission citing those sections of the application which are incomplete.</w:t>
      </w:r>
    </w:p>
    <w:p>
      <w:pPr>
        <w:numPr>
          <w:ilvl w:val="0"/>
          <w:numId w:val="2812"/>
        </w:numPr>
      </w:pPr>
      <w:r>
        <w:t xml:space="preserve">(7) Erosion and sediment controls. A description, including construction details appropriate to the site, for both vegetative and structural practices. Vegetative BMPs are designed to preserve existing vegetation where attainable and revegetate open areas as soon as practicable after grading or construction. Structural BMPs divert flows from exposed soils, filter runoff, store flows or otherwise limit runoff from coming into contact with exposed, unvegetated areas of the site and to prevent sediments and/or other pollutants from leaving the site.</w:t>
      </w:r>
    </w:p>
    <w:p>
      <w:pPr>
        <w:numPr>
          <w:ilvl w:val="0"/>
          <w:numId w:val="2813"/>
        </w:numPr>
      </w:pPr>
      <w:r>
        <w:t xml:space="preserve">(8) Post-construction stormwater management. A description of measures that will be installed during the construction project to control pollutants in stormwater discharges that will occur at the site after the construction operations have been completed. These measures shall reflect best practices as described in the most recent RIDEM Stormwater Design and Installation Standards Manual. Maintenance activities for these measures shall be described in accordance with Subsection 18.15 below. Other controls.</w:t>
      </w:r>
    </w:p>
    <w:p>
      <w:pPr>
        <w:pStyle w:val="Compact"/>
        <w:numPr>
          <w:ilvl w:val="0"/>
          <w:numId w:val="2814"/>
        </w:numPr>
      </w:pPr>
    </w:p>
    <w:p>
      <w:pPr>
        <w:numPr>
          <w:ilvl w:val="1"/>
          <w:numId w:val="2815"/>
        </w:numPr>
      </w:pPr>
      <w:r>
        <w:t xml:space="preserve">(a) Waste disposal: A description of the other controls, including construction details appropriate for the site, to eliminate the discharge of other construction wastes found on the construction site. All types of waste generated at the site shall be disposed of in a manner consistent with state law and/or regulations.</w:t>
      </w:r>
    </w:p>
    <w:p>
      <w:pPr>
        <w:pStyle w:val="Compact"/>
        <w:numPr>
          <w:ilvl w:val="0"/>
          <w:numId w:val="2816"/>
        </w:numPr>
      </w:pPr>
    </w:p>
    <w:p>
      <w:pPr>
        <w:numPr>
          <w:ilvl w:val="1"/>
          <w:numId w:val="2817"/>
        </w:numPr>
      </w:pPr>
      <w:r>
        <w:t xml:space="preserve">(b) Good housekeeping: Good housekeeping measures to provide for the minimization of exposure of construction debris to precipitation and for the proper disposal of such debris shall be specified.</w:t>
      </w:r>
    </w:p>
    <w:p>
      <w:pPr>
        <w:pStyle w:val="Compact"/>
        <w:numPr>
          <w:ilvl w:val="0"/>
          <w:numId w:val="2818"/>
        </w:numPr>
      </w:pPr>
    </w:p>
    <w:p>
      <w:pPr>
        <w:numPr>
          <w:ilvl w:val="1"/>
          <w:numId w:val="2819"/>
        </w:numPr>
      </w:pPr>
      <w:r>
        <w:t xml:space="preserve">(c) Spill prevention: Areas where potential spills can occur shall be identified. The potential for spills to enter the stormwater drainage system shall be eliminated wherever feasible.</w:t>
      </w:r>
    </w:p>
    <w:p>
      <w:pPr>
        <w:pStyle w:val="Compact"/>
        <w:numPr>
          <w:ilvl w:val="0"/>
          <w:numId w:val="2820"/>
        </w:numPr>
      </w:pPr>
    </w:p>
    <w:p>
      <w:pPr>
        <w:numPr>
          <w:ilvl w:val="1"/>
          <w:numId w:val="2821"/>
        </w:numPr>
      </w:pPr>
      <w:r>
        <w:t xml:space="preserve">(d) Maintenance: A description of procedures to maintain, in good and effective operating condition, vegetation, stormwater control measures, and other protective measures, identified in the site plan.</w:t>
      </w:r>
    </w:p>
    <w:p>
      <w:pPr>
        <w:pStyle w:val="Compact"/>
        <w:numPr>
          <w:ilvl w:val="0"/>
          <w:numId w:val="2822"/>
        </w:numPr>
      </w:pPr>
    </w:p>
    <w:p>
      <w:pPr>
        <w:numPr>
          <w:ilvl w:val="1"/>
          <w:numId w:val="2823"/>
        </w:numPr>
      </w:pPr>
      <w:r>
        <w:t xml:space="preserve">(e) Cost estimate: A description of the cost required to implement all control measures as shown on the plan.</w:t>
      </w:r>
    </w:p>
    <w:p>
      <w:pPr>
        <w:pStyle w:val="Compact"/>
        <w:numPr>
          <w:ilvl w:val="0"/>
          <w:numId w:val="2824"/>
        </w:numPr>
      </w:pPr>
    </w:p>
    <w:p>
      <w:pPr>
        <w:numPr>
          <w:ilvl w:val="1"/>
          <w:numId w:val="2825"/>
        </w:numPr>
      </w:pPr>
      <w:r>
        <w:t xml:space="preserve">(f) Other information: Other information or construction plans and details as deemed necessary by the Building Official or his designee for thorough review of the plan prior to action being taken as prescribed in this article.</w:t>
      </w:r>
    </w:p>
    <w:bookmarkEnd w:id="143"/>
    <w:bookmarkStart w:id="144" w:name="performance-principles"/>
    <w:p>
      <w:pPr>
        <w:pStyle w:val="Heading2"/>
      </w:pPr>
      <w:r>
        <w:t xml:space="preserve">§ 18.12. Performance principles</w:t>
      </w:r>
    </w:p>
    <w:p>
      <w:pPr>
        <w:pStyle w:val="FirstParagraph"/>
      </w:pPr>
      <w:r>
        <w:t xml:space="preserve">Sec. 18.12. Performance principles.</w:t>
      </w:r>
    </w:p>
    <w:p>
      <w:pPr>
        <w:pStyle w:val="BodyText"/>
      </w:pPr>
      <w:r>
        <w:t xml:space="preserve">The contents of the SWPPP shall clearly demonstrate how the principles, outlined below, have been met in the design and are to be accomplished by the proposed development project.</w:t>
      </w:r>
    </w:p>
    <w:p>
      <w:pPr>
        <w:numPr>
          <w:ilvl w:val="0"/>
          <w:numId w:val="2826"/>
        </w:numPr>
      </w:pPr>
      <w:r>
        <w:t xml:space="preserve">(1) Pursue Low Impact Design (LID) to the maximum extent possible. LID site planning and design strategies must be used to the maximum extent possible in order to reduce the generation of water runoff volumes for both new and redevelopment projects. In the event any of the following LID strategies are rejected as infeasible at a site, the specific rationale for rejection must be provided by the applicant. LID design includes the following:</w:t>
      </w:r>
    </w:p>
    <w:p>
      <w:pPr>
        <w:numPr>
          <w:ilvl w:val="0"/>
          <w:numId w:val="2827"/>
        </w:numPr>
      </w:pPr>
      <w:r>
        <w:t xml:space="preserve">a. Protect as much undisturbed open space as possible to maintain predevelopment hydrology and allow precipitation to naturally infiltrate into the ground.</w:t>
      </w:r>
    </w:p>
    <w:p>
      <w:pPr>
        <w:numPr>
          <w:ilvl w:val="0"/>
          <w:numId w:val="2828"/>
        </w:numPr>
      </w:pPr>
      <w:r>
        <w:t xml:space="preserve">b. Maximize the protection of natural drainage areas, streams, surface waters, and wetlands;</w:t>
      </w:r>
    </w:p>
    <w:p>
      <w:pPr>
        <w:numPr>
          <w:ilvl w:val="0"/>
          <w:numId w:val="2829"/>
        </w:numPr>
      </w:pPr>
      <w:r>
        <w:t xml:space="preserve">c. Minimize land disturbance including clearing and grading;</w:t>
      </w:r>
    </w:p>
    <w:p>
      <w:pPr>
        <w:numPr>
          <w:ilvl w:val="0"/>
          <w:numId w:val="2830"/>
        </w:numPr>
      </w:pPr>
      <w:r>
        <w:t xml:space="preserve">d. Minimize soil compaction;</w:t>
      </w:r>
    </w:p>
    <w:p>
      <w:pPr>
        <w:numPr>
          <w:ilvl w:val="0"/>
          <w:numId w:val="2831"/>
        </w:numPr>
      </w:pPr>
      <w:r>
        <w:t xml:space="preserve">e. Provide low-maintenance landscaping that encourages retention and planting of native vegetation and minimizes the use of lawns, fertilizers, and pesticides;</w:t>
      </w:r>
    </w:p>
    <w:p>
      <w:pPr>
        <w:numPr>
          <w:ilvl w:val="0"/>
          <w:numId w:val="2832"/>
        </w:numPr>
      </w:pPr>
      <w:r>
        <w:t xml:space="preserve">f. Minimize impervious surfaces;</w:t>
      </w:r>
    </w:p>
    <w:p>
      <w:pPr>
        <w:numPr>
          <w:ilvl w:val="0"/>
          <w:numId w:val="2833"/>
        </w:numPr>
      </w:pPr>
      <w:r>
        <w:t xml:space="preserve">g. Minimize the decrease in the “time of concentration” from pre-construction to post construction, where “time of concentration” means the time it takes for runoff to travel from the hydraulically most distant point of the drainage area to the point of interest within a watershed;</w:t>
      </w:r>
    </w:p>
    <w:p>
      <w:pPr>
        <w:numPr>
          <w:ilvl w:val="0"/>
          <w:numId w:val="2834"/>
        </w:numPr>
      </w:pPr>
      <w:r>
        <w:t xml:space="preserve">h. Infiltrate precipitation as close as possible to the point it reaches the ground using vegetated conveyance and treatment systems;</w:t>
      </w:r>
    </w:p>
    <w:p>
      <w:pPr>
        <w:numPr>
          <w:ilvl w:val="0"/>
          <w:numId w:val="2835"/>
        </w:numPr>
      </w:pPr>
      <w:r>
        <w:t xml:space="preserve">i. Break up or disconnect the flow of runoff over impervious surfaces; and</w:t>
      </w:r>
    </w:p>
    <w:p>
      <w:pPr>
        <w:numPr>
          <w:ilvl w:val="0"/>
          <w:numId w:val="2836"/>
        </w:numPr>
      </w:pPr>
      <w:r>
        <w:t xml:space="preserve">j. Provide source controls to prevent or minimize the use of exposure of pollutants into stormwater runoff at the site in order to prevent or minimize the release of those pollutants into stormwater runoff.</w:t>
      </w:r>
    </w:p>
    <w:p>
      <w:pPr>
        <w:pStyle w:val="Compact"/>
        <w:numPr>
          <w:ilvl w:val="0"/>
          <w:numId w:val="2837"/>
        </w:numPr>
      </w:pPr>
    </w:p>
    <w:p>
      <w:pPr>
        <w:numPr>
          <w:ilvl w:val="1"/>
          <w:numId w:val="2838"/>
        </w:numPr>
      </w:pPr>
      <w:r>
        <w:t xml:space="preserve">(2) The site selected shall show due regard for natural drainage characteristics and topography.</w:t>
      </w:r>
    </w:p>
    <w:p>
      <w:pPr>
        <w:pStyle w:val="Compact"/>
        <w:numPr>
          <w:ilvl w:val="0"/>
          <w:numId w:val="2839"/>
        </w:numPr>
      </w:pPr>
    </w:p>
    <w:p>
      <w:pPr>
        <w:numPr>
          <w:ilvl w:val="1"/>
          <w:numId w:val="2840"/>
        </w:numPr>
      </w:pPr>
      <w:r>
        <w:t xml:space="preserve">(3) To the extent possible, steep slopes shall be avoided.</w:t>
      </w:r>
    </w:p>
    <w:p>
      <w:pPr>
        <w:pStyle w:val="Compact"/>
        <w:numPr>
          <w:ilvl w:val="0"/>
          <w:numId w:val="2841"/>
        </w:numPr>
      </w:pPr>
    </w:p>
    <w:p>
      <w:pPr>
        <w:numPr>
          <w:ilvl w:val="1"/>
          <w:numId w:val="2842"/>
        </w:numPr>
      </w:pPr>
      <w:r>
        <w:t xml:space="preserve">(4) The grade of slopes created shall be minimized.</w:t>
      </w:r>
    </w:p>
    <w:p>
      <w:pPr>
        <w:pStyle w:val="Compact"/>
        <w:numPr>
          <w:ilvl w:val="0"/>
          <w:numId w:val="2843"/>
        </w:numPr>
      </w:pPr>
    </w:p>
    <w:p>
      <w:pPr>
        <w:numPr>
          <w:ilvl w:val="1"/>
          <w:numId w:val="2844"/>
        </w:numPr>
      </w:pPr>
      <w:r>
        <w:t xml:space="preserve">(5) Post-development runoff rates should not exceed pre-development rates, consistent with other storm water requirements which may be in effect. Any increase in storm water runoff shall be retained and recharged as close as feasible to its place of origin by means of detention ponds or basins, seepage areas, subsurface drains, porous paving, or similar technique.</w:t>
      </w:r>
    </w:p>
    <w:p>
      <w:pPr>
        <w:pStyle w:val="Compact"/>
        <w:numPr>
          <w:ilvl w:val="0"/>
          <w:numId w:val="2845"/>
        </w:numPr>
      </w:pPr>
    </w:p>
    <w:p>
      <w:pPr>
        <w:numPr>
          <w:ilvl w:val="1"/>
          <w:numId w:val="2846"/>
        </w:numPr>
      </w:pPr>
      <w:r>
        <w:t xml:space="preserve">(6) Original boundaries, alignment, and slope of watercourses within the project locus shall be preserved to the greatest extent feasible.</w:t>
      </w:r>
    </w:p>
    <w:p>
      <w:pPr>
        <w:pStyle w:val="Compact"/>
        <w:numPr>
          <w:ilvl w:val="0"/>
          <w:numId w:val="2847"/>
        </w:numPr>
      </w:pPr>
    </w:p>
    <w:p>
      <w:pPr>
        <w:numPr>
          <w:ilvl w:val="1"/>
          <w:numId w:val="2848"/>
        </w:numPr>
      </w:pPr>
      <w:r>
        <w:t xml:space="preserve">(7) In general, drainage shall be directed away from structures intended for human occupancy, municipal or utility use, or similar structures.</w:t>
      </w:r>
    </w:p>
    <w:p>
      <w:pPr>
        <w:pStyle w:val="Compact"/>
        <w:numPr>
          <w:ilvl w:val="0"/>
          <w:numId w:val="2849"/>
        </w:numPr>
      </w:pPr>
    </w:p>
    <w:p>
      <w:pPr>
        <w:numPr>
          <w:ilvl w:val="1"/>
          <w:numId w:val="2850"/>
        </w:numPr>
      </w:pPr>
      <w:r>
        <w:t xml:space="preserve">(8) All drainage provisions shall be of such a design and capacity so as to adequately handle storm water runoff, including runoff from tributary upstream areas which may be outside the locus of the project.</w:t>
      </w:r>
    </w:p>
    <w:p>
      <w:pPr>
        <w:pStyle w:val="Compact"/>
        <w:numPr>
          <w:ilvl w:val="0"/>
          <w:numId w:val="2851"/>
        </w:numPr>
      </w:pPr>
    </w:p>
    <w:p>
      <w:pPr>
        <w:numPr>
          <w:ilvl w:val="1"/>
          <w:numId w:val="2852"/>
        </w:numPr>
      </w:pPr>
      <w:r>
        <w:t xml:space="preserve">(9) Drainage facilities shall be installed as early as feasible during construction prior to site clearance, if possible.</w:t>
      </w:r>
    </w:p>
    <w:p>
      <w:pPr>
        <w:pStyle w:val="Compact"/>
        <w:numPr>
          <w:ilvl w:val="0"/>
          <w:numId w:val="2853"/>
        </w:numPr>
      </w:pPr>
    </w:p>
    <w:p>
      <w:pPr>
        <w:numPr>
          <w:ilvl w:val="1"/>
          <w:numId w:val="2854"/>
        </w:numPr>
      </w:pPr>
      <w:r>
        <w:t xml:space="preserve">(10) Fill located adjacent to watercourses shall be suitably protected from erosion by means of rip-rap, gabions, retaining walls, vegetative stabilization, or similar measures.</w:t>
      </w:r>
    </w:p>
    <w:p>
      <w:pPr>
        <w:pStyle w:val="Compact"/>
        <w:numPr>
          <w:ilvl w:val="0"/>
          <w:numId w:val="2855"/>
        </w:numPr>
      </w:pPr>
    </w:p>
    <w:p>
      <w:pPr>
        <w:numPr>
          <w:ilvl w:val="1"/>
          <w:numId w:val="2856"/>
        </w:numPr>
      </w:pPr>
      <w:r>
        <w:t xml:space="preserve">(11) Temporary vegetation and/or mulching shall be used to protect bare areas and stock-piles from erosion during construction; the smallest areas feasible shall be exposed at any one time; disturbed areas shall be protected during the non-growing months, November through March.</w:t>
      </w:r>
    </w:p>
    <w:p>
      <w:pPr>
        <w:pStyle w:val="Compact"/>
        <w:numPr>
          <w:ilvl w:val="0"/>
          <w:numId w:val="2857"/>
        </w:numPr>
      </w:pPr>
    </w:p>
    <w:p>
      <w:pPr>
        <w:numPr>
          <w:ilvl w:val="1"/>
          <w:numId w:val="2858"/>
        </w:numPr>
      </w:pPr>
      <w:r>
        <w:t xml:space="preserve">(12) During the growing season, April through October, permanent vegetation shall be placed immediately following fine grading.</w:t>
      </w:r>
    </w:p>
    <w:p>
      <w:pPr>
        <w:pStyle w:val="Compact"/>
        <w:numPr>
          <w:ilvl w:val="0"/>
          <w:numId w:val="2859"/>
        </w:numPr>
      </w:pPr>
    </w:p>
    <w:p>
      <w:pPr>
        <w:numPr>
          <w:ilvl w:val="1"/>
          <w:numId w:val="2860"/>
        </w:numPr>
      </w:pPr>
      <w:r>
        <w:t xml:space="preserve">(13) Trees and other existing vegetation shall be retained whenever feasible; the area beyond within the dripline shall be fenced or roped off to protect trees from construction equipment.</w:t>
      </w:r>
    </w:p>
    <w:p>
      <w:pPr>
        <w:pStyle w:val="Compact"/>
        <w:numPr>
          <w:ilvl w:val="0"/>
          <w:numId w:val="2861"/>
        </w:numPr>
      </w:pPr>
    </w:p>
    <w:p>
      <w:pPr>
        <w:numPr>
          <w:ilvl w:val="1"/>
          <w:numId w:val="2862"/>
        </w:numPr>
      </w:pPr>
      <w:r>
        <w:t xml:space="preserve">(14) Construction wastes will be managed to reduce the potential for stormwater runoff to mobilize them and contaminate surface or ground water. The storage, disposal, or use as fill of material containing asphalt, concrete, construction debris or stumps, even if determined to be non-hazardous, is prohibited.</w:t>
      </w:r>
    </w:p>
    <w:p>
      <w:pPr>
        <w:pStyle w:val="Compact"/>
        <w:numPr>
          <w:ilvl w:val="0"/>
          <w:numId w:val="2863"/>
        </w:numPr>
      </w:pPr>
    </w:p>
    <w:p>
      <w:pPr>
        <w:numPr>
          <w:ilvl w:val="1"/>
          <w:numId w:val="2864"/>
        </w:numPr>
      </w:pPr>
      <w:r>
        <w:t xml:space="preserve">(15) All areas damaged during construction shall be resodded, reseeded, or otherwise restored. Where soil compaction has occurred through storage of materials or use of equipment, soil infiltration shall be restored through use of soil amendments or other means. Monitoring and maintenance schedules, where required, shall be predetermined.</w:t>
      </w:r>
    </w:p>
    <w:p>
      <w:pPr>
        <w:pStyle w:val="Compact"/>
        <w:numPr>
          <w:ilvl w:val="0"/>
          <w:numId w:val="2865"/>
        </w:numPr>
      </w:pPr>
    </w:p>
    <w:p>
      <w:pPr>
        <w:numPr>
          <w:ilvl w:val="1"/>
          <w:numId w:val="2866"/>
        </w:numPr>
      </w:pPr>
      <w:r>
        <w:t xml:space="preserve">(16) All controls installed or used to achieve compliance with this SWPPP must be properly operated and maintained at all times.</w:t>
      </w:r>
    </w:p>
    <w:p>
      <w:pPr>
        <w:pStyle w:val="Compact"/>
        <w:numPr>
          <w:ilvl w:val="0"/>
          <w:numId w:val="2867"/>
        </w:numPr>
      </w:pPr>
    </w:p>
    <w:p>
      <w:pPr>
        <w:numPr>
          <w:ilvl w:val="1"/>
          <w:numId w:val="2868"/>
        </w:numPr>
      </w:pPr>
      <w:r>
        <w:t xml:space="preserve">(17) Sediment controls, stormwater measures, and other controls shall protect downstream water bodies from adverse water quality and quantity impacts resulting from the construction activities.</w:t>
      </w:r>
    </w:p>
    <w:p>
      <w:pPr>
        <w:pStyle w:val="Compact"/>
        <w:numPr>
          <w:ilvl w:val="0"/>
          <w:numId w:val="2869"/>
        </w:numPr>
      </w:pPr>
    </w:p>
    <w:p>
      <w:pPr>
        <w:numPr>
          <w:ilvl w:val="1"/>
          <w:numId w:val="2870"/>
        </w:numPr>
      </w:pPr>
      <w:r>
        <w:t xml:space="preserve">(18) Groundwater recharge: Stormwater must be recharged to maintain baseflow at predevelopment recharge levels to the maximum extent practicable.</w:t>
      </w:r>
    </w:p>
    <w:p>
      <w:pPr>
        <w:pStyle w:val="Compact"/>
        <w:numPr>
          <w:ilvl w:val="0"/>
          <w:numId w:val="2871"/>
        </w:numPr>
      </w:pPr>
    </w:p>
    <w:p>
      <w:pPr>
        <w:numPr>
          <w:ilvl w:val="1"/>
          <w:numId w:val="2872"/>
        </w:numPr>
      </w:pPr>
      <w:r>
        <w:t xml:space="preserve">(19) Water quality: Stormwater runoff from a site must be adequately treated before discharge.</w:t>
      </w:r>
    </w:p>
    <w:p>
      <w:pPr>
        <w:pStyle w:val="Compact"/>
        <w:numPr>
          <w:ilvl w:val="0"/>
          <w:numId w:val="2873"/>
        </w:numPr>
      </w:pPr>
    </w:p>
    <w:p>
      <w:pPr>
        <w:numPr>
          <w:ilvl w:val="1"/>
          <w:numId w:val="2874"/>
        </w:numPr>
      </w:pPr>
      <w:r>
        <w:t xml:space="preserve">(20) Pollution prevention: All development sites require the use of source control and pollution prevention measures to minimize the impact that the land use may have on stormwater runoff quality. ARTICLE VI. ENFORCEMENT</w:t>
      </w:r>
    </w:p>
    <w:bookmarkEnd w:id="144"/>
    <w:bookmarkStart w:id="145" w:name="performance-bond"/>
    <w:p>
      <w:pPr>
        <w:pStyle w:val="Heading2"/>
      </w:pPr>
      <w:r>
        <w:t xml:space="preserve">§ 18.13. Performance bond</w:t>
      </w:r>
    </w:p>
    <w:p>
      <w:pPr>
        <w:pStyle w:val="FirstParagraph"/>
      </w:pPr>
      <w:r>
        <w:t xml:space="preserve">Sec. 18.13. Performance bond.</w:t>
      </w:r>
    </w:p>
    <w:p>
      <w:pPr>
        <w:pStyle w:val="BodyText"/>
      </w:pPr>
      <w:r>
        <w:t xml:space="preserve">Before approving a SWPPP, the Building Official or his or her designee may require the applicant/owner to file a surety company performance bond or deposit of money or negotiable securities or other method of surety, as specified by the Building Official or his or her designee. When any land disturbing activity is to take place within one hundred feet (100’) of any watercourse or within an identified flood hazard district, or on slopes in excess of ten percent (10%), the filing of a performance bond or deposit of money or negotiable securities or other method of surety as specified by the Building Official or his or her designee shall be required. The amount of the bond, as determined by the Public Works Department, or in its absence, the Building Official or his or her designee, shall be sufficient to cover the cost of implementing all control measures as shown on the plan. The bond or negotiable security filed by the applicant shall be subject to approval of the form, content, amount, and manner of execution by the Public Works Director and the Town Solicitor.</w:t>
      </w:r>
    </w:p>
    <w:p>
      <w:pPr>
        <w:pStyle w:val="BodyText"/>
      </w:pPr>
      <w:r>
        <w:t xml:space="preserve">A performance bond for a SWPPP for a subdivision may be included in the performance bond of the subdivision. The posting of the bond as part of the subdivision performance bond does not, however, relieve the owner of any requirement(s) of this ordinance. Section 18.13.1. Notice of default on performance secured by bond.</w:t>
      </w:r>
    </w:p>
    <w:p>
      <w:pPr>
        <w:numPr>
          <w:ilvl w:val="0"/>
          <w:numId w:val="2875"/>
        </w:numPr>
      </w:pPr>
      <w:r>
        <w:t xml:space="preserve">(1) Whenever the Building Official or his or her designee shall find that a default has occurred in the performance of any term(s) or condition(s) of the bond or in the implementation of measures secured by the bond, written notice thereof shall be made to the applicant and to the surety of the bond by the Town Solicitor. The notice shall state the nature of default, work to be done, the estimated cost thereof, and the period of time deemed by the Building Official or his or her designee to be reasonably necessary for the completion of the work.</w:t>
      </w:r>
    </w:p>
    <w:p>
      <w:pPr>
        <w:numPr>
          <w:ilvl w:val="0"/>
          <w:numId w:val="2876"/>
        </w:numPr>
      </w:pPr>
      <w:r>
        <w:t xml:space="preserve">(2) Failure of the applicant to acknowledge and comply with the provisions and deadlines outlined in such notice of default shall mean the institution, by the Town Solicitor, without further notice of proceedings whatsoever, of appropriate measures to utilize the performance bond to cause the required work to be completed by the Town, by contract or by other appropriate means as determined by the Town Solicitor.</w:t>
      </w:r>
    </w:p>
    <w:p>
      <w:pPr>
        <w:numPr>
          <w:ilvl w:val="0"/>
          <w:numId w:val="2877"/>
        </w:numPr>
      </w:pPr>
      <w:r>
        <w:t xml:space="preserve">18.13.2. Notice of default on performance secured by certified check. If a certified check has been posted by the applicant, notice and procedure shall be the same as provided for in the preceding Section 18.15.2.</w:t>
      </w:r>
    </w:p>
    <w:p>
      <w:pPr>
        <w:numPr>
          <w:ilvl w:val="0"/>
          <w:numId w:val="2878"/>
        </w:numPr>
      </w:pPr>
      <w:r>
        <w:t xml:space="preserve">18.13.3. Release from performance bond conditions. The performance bonding requirement shall remain in full force and effect for twelve (12) months following completion of the project, or longer if deemed necessary by the Building Official or his or her designee.</w:t>
      </w:r>
    </w:p>
    <w:bookmarkEnd w:id="145"/>
    <w:bookmarkStart w:id="146" w:name="approval-expiration-renewal"/>
    <w:p>
      <w:pPr>
        <w:pStyle w:val="Heading2"/>
      </w:pPr>
      <w:r>
        <w:t xml:space="preserve">§ 18.14. Approval-Expiration-Renewal</w:t>
      </w:r>
    </w:p>
    <w:p>
      <w:pPr>
        <w:pStyle w:val="FirstParagraph"/>
      </w:pPr>
      <w:r>
        <w:t xml:space="preserve">Sec. 18.14. Approval-Expiration-Renewal.</w:t>
      </w:r>
    </w:p>
    <w:p>
      <w:pPr>
        <w:numPr>
          <w:ilvl w:val="0"/>
          <w:numId w:val="2879"/>
        </w:numPr>
      </w:pPr>
      <w:r>
        <w:t xml:space="preserve">A. Expiration. Every approval granted herein shall expire at the end of the time period set forth in the conditions. The developer shall fully perform and complete all of the work required within the specified time period.</w:t>
      </w:r>
    </w:p>
    <w:p>
      <w:pPr>
        <w:numPr>
          <w:ilvl w:val="0"/>
          <w:numId w:val="2880"/>
        </w:numPr>
      </w:pPr>
      <w:r>
        <w:t xml:space="preserve">B. Renewal. If the developer is unable to complete the work within the designated time period, he or she shall, at least thirty (30) days prior to the expiration date, submit a written request for an extension of time to the Building Official or his or her designee, setting forth the reasons underlying the requested time extension. If the extension is warranted, the Building Official or his or her designee may grant an extension of time up to a maximum of one year from the date of the original deadline. Subsequent extensions under the same conditions may be granted at the discretion of the Building Official or his or her designee.</w:t>
      </w:r>
    </w:p>
    <w:bookmarkEnd w:id="146"/>
    <w:bookmarkStart w:id="147" w:name="maintenance-of-measures"/>
    <w:p>
      <w:pPr>
        <w:pStyle w:val="Heading2"/>
      </w:pPr>
      <w:r>
        <w:t xml:space="preserve">§ 18.15. Maintenance of measures</w:t>
      </w:r>
    </w:p>
    <w:p>
      <w:pPr>
        <w:pStyle w:val="FirstParagraph"/>
      </w:pPr>
      <w:r>
        <w:t xml:space="preserve">Sec. 18.15. Maintenance of measures.</w:t>
      </w:r>
    </w:p>
    <w:p>
      <w:pPr>
        <w:pStyle w:val="BodyText"/>
      </w:pPr>
      <w:r>
        <w:t xml:space="preserve">Maintenance of all erosion-sediment control devices under this ordinance shall be the responsibility of the owner. The erosion-sediment control measures and controls for other wastes shall be maintained in good condition and working order on a continuing basis. Watercourses originating and located completely on private property shall be the responsibility of the owner to their point of open discharge at the property line or at a communal watercourse within the property.</w:t>
      </w:r>
    </w:p>
    <w:bookmarkEnd w:id="147"/>
    <w:bookmarkStart w:id="148" w:name="liability-of-applicant"/>
    <w:p>
      <w:pPr>
        <w:pStyle w:val="Heading2"/>
      </w:pPr>
      <w:r>
        <w:t xml:space="preserve">§ 18.16. Liability of applicant</w:t>
      </w:r>
    </w:p>
    <w:p>
      <w:pPr>
        <w:pStyle w:val="FirstParagraph"/>
      </w:pPr>
      <w:r>
        <w:t xml:space="preserve">Sec. 18.16. Liability of applicant.</w:t>
      </w:r>
    </w:p>
    <w:p>
      <w:pPr>
        <w:pStyle w:val="BodyText"/>
      </w:pPr>
      <w:r>
        <w:t xml:space="preserve">Neither approval of a SWPPP nor compliance with any condition of this Section shall relieve the owner/applicant from any responsibility for damage to persons or property, nor impose any liability upon the Town for damages to persons or property. ARTICLE VII</w:t>
      </w:r>
    </w:p>
    <w:bookmarkEnd w:id="148"/>
    <w:bookmarkStart w:id="149" w:name="inspections"/>
    <w:p>
      <w:pPr>
        <w:pStyle w:val="Heading2"/>
      </w:pPr>
      <w:r>
        <w:t xml:space="preserve">§ 18.17. Inspections</w:t>
      </w:r>
    </w:p>
    <w:p>
      <w:pPr>
        <w:pStyle w:val="FirstParagraph"/>
      </w:pPr>
      <w:r>
        <w:t xml:space="preserve">Sec. 18.17. Inspections.</w:t>
      </w:r>
    </w:p>
    <w:p>
      <w:pPr>
        <w:numPr>
          <w:ilvl w:val="0"/>
          <w:numId w:val="2881"/>
        </w:numPr>
      </w:pPr>
      <w:r>
        <w:t xml:space="preserve">18.17.1. Periodic inspections. The provisions of this ordinance shall be administered and enforced by the Building Official or his or her designee. All work shall be subject to periodic inspections by the Building Official or his or her designee. All work shall be performed in accordance with an inspection and construction control schedule approved by the Building Official or his or her designee, who shall maintain a permanent file on all of his or her inspections. The owner or his/her agent shall make regular inspections of all control measures in accordance with the inspection schedule outlined on the approved Erosion and Sediment Control Plan. The purpose of such inspections will be to determine the overall effectiveness of the control plan and the need for additional control measures. All inspections shall be conducted by a properly trained professional recognized as a Certified Erosion, Sediment and Storm Water Building Official or his or her designee (CESSWI) by the Certified Professional in Erosion and Sediment Control (CPESC, Inc). All inspections shall be documented in written form and submitted to the building official as requested. The building official or his or her designee will perform a minimum of two (2) inspections; one during construction and one after final stabilization of the site. The developer or owner shall notify the building official of the installation of erosion and sediment control measures, in order for an inspection to be performed during the construction phase of the project. The building official or his/her designee will confirm that wastes are controlled and that the erosion and sediment control practices are installed as planned, meet the needs of the site and conform with the RI Erosion &amp; Sediment Control Handbook.</w:t>
      </w:r>
    </w:p>
    <w:p>
      <w:pPr>
        <w:numPr>
          <w:ilvl w:val="0"/>
          <w:numId w:val="2882"/>
        </w:numPr>
      </w:pPr>
      <w:r>
        <w:t xml:space="preserve">18.17.2. Final inspection.</w:t>
      </w:r>
    </w:p>
    <w:p>
      <w:pPr>
        <w:pStyle w:val="Compact"/>
        <w:numPr>
          <w:ilvl w:val="0"/>
          <w:numId w:val="2883"/>
        </w:numPr>
      </w:pPr>
    </w:p>
    <w:p>
      <w:pPr>
        <w:numPr>
          <w:ilvl w:val="1"/>
          <w:numId w:val="2884"/>
        </w:numPr>
      </w:pPr>
      <w:r>
        <w:t xml:space="preserve">(1) Upon completion of all work, the developer shall notify the Building Official or his or her designee that all grading, drainage, erosion and sediment control measures and devices, vegetation and ground cover plantings, and controls for other wastes have been completed in conformity with the approval; all attached plans, specifications, and conditions; and other applicable provisions of this article.</w:t>
      </w:r>
    </w:p>
    <w:p>
      <w:pPr>
        <w:pStyle w:val="Compact"/>
        <w:numPr>
          <w:ilvl w:val="0"/>
          <w:numId w:val="2885"/>
        </w:numPr>
      </w:pPr>
    </w:p>
    <w:p>
      <w:pPr>
        <w:numPr>
          <w:ilvl w:val="1"/>
          <w:numId w:val="2886"/>
        </w:numPr>
      </w:pPr>
      <w:r>
        <w:t xml:space="preserve">(2) Upon notification of the completion by the owner, the Building Official or his or her designee shall make a final inspection of the site in question and shall prepare a final summary inspection report of its findings which shall be retained in the Office of the Building Official or his or her designee and in the Department of Public Works permanent inspections file.</w:t>
      </w:r>
    </w:p>
    <w:p>
      <w:pPr>
        <w:pStyle w:val="Compact"/>
        <w:numPr>
          <w:ilvl w:val="0"/>
          <w:numId w:val="2887"/>
        </w:numPr>
      </w:pPr>
    </w:p>
    <w:p>
      <w:pPr>
        <w:numPr>
          <w:ilvl w:val="1"/>
          <w:numId w:val="2888"/>
        </w:numPr>
      </w:pPr>
      <w:r>
        <w:t xml:space="preserve">(3) The applicant/owner may request the release of his/her performance bond from the Building Official or his or her designee twelve (12) months after the final site inspection has been completed and approved. In the instance where the performance bond has been posted with the recording of a final subdivision, the bond shall be released after the Building Official or his or her designee has been notified by the Town Planner of successful completion of all plat improvements by the applicant/owner.</w:t>
      </w:r>
    </w:p>
    <w:bookmarkEnd w:id="149"/>
    <w:bookmarkStart w:id="150" w:name="Xccd966af54a251727fffd9550a43f99491adcae"/>
    <w:p>
      <w:pPr>
        <w:pStyle w:val="Heading2"/>
      </w:pPr>
      <w:r>
        <w:t xml:space="preserve">§ 18.18. Approval under state Freshwater Wetlands Act</w:t>
      </w:r>
    </w:p>
    <w:p>
      <w:pPr>
        <w:pStyle w:val="FirstParagraph"/>
      </w:pPr>
      <w:r>
        <w:t xml:space="preserve">Sec. 18.18. Approval under state Freshwater Wetlands Act.</w:t>
      </w:r>
    </w:p>
    <w:p>
      <w:pPr>
        <w:pStyle w:val="BodyText"/>
      </w:pPr>
      <w:r>
        <w:t xml:space="preserve">Where any portion of a proposed development requires approval under the state Freshwater Wetlands Act and where the approval contains provisions for soil erosion and sediment controls, that approved plan shall be a component of the overall SWPPP required by this article for the development. ARTICLE VIII NOTIFICATION</w:t>
      </w:r>
    </w:p>
    <w:bookmarkEnd w:id="150"/>
    <w:bookmarkStart w:id="151" w:name="notification-non-compliance"/>
    <w:p>
      <w:pPr>
        <w:pStyle w:val="Heading2"/>
      </w:pPr>
      <w:r>
        <w:t xml:space="preserve">§ 18.19. Notification, non-compliance</w:t>
      </w:r>
    </w:p>
    <w:p>
      <w:pPr>
        <w:pStyle w:val="FirstParagraph"/>
      </w:pPr>
      <w:r>
        <w:t xml:space="preserve">Sec. 18.19. Notification, non-compliance.</w:t>
      </w:r>
    </w:p>
    <w:p>
      <w:pPr>
        <w:pStyle w:val="BodyText"/>
      </w:pPr>
      <w:r>
        <w:t xml:space="preserve">If, at any stage, the work-in-progress and/or completed under the terms of an approved SWPPP does not conform to the plan, a written notice from the Building Official or his or her designee to comply shall be transmitted by certified mail to the owner. The notice shall set forth the nature of the temporary and permanent corrections required and the time limit within which corrections shall be completed as set forth in Section 16.2.2. Failure to comply with the required corrections within the specified time limit shall be considered in violation of this section, in which case the performance bond or cash or negotiable securities deposit shall be subject to notice of default, in accordance with Section 18.15.2.</w:t>
      </w:r>
    </w:p>
    <w:bookmarkEnd w:id="151"/>
    <w:bookmarkStart w:id="152" w:name="penalties"/>
    <w:p>
      <w:pPr>
        <w:pStyle w:val="Heading2"/>
      </w:pPr>
      <w:r>
        <w:t xml:space="preserve">§ 18.20. Penalties</w:t>
      </w:r>
    </w:p>
    <w:p>
      <w:pPr>
        <w:pStyle w:val="FirstParagraph"/>
      </w:pPr>
      <w:r>
        <w:t xml:space="preserve">Sec. 18.20. Penalties.</w:t>
      </w:r>
    </w:p>
    <w:p>
      <w:pPr>
        <w:numPr>
          <w:ilvl w:val="0"/>
          <w:numId w:val="2889"/>
        </w:numPr>
      </w:pPr>
      <w:r>
        <w:t xml:space="preserve">18.20.1. Revocation of suspension of approval. The approval of a SWPPP under this Section may be revoked or suspended by the Building Official or his or her designee and all work on the project halted for an indefinite time period by the Building Official or his or her designee after written notification is transmitted by the Building Official or his or her designee to the developer for one or more of the following reasons:</w:t>
      </w:r>
    </w:p>
    <w:p>
      <w:pPr>
        <w:pStyle w:val="Compact"/>
        <w:numPr>
          <w:ilvl w:val="0"/>
          <w:numId w:val="2890"/>
        </w:numPr>
      </w:pPr>
    </w:p>
    <w:p>
      <w:pPr>
        <w:numPr>
          <w:ilvl w:val="1"/>
          <w:numId w:val="2891"/>
        </w:numPr>
      </w:pPr>
      <w:r>
        <w:t xml:space="preserve">(1) Violation of any condition of the approved plan or specifications pertaining thereto.</w:t>
      </w:r>
    </w:p>
    <w:p>
      <w:pPr>
        <w:pStyle w:val="Compact"/>
        <w:numPr>
          <w:ilvl w:val="0"/>
          <w:numId w:val="2892"/>
        </w:numPr>
      </w:pPr>
    </w:p>
    <w:p>
      <w:pPr>
        <w:numPr>
          <w:ilvl w:val="1"/>
          <w:numId w:val="2893"/>
        </w:numPr>
      </w:pPr>
      <w:r>
        <w:t xml:space="preserve">(2) Violation of any provision of this chapter or any other applicable law, ordinance, article, rule, or regulation related to the work or site of work.</w:t>
      </w:r>
    </w:p>
    <w:p>
      <w:pPr>
        <w:pStyle w:val="Compact"/>
        <w:numPr>
          <w:ilvl w:val="0"/>
          <w:numId w:val="2894"/>
        </w:numPr>
      </w:pPr>
    </w:p>
    <w:p>
      <w:pPr>
        <w:numPr>
          <w:ilvl w:val="1"/>
          <w:numId w:val="2895"/>
        </w:numPr>
      </w:pPr>
      <w:r>
        <w:t xml:space="preserve">(3) The existence of any condition or the performance of any act constituting or creating a nuisance, hazard, or endangerment to human life or the property of others or contrary to the spirit or intent of this chapter.</w:t>
      </w:r>
    </w:p>
    <w:p>
      <w:pPr>
        <w:numPr>
          <w:ilvl w:val="0"/>
          <w:numId w:val="2896"/>
        </w:numPr>
      </w:pPr>
      <w:r>
        <w:t xml:space="preserve">18.20.2. Other penalties. In addition, thereto, whenever there is a failure to comply with the provisions of this Section, the Town shall have the right to notify the applicant/owner that he must cease work immediately and/or has twenty-four (24) hours from the receipt of notice to temporarily correct the violations and thirty (30) days from receipt of notice to permanently correct the violations. Should the applicant/owner fail to take the temporary corrective measures within the twenty-four (24) hour period and the permanent corrective measure within the thirty-day (30) period, the Town shall then have the right to take whatever actions it deems necessary to correct the violations and to assert a lien on the subject property in an amount equal to the costs of remedial actions. The lien shall be enforced in a manner provided or authorized by law for the enforcement of common law liens on personal property. The lien shall be recorded with the records of land evidence of the Town, and the lien shall incur legal interest from the date of recording. The imposition of any penalty shall not exempt the offender from compliance with the provisions of this Section, including revocation of the performance bond or assessment of a lien on the property by the Town. A reinspection fee shall be required ARTICLE IV. DEFINITIONS</w:t>
      </w:r>
    </w:p>
    <w:bookmarkEnd w:id="152"/>
    <w:bookmarkStart w:id="153" w:name="definitions-of-selected-terms"/>
    <w:p>
      <w:pPr>
        <w:pStyle w:val="Heading2"/>
      </w:pPr>
      <w:r>
        <w:t xml:space="preserve">§ 18.21. Definitions of Selected Terms</w:t>
      </w:r>
    </w:p>
    <w:p>
      <w:pPr>
        <w:pStyle w:val="FirstParagraph"/>
      </w:pPr>
      <w:r>
        <w:t xml:space="preserve">Sec. 18.21. Definitions of Selected Terms.</w:t>
      </w:r>
    </w:p>
    <w:p>
      <w:pPr>
        <w:pStyle w:val="BodyText"/>
      </w:pPr>
      <w:r>
        <w:t xml:space="preserve">The following words, terms, and phrases, when used in this chapter, shall have the meanings ascribed to them in this section, except where the context clearly indicates a different meaning: Applicant: Any person(s), corporation, or public or private organization proposing a development which would involve disturbance to the natural terrain as herein defined. Best Management Practices (BMPs):Schedules of activities, prohibitions of practices, general good house keeping practices, pollution prevention and educational practices, maintenance procedures, and other management practices to prevent or reduce the discharge of pollutants directly or indirectly to stormwater, receiving waters, or stormwater conveyance systems. BMPs also include treatment practices, operating procedures, and practices to control site runoff, spillage or leaks, sludge or water disposal, solid waste disposal, or drainage from raw materials storage.</w:t>
      </w:r>
    </w:p>
    <w:p>
      <w:pPr>
        <w:pStyle w:val="BodyText"/>
      </w:pPr>
      <w:r>
        <w:t xml:space="preserve">Construction wastes: Solid and/or liquid wastes generated from the construction/site</w:t>
      </w:r>
    </w:p>
    <w:tbl>
      <w:tblPr>
        <w:tblStyle w:val="Table"/>
        <w:tblW w:type="auto" w:w="0"/>
        <w:jc w:val="left"/>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t xml:space="preserve">concrete asphalt Cut:</w:t>
            </w:r>
          </w:p>
        </w:tc>
        <w:tc>
          <w:tcPr/>
          <w:p>
            <w:pPr>
              <w:pStyle w:val="Compact"/>
              <w:jc w:val="left"/>
            </w:pPr>
            <w:r>
              <w:t xml:space="preserve">development An</w:t>
            </w:r>
          </w:p>
        </w:tc>
        <w:tc>
          <w:tcPr/>
          <w:p>
            <w:pPr>
              <w:pStyle w:val="Compact"/>
              <w:jc w:val="left"/>
            </w:pPr>
            <w:r>
              <w:t xml:space="preserve">truck and</w:t>
            </w:r>
          </w:p>
        </w:tc>
        <w:tc>
          <w:tcPr/>
          <w:p>
            <w:pPr>
              <w:pStyle w:val="Compact"/>
            </w:pPr>
          </w:p>
        </w:tc>
        <w:tc>
          <w:tcPr/>
          <w:p>
            <w:pPr>
              <w:pStyle w:val="Compact"/>
              <w:jc w:val="left"/>
            </w:pPr>
            <w:r>
              <w:t xml:space="preserve">process. concrete. excavation.</w:t>
            </w:r>
          </w:p>
        </w:tc>
        <w:tc>
          <w:tcPr/>
          <w:p>
            <w:pPr>
              <w:pStyle w:val="Compact"/>
              <w:jc w:val="left"/>
            </w:pPr>
            <w:r>
              <w:t xml:space="preserve">washout,</w:t>
            </w:r>
          </w:p>
        </w:tc>
        <w:tc>
          <w:tcPr/>
          <w:p>
            <w:pPr>
              <w:pStyle w:val="Compact"/>
              <w:jc w:val="left"/>
            </w:pPr>
            <w:r>
              <w:t xml:space="preserve">This The</w:t>
            </w:r>
          </w:p>
        </w:tc>
      </w:tr>
      <w:tr>
        <w:tc>
          <w:tcPr/>
          <w:p>
            <w:pPr>
              <w:pStyle w:val="Compact"/>
            </w:pPr>
          </w:p>
        </w:tc>
        <w:tc>
          <w:tcPr/>
          <w:p>
            <w:pPr>
              <w:pStyle w:val="Compact"/>
              <w:jc w:val="left"/>
            </w:pPr>
            <w:r>
              <w:t xml:space="preserve">designated excavation. Development</w:t>
            </w:r>
          </w:p>
        </w:tc>
        <w:tc>
          <w:tcPr/>
          <w:p>
            <w:pPr>
              <w:pStyle w:val="Compact"/>
            </w:pPr>
          </w:p>
        </w:tc>
        <w:tc>
          <w:tcPr/>
          <w:p>
            <w:pPr>
              <w:pStyle w:val="Compact"/>
              <w:jc w:val="left"/>
            </w:pPr>
            <w:r>
              <w:t xml:space="preserve">point</w:t>
            </w:r>
          </w:p>
        </w:tc>
        <w:tc>
          <w:tcPr/>
          <w:p>
            <w:pPr>
              <w:pStyle w:val="Compact"/>
              <w:jc w:val="left"/>
            </w:pPr>
            <w:r>
              <w:t xml:space="preserve">of project:</w:t>
            </w:r>
          </w:p>
        </w:tc>
        <w:tc>
          <w:tcPr/>
          <w:p>
            <w:pPr>
              <w:pStyle w:val="Compact"/>
            </w:pPr>
          </w:p>
        </w:tc>
        <w:tc>
          <w:tcPr/>
          <w:p>
            <w:pPr>
              <w:pStyle w:val="Compact"/>
              <w:jc w:val="left"/>
            </w:pPr>
            <w:r>
              <w:t xml:space="preserve">lower</w:t>
            </w:r>
          </w:p>
        </w:tc>
      </w:tr>
      <w:tr>
        <w:tc>
          <w:tcPr/>
          <w:p>
            <w:pPr>
              <w:pStyle w:val="Compact"/>
            </w:pPr>
          </w:p>
        </w:tc>
        <w:tc>
          <w:tcPr/>
          <w:p>
            <w:pPr>
              <w:pStyle w:val="Compact"/>
              <w:jc w:val="left"/>
            </w:pPr>
            <w:r>
              <w:t xml:space="preserve">structures, including Disturbed</w:t>
            </w:r>
          </w:p>
        </w:tc>
        <w:tc>
          <w:tcPr/>
          <w:p>
            <w:pPr>
              <w:pStyle w:val="Compact"/>
              <w:jc w:val="left"/>
            </w:pPr>
            <w:r>
              <w:t xml:space="preserve">any area:</w:t>
            </w:r>
          </w:p>
        </w:tc>
        <w:tc>
          <w:tcPr/>
          <w:p>
            <w:pPr>
              <w:pStyle w:val="Compact"/>
            </w:pPr>
          </w:p>
        </w:tc>
        <w:tc>
          <w:tcPr/>
          <w:p>
            <w:pPr>
              <w:pStyle w:val="Compact"/>
              <w:jc w:val="left"/>
            </w:pPr>
            <w:r>
              <w:t xml:space="preserve">roadways, action An</w:t>
            </w:r>
          </w:p>
        </w:tc>
        <w:tc>
          <w:tcPr/>
          <w:p>
            <w:pPr>
              <w:pStyle w:val="Compact"/>
            </w:pPr>
          </w:p>
        </w:tc>
        <w:tc>
          <w:tcPr/>
          <w:p>
            <w:pPr>
              <w:pStyle w:val="Compact"/>
              <w:jc w:val="left"/>
            </w:pPr>
            <w:r>
              <w:t xml:space="preserve">area</w:t>
            </w:r>
          </w:p>
        </w:tc>
      </w:tr>
      <w:tr>
        <w:tc>
          <w:tcPr/>
          <w:p>
            <w:pPr>
              <w:pStyle w:val="Compact"/>
              <w:jc w:val="left"/>
            </w:pPr>
            <w:r>
              <w:t xml:space="preserve">altered Erosion:</w:t>
            </w:r>
          </w:p>
        </w:tc>
        <w:tc>
          <w:tcPr/>
          <w:p>
            <w:pPr>
              <w:pStyle w:val="Compact"/>
            </w:pPr>
          </w:p>
        </w:tc>
        <w:tc>
          <w:tcPr/>
          <w:p>
            <w:pPr>
              <w:pStyle w:val="Compact"/>
              <w:jc w:val="left"/>
            </w:pPr>
            <w:r>
              <w:t xml:space="preserve">and, The</w:t>
            </w:r>
          </w:p>
        </w:tc>
        <w:tc>
          <w:tcPr/>
          <w:p>
            <w:pPr>
              <w:pStyle w:val="Compact"/>
            </w:pPr>
          </w:p>
        </w:tc>
        <w:tc>
          <w:tcPr/>
          <w:p>
            <w:pPr>
              <w:pStyle w:val="Compact"/>
              <w:jc w:val="left"/>
            </w:pPr>
            <w:r>
              <w:t xml:space="preserve">therefore, removal</w:t>
            </w:r>
          </w:p>
        </w:tc>
        <w:tc>
          <w:tcPr/>
          <w:p>
            <w:pPr>
              <w:pStyle w:val="Compact"/>
            </w:pPr>
          </w:p>
        </w:tc>
        <w:tc>
          <w:tcPr/>
          <w:p>
            <w:pPr>
              <w:pStyle w:val="Compact"/>
              <w:jc w:val="left"/>
            </w:pPr>
            <w:r>
              <w:t xml:space="preserve">of</w:t>
            </w:r>
          </w:p>
        </w:tc>
      </w:tr>
      <w:tr>
        <w:tc>
          <w:tcPr/>
          <w:p>
            <w:pPr>
              <w:pStyle w:val="Compact"/>
              <w:jc w:val="left"/>
            </w:pPr>
            <w:r>
              <w:t xml:space="preserve">and/or</w:t>
            </w:r>
          </w:p>
        </w:tc>
        <w:tc>
          <w:tcPr/>
          <w:p>
            <w:pPr>
              <w:pStyle w:val="Compact"/>
              <w:jc w:val="left"/>
            </w:pPr>
            <w:r>
              <w:t xml:space="preserve">Excavate:</w:t>
            </w:r>
          </w:p>
        </w:tc>
        <w:tc>
          <w:tcPr/>
          <w:p>
            <w:pPr>
              <w:pStyle w:val="Compact"/>
              <w:jc w:val="left"/>
            </w:pPr>
            <w:r>
              <w:t xml:space="preserve">gravity. Any</w:t>
            </w:r>
          </w:p>
        </w:tc>
        <w:tc>
          <w:tcPr/>
          <w:p>
            <w:pPr>
              <w:pStyle w:val="Compact"/>
            </w:pPr>
          </w:p>
        </w:tc>
        <w:tc>
          <w:tcPr/>
          <w:p>
            <w:pPr>
              <w:pStyle w:val="Compact"/>
              <w:jc w:val="left"/>
            </w:pPr>
            <w:r>
              <w:t xml:space="preserve">act</w:t>
            </w:r>
          </w:p>
        </w:tc>
        <w:tc>
          <w:tcPr/>
          <w:p>
            <w:pPr>
              <w:pStyle w:val="Compact"/>
              <w:jc w:val="left"/>
            </w:pPr>
            <w:r>
              <w:t xml:space="preserve">by</w:t>
            </w:r>
          </w:p>
        </w:tc>
        <w:tc>
          <w:tcPr/>
          <w:p>
            <w:pPr>
              <w:pStyle w:val="Compact"/>
            </w:pPr>
          </w:p>
        </w:tc>
      </w:tr>
      <w:tr>
        <w:tc>
          <w:tcPr/>
          <w:p>
            <w:pPr>
              <w:pStyle w:val="Compact"/>
              <w:jc w:val="left"/>
            </w:pPr>
            <w:r>
              <w:t xml:space="preserve">into, Fill:</w:t>
            </w:r>
          </w:p>
        </w:tc>
        <w:tc>
          <w:tcPr/>
          <w:p>
            <w:pPr>
              <w:pStyle w:val="Compact"/>
              <w:jc w:val="left"/>
            </w:pPr>
            <w:r>
              <w:t xml:space="preserve">cut, resulting Any</w:t>
            </w:r>
          </w:p>
        </w:tc>
        <w:tc>
          <w:tcPr/>
          <w:p>
            <w:pPr>
              <w:pStyle w:val="Compact"/>
              <w:jc w:val="left"/>
            </w:pPr>
            <w:r>
              <w:t xml:space="preserve">act</w:t>
            </w:r>
          </w:p>
        </w:tc>
        <w:tc>
          <w:tcPr/>
          <w:p>
            <w:pPr>
              <w:pStyle w:val="Compact"/>
              <w:jc w:val="left"/>
            </w:pPr>
            <w:r>
              <w:t xml:space="preserve">removed, therefrom. by</w:t>
            </w:r>
          </w:p>
        </w:tc>
        <w:tc>
          <w:tcPr/>
          <w:p>
            <w:pPr>
              <w:pStyle w:val="Compact"/>
            </w:pPr>
          </w:p>
        </w:tc>
        <w:tc>
          <w:tcPr/>
          <w:p>
            <w:pPr>
              <w:pStyle w:val="Compact"/>
              <w:jc w:val="left"/>
            </w:pPr>
            <w:r>
              <w:t xml:space="preserve">which</w:t>
            </w:r>
          </w:p>
        </w:tc>
        <w:tc>
          <w:tcPr/>
          <w:p>
            <w:pPr>
              <w:pStyle w:val="Compact"/>
              <w:jc w:val="left"/>
            </w:pPr>
            <w:r>
              <w:t xml:space="preserve">displaced,</w:t>
            </w:r>
          </w:p>
        </w:tc>
      </w:tr>
      <w:tr>
        <w:tc>
          <w:tcPr/>
          <w:p>
            <w:pPr>
              <w:pStyle w:val="Compact"/>
              <w:jc w:val="left"/>
            </w:pPr>
            <w:r>
              <w:t xml:space="preserve">Gabion:</w:t>
            </w:r>
          </w:p>
        </w:tc>
        <w:tc>
          <w:tcPr/>
          <w:p>
            <w:pPr>
              <w:pStyle w:val="Compact"/>
              <w:jc w:val="left"/>
            </w:pPr>
            <w:r>
              <w:t xml:space="preserve">aboveground. undisturbed</w:t>
            </w:r>
          </w:p>
        </w:tc>
        <w:tc>
          <w:tcPr/>
          <w:p>
            <w:pPr>
              <w:pStyle w:val="Compact"/>
              <w:jc w:val="left"/>
            </w:pPr>
            <w:r>
              <w:t xml:space="preserve">A</w:t>
            </w:r>
          </w:p>
        </w:tc>
        <w:tc>
          <w:tcPr/>
          <w:p>
            <w:pPr>
              <w:pStyle w:val="Compact"/>
            </w:pPr>
          </w:p>
        </w:tc>
        <w:tc>
          <w:tcPr/>
          <w:p>
            <w:pPr>
              <w:pStyle w:val="Compact"/>
              <w:jc w:val="left"/>
            </w:pPr>
            <w:r>
              <w:t xml:space="preserve">The ground rectangular</w:t>
            </w:r>
          </w:p>
        </w:tc>
        <w:tc>
          <w:tcPr/>
          <w:p>
            <w:pPr>
              <w:pStyle w:val="Compact"/>
              <w:jc w:val="left"/>
            </w:pPr>
            <w:r>
              <w:t xml:space="preserve">fill</w:t>
            </w:r>
          </w:p>
        </w:tc>
        <w:tc>
          <w:tcPr/>
          <w:p>
            <w:pPr>
              <w:pStyle w:val="Compact"/>
              <w:jc w:val="left"/>
            </w:pPr>
            <w:r>
              <w:t xml:space="preserve">is and or</w:t>
            </w:r>
          </w:p>
        </w:tc>
      </w:tr>
      <w:tr>
        <w:tc>
          <w:tcPr/>
          <w:p>
            <w:pPr>
              <w:pStyle w:val="Compact"/>
              <w:jc w:val="left"/>
            </w:pPr>
            <w:r>
              <w:t xml:space="preserve">used Land</w:t>
            </w:r>
          </w:p>
        </w:tc>
        <w:tc>
          <w:tcPr/>
          <w:p>
            <w:pPr>
              <w:pStyle w:val="Compact"/>
              <w:jc w:val="left"/>
            </w:pPr>
            <w:r>
              <w:t xml:space="preserve">as a</w:t>
            </w:r>
          </w:p>
        </w:tc>
        <w:tc>
          <w:tcPr/>
          <w:p>
            <w:pPr>
              <w:pStyle w:val="Compact"/>
              <w:jc w:val="left"/>
            </w:pPr>
            <w:r>
              <w:t xml:space="preserve">disturbing</w:t>
            </w:r>
          </w:p>
        </w:tc>
        <w:tc>
          <w:tcPr/>
          <w:p>
            <w:pPr>
              <w:pStyle w:val="Compact"/>
              <w:jc w:val="left"/>
            </w:pPr>
            <w:r>
              <w:t xml:space="preserve">protecting</w:t>
            </w:r>
          </w:p>
        </w:tc>
        <w:tc>
          <w:tcPr/>
          <w:p>
            <w:pPr>
              <w:pStyle w:val="Compact"/>
            </w:pPr>
          </w:p>
        </w:tc>
        <w:tc>
          <w:tcPr/>
          <w:p>
            <w:pPr>
              <w:pStyle w:val="Compact"/>
              <w:jc w:val="left"/>
            </w:pPr>
            <w:r>
              <w:t xml:space="preserve">activity:</w:t>
            </w:r>
          </w:p>
        </w:tc>
        <w:tc>
          <w:tcPr/>
          <w:p>
            <w:pPr>
              <w:pStyle w:val="Compact"/>
              <w:jc w:val="left"/>
            </w:pPr>
            <w:r>
              <w:t xml:space="preserve">agent,</w:t>
            </w:r>
          </w:p>
        </w:tc>
      </w:tr>
      <w:tr>
        <w:tc>
          <w:tcPr/>
          <w:p>
            <w:pPr>
              <w:pStyle w:val="Compact"/>
              <w:jc w:val="left"/>
            </w:pPr>
            <w:r>
              <w:t xml:space="preserve">actions soil Limit</w:t>
            </w:r>
          </w:p>
        </w:tc>
        <w:tc>
          <w:tcPr/>
          <w:p>
            <w:pPr>
              <w:pStyle w:val="Compact"/>
              <w:jc w:val="left"/>
            </w:pPr>
            <w:r>
              <w:t xml:space="preserve">as or of</w:t>
            </w:r>
          </w:p>
        </w:tc>
        <w:tc>
          <w:tcPr/>
          <w:p>
            <w:pPr>
              <w:pStyle w:val="Compact"/>
              <w:jc w:val="left"/>
            </w:pPr>
            <w:r>
              <w:t xml:space="preserve">mineral</w:t>
            </w:r>
          </w:p>
        </w:tc>
        <w:tc>
          <w:tcPr/>
          <w:p>
            <w:pPr>
              <w:pStyle w:val="Compact"/>
              <w:jc w:val="left"/>
            </w:pPr>
            <w:r>
              <w:t xml:space="preserve">clearance disturbance:</w:t>
            </w:r>
          </w:p>
        </w:tc>
        <w:tc>
          <w:tcPr/>
          <w:p>
            <w:pPr>
              <w:pStyle w:val="Compact"/>
            </w:pPr>
          </w:p>
        </w:tc>
        <w:tc>
          <w:tcPr/>
          <w:p>
            <w:pPr>
              <w:pStyle w:val="Compact"/>
              <w:jc w:val="left"/>
            </w:pPr>
            <w:r>
              <w:t xml:space="preserve">of resources,</w:t>
            </w:r>
          </w:p>
        </w:tc>
        <w:tc>
          <w:tcPr/>
          <w:p>
            <w:pPr>
              <w:pStyle w:val="Compact"/>
              <w:jc w:val="left"/>
            </w:pPr>
            <w:r>
              <w:t xml:space="preserve">Line</w:t>
            </w:r>
          </w:p>
        </w:tc>
      </w:tr>
      <w:tr>
        <w:tc>
          <w:tcPr/>
          <w:p>
            <w:pPr>
              <w:pStyle w:val="Compact"/>
            </w:pPr>
          </w:p>
        </w:tc>
        <w:tc>
          <w:tcPr/>
          <w:p>
            <w:pPr>
              <w:pStyle w:val="Compact"/>
              <w:jc w:val="left"/>
            </w:pPr>
            <w:r>
              <w:t xml:space="preserve">development Multifamily:</w:t>
            </w:r>
          </w:p>
        </w:tc>
        <w:tc>
          <w:tcPr/>
          <w:p>
            <w:pPr>
              <w:pStyle w:val="Compact"/>
            </w:pPr>
          </w:p>
        </w:tc>
        <w:tc>
          <w:tcPr/>
          <w:p>
            <w:pPr>
              <w:pStyle w:val="Compact"/>
              <w:jc w:val="left"/>
            </w:pPr>
            <w:r>
              <w:t xml:space="preserve">or</w:t>
            </w:r>
          </w:p>
        </w:tc>
        <w:tc>
          <w:tcPr/>
          <w:p>
            <w:pPr>
              <w:pStyle w:val="Compact"/>
              <w:jc w:val="left"/>
            </w:pPr>
            <w:r>
              <w:t xml:space="preserve">Any</w:t>
            </w:r>
          </w:p>
        </w:tc>
        <w:tc>
          <w:tcPr/>
          <w:p>
            <w:pPr>
              <w:pStyle w:val="Compact"/>
              <w:jc w:val="left"/>
            </w:pPr>
            <w:r>
              <w:t xml:space="preserve">site,</w:t>
            </w:r>
          </w:p>
        </w:tc>
        <w:tc>
          <w:tcPr/>
          <w:p>
            <w:pPr>
              <w:pStyle w:val="Compact"/>
              <w:jc w:val="left"/>
            </w:pPr>
            <w:r>
              <w:t xml:space="preserve">redevelopment</w:t>
            </w:r>
          </w:p>
        </w:tc>
      </w:tr>
      <w:tr>
        <w:tc>
          <w:tcPr/>
          <w:p>
            <w:pPr>
              <w:pStyle w:val="Compact"/>
              <w:jc w:val="left"/>
            </w:pPr>
            <w:r>
              <w:t xml:space="preserve">family,</w:t>
            </w:r>
          </w:p>
        </w:tc>
        <w:tc>
          <w:tcPr/>
          <w:p>
            <w:pPr>
              <w:pStyle w:val="Compact"/>
              <w:jc w:val="left"/>
            </w:pPr>
            <w:r>
              <w:t xml:space="preserve">townhouses. Reinspection</w:t>
            </w:r>
          </w:p>
        </w:tc>
        <w:tc>
          <w:tcPr/>
          <w:p>
            <w:pPr>
              <w:pStyle w:val="Compact"/>
              <w:jc w:val="left"/>
            </w:pPr>
            <w:r>
              <w:t xml:space="preserve">including</w:t>
            </w:r>
          </w:p>
        </w:tc>
        <w:tc>
          <w:tcPr/>
          <w:p>
            <w:pPr>
              <w:pStyle w:val="Compact"/>
            </w:pPr>
          </w:p>
        </w:tc>
        <w:tc>
          <w:tcPr/>
          <w:p>
            <w:pPr>
              <w:pStyle w:val="Compact"/>
              <w:jc w:val="left"/>
            </w:pPr>
            <w:r>
              <w:t xml:space="preserve">Fee:</w:t>
            </w:r>
          </w:p>
        </w:tc>
        <w:tc>
          <w:tcPr/>
          <w:p>
            <w:pPr>
              <w:pStyle w:val="Compact"/>
              <w:jc w:val="left"/>
            </w:pPr>
            <w:r>
              <w:t xml:space="preserve">but The</w:t>
            </w:r>
          </w:p>
        </w:tc>
        <w:tc>
          <w:tcPr/>
          <w:p>
            <w:pPr>
              <w:pStyle w:val="Compact"/>
              <w:jc w:val="left"/>
            </w:pPr>
            <w:r>
              <w:t xml:space="preserve">not fee</w:t>
            </w:r>
          </w:p>
        </w:tc>
      </w:tr>
    </w:tbl>
    <w:p>
      <w:pPr>
        <w:pStyle w:val="BodyText"/>
      </w:pPr>
      <w:r>
        <w:t xml:space="preserve">includes, but not limited to, discarded building materials, chemicals, litter, sanitary wastes, and fill material containing difference between a point on the original ground and a elevation on the final grade. Also, the material removed in Any construction, reconstruction, demolition, or removal of parking, or other paved areas, utilities, or other similar facilities, requiring a building permit by the Town.</w:t>
      </w:r>
    </w:p>
    <w:p>
      <w:pPr>
        <w:pStyle w:val="BodyText"/>
      </w:pPr>
      <w:r>
        <w:t xml:space="preserve">in which the natural vegetative soil cover has been removed or susceptible to erosion. mineral and/or organic matter by the action of wind, water, which earth, sand, gravel, rock, or any other similar material is dug relocated, or bulldozed and shall include the conditions earth, sand, or other material is placed or moved to a new location also the difference in elevation between a point of existing designed point of higher elevation of the final grade. cylindrical wire mesh cage (wire basket) filled with rock and revetment, etc., against erosion.</w:t>
      </w:r>
    </w:p>
    <w:p>
      <w:pPr>
        <w:pStyle w:val="BodyText"/>
      </w:pPr>
      <w:r>
        <w:t xml:space="preserve">Any physical land development activity which includes such vegetation, moving or filling of land, removal or excavation of or similar activities. delineating the boundary of the area to be disturbed during a project. Area outside this boundary shall not be touched. property, building, structure intended for use by more than one limited to apartments, condominiums, duplexes, and charged to the applicant or owner for repeated inspections necessitated by any oversight in the compliance with the approved soil erosion sediment control plan.</w:t>
      </w:r>
    </w:p>
    <w:p>
      <w:pPr>
        <w:pStyle w:val="BodyText"/>
      </w:pPr>
      <w:r>
        <w:t xml:space="preserve">Sediment: Solid material, both mineral and/or organic, that is in suspension, is being</w:t>
      </w:r>
    </w:p>
    <w:tbl>
      <w:tblPr>
        <w:tblStyle w:val="Table"/>
        <w:tblW w:type="auto" w:w="0"/>
        <w:jc w:val="left"/>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t xml:space="preserve">transported, product Soil</w:t>
            </w:r>
          </w:p>
        </w:tc>
        <w:tc>
          <w:tcPr/>
          <w:p>
            <w:pPr>
              <w:pStyle w:val="Compact"/>
              <w:jc w:val="left"/>
            </w:pPr>
            <w:r>
              <w:t xml:space="preserve">of</w:t>
            </w:r>
          </w:p>
        </w:tc>
        <w:tc>
          <w:tcPr/>
          <w:p>
            <w:pPr>
              <w:pStyle w:val="Compact"/>
              <w:jc w:val="left"/>
            </w:pPr>
            <w:r>
              <w:t xml:space="preserve">amendment:</w:t>
            </w:r>
          </w:p>
        </w:tc>
        <w:tc>
          <w:tcPr/>
          <w:p>
            <w:pPr>
              <w:pStyle w:val="Compact"/>
              <w:jc w:val="left"/>
            </w:pPr>
            <w:r>
              <w:t xml:space="preserve">or have erosion.</w:t>
            </w:r>
          </w:p>
        </w:tc>
        <w:tc>
          <w:tcPr/>
          <w:p>
            <w:pPr>
              <w:pStyle w:val="Compact"/>
              <w:jc w:val="left"/>
            </w:pPr>
            <w:r>
              <w:t xml:space="preserve">been moved from Any material, such</w:t>
            </w:r>
          </w:p>
        </w:tc>
        <w:tc>
          <w:tcPr/>
          <w:p>
            <w:pPr>
              <w:pStyle w:val="Compact"/>
              <w:jc w:val="left"/>
            </w:pPr>
            <w:r>
              <w:t xml:space="preserve">its as</w:t>
            </w:r>
          </w:p>
        </w:tc>
        <w:tc>
          <w:tcPr/>
          <w:p>
            <w:pPr>
              <w:pStyle w:val="Compact"/>
              <w:jc w:val="left"/>
            </w:pPr>
            <w:r>
              <w:t xml:space="preserve">site or compost,</w:t>
            </w:r>
          </w:p>
        </w:tc>
      </w:tr>
      <w:tr>
        <w:tc>
          <w:tcPr/>
          <w:p>
            <w:pPr>
              <w:pStyle w:val="Compact"/>
              <w:jc w:val="left"/>
            </w:pPr>
            <w:r>
              <w:t xml:space="preserve">etc., that Stormwater</w:t>
            </w:r>
          </w:p>
        </w:tc>
        <w:tc>
          <w:tcPr/>
          <w:p>
            <w:pPr>
              <w:pStyle w:val="Compact"/>
              <w:jc w:val="left"/>
            </w:pPr>
            <w:r>
              <w:t xml:space="preserve">is</w:t>
            </w:r>
          </w:p>
        </w:tc>
        <w:tc>
          <w:tcPr/>
          <w:p>
            <w:pPr>
              <w:pStyle w:val="Compact"/>
            </w:pPr>
          </w:p>
        </w:tc>
        <w:tc>
          <w:tcPr/>
          <w:p>
            <w:pPr>
              <w:pStyle w:val="Compact"/>
              <w:jc w:val="left"/>
            </w:pPr>
            <w:r>
              <w:t xml:space="preserve">worked Pollution</w:t>
            </w:r>
          </w:p>
        </w:tc>
        <w:tc>
          <w:tcPr/>
          <w:p>
            <w:pPr>
              <w:pStyle w:val="Compact"/>
              <w:jc w:val="left"/>
            </w:pPr>
            <w:r>
              <w:t xml:space="preserve">into the soil. Generally Prevention Plan</w:t>
            </w:r>
          </w:p>
        </w:tc>
        <w:tc>
          <w:tcPr/>
          <w:p>
            <w:pPr>
              <w:pStyle w:val="Compact"/>
            </w:pPr>
          </w:p>
        </w:tc>
        <w:tc>
          <w:tcPr/>
          <w:p>
            <w:pPr>
              <w:pStyle w:val="Compact"/>
              <w:jc w:val="left"/>
            </w:pPr>
            <w:r>
              <w:t xml:space="preserve">pertains —SWPPP:</w:t>
            </w:r>
          </w:p>
        </w:tc>
      </w:tr>
      <w:tr>
        <w:tc>
          <w:tcPr/>
          <w:p>
            <w:pPr>
              <w:pStyle w:val="Compact"/>
              <w:jc w:val="left"/>
            </w:pPr>
            <w:r>
              <w:t xml:space="preserve">before herein Runoff:</w:t>
            </w:r>
          </w:p>
        </w:tc>
        <w:tc>
          <w:tcPr/>
          <w:p>
            <w:pPr>
              <w:pStyle w:val="Compact"/>
              <w:jc w:val="left"/>
            </w:pPr>
            <w:r>
              <w:t xml:space="preserve">any</w:t>
            </w:r>
          </w:p>
        </w:tc>
        <w:tc>
          <w:tcPr/>
          <w:p>
            <w:pPr>
              <w:pStyle w:val="Compact"/>
              <w:jc w:val="left"/>
            </w:pPr>
            <w:r>
              <w:t xml:space="preserve">regulated. The</w:t>
            </w:r>
          </w:p>
        </w:tc>
        <w:tc>
          <w:tcPr/>
          <w:p>
            <w:pPr>
              <w:pStyle w:val="Compact"/>
              <w:jc w:val="left"/>
            </w:pPr>
            <w:r>
              <w:t xml:space="preserve">person surface</w:t>
            </w:r>
          </w:p>
        </w:tc>
        <w:tc>
          <w:tcPr/>
          <w:p>
            <w:pPr>
              <w:pStyle w:val="Compact"/>
              <w:jc w:val="left"/>
            </w:pPr>
            <w:r>
              <w:t xml:space="preserve">may cause a disturbance The document may water discharge</w:t>
            </w:r>
          </w:p>
        </w:tc>
        <w:tc>
          <w:tcPr/>
          <w:p>
            <w:pPr>
              <w:pStyle w:val="Compact"/>
              <w:jc w:val="left"/>
            </w:pPr>
            <w:r>
              <w:t xml:space="preserve">also or</w:t>
            </w:r>
          </w:p>
        </w:tc>
        <w:tc>
          <w:tcPr/>
          <w:p>
            <w:pPr>
              <w:pStyle w:val="Compact"/>
              <w:jc w:val="left"/>
            </w:pPr>
            <w:r>
              <w:t xml:space="preserve">to the be referred rate of</w:t>
            </w:r>
          </w:p>
        </w:tc>
      </w:tr>
      <w:tr>
        <w:tc>
          <w:tcPr/>
          <w:p>
            <w:pPr>
              <w:pStyle w:val="Compact"/>
              <w:jc w:val="left"/>
            </w:pPr>
            <w:r>
              <w:t xml:space="preserve">of rain surface off the Watercourse:</w:t>
            </w:r>
          </w:p>
        </w:tc>
        <w:tc>
          <w:tcPr/>
          <w:p>
            <w:pPr>
              <w:pStyle w:val="Compact"/>
              <w:jc w:val="left"/>
            </w:pPr>
            <w:r>
              <w:t xml:space="preserve">or to land</w:t>
            </w:r>
          </w:p>
        </w:tc>
        <w:tc>
          <w:tcPr/>
          <w:p>
            <w:pPr>
              <w:pStyle w:val="Compact"/>
              <w:jc w:val="left"/>
            </w:pPr>
            <w:r>
              <w:t xml:space="preserve">snow the</w:t>
            </w:r>
          </w:p>
        </w:tc>
        <w:tc>
          <w:tcPr/>
          <w:p>
            <w:pPr>
              <w:pStyle w:val="Compact"/>
              <w:jc w:val="left"/>
            </w:pPr>
            <w:r>
              <w:t xml:space="preserve">and land. surface. The</w:t>
            </w:r>
          </w:p>
        </w:tc>
        <w:tc>
          <w:tcPr/>
          <w:p>
            <w:pPr>
              <w:pStyle w:val="Compact"/>
              <w:jc w:val="left"/>
            </w:pPr>
            <w:r>
              <w:t xml:space="preserve">including seepage Also, that portion term watercourse</w:t>
            </w:r>
          </w:p>
        </w:tc>
        <w:tc>
          <w:tcPr/>
          <w:p>
            <w:pPr>
              <w:pStyle w:val="Compact"/>
              <w:jc w:val="left"/>
            </w:pPr>
            <w:r>
              <w:t xml:space="preserve">of shall</w:t>
            </w:r>
          </w:p>
        </w:tc>
        <w:tc>
          <w:tcPr/>
          <w:p>
            <w:pPr>
              <w:pStyle w:val="Compact"/>
              <w:jc w:val="left"/>
            </w:pPr>
            <w:r>
              <w:t xml:space="preserve">flows that water that be held</w:t>
            </w:r>
          </w:p>
        </w:tc>
      </w:tr>
    </w:tbl>
    <w:p>
      <w:pPr>
        <w:pStyle w:val="BodyText"/>
      </w:pPr>
      <w:r>
        <w:t xml:space="preserve">origin by wind, water, gravity or ice as a lime, animal manures, crop residues, to materials other than fertilizers.</w:t>
      </w:r>
    </w:p>
    <w:p>
      <w:pPr>
        <w:pStyle w:val="BodyText"/>
      </w:pPr>
      <w:r>
        <w:t xml:space="preserve">The (approved) document required natural terrain within the Town as to as "SWPPP." discharge of a given watershed after a fall do not enter the soil but run off the is not absorbed by the soil, but runs to mean any tidewater or coastal wetland at its mean high water level, and any freshwater wetland at its seasonal high water level, including but not limited to, any river, stream, brook, pond, lake, swamp, marsh, bog, fen, wet meadow, or any other standing or flowing body of water. The edge of the watercourse as herein defined shall be used for delineation purposes.</w:t>
      </w:r>
    </w:p>
    <w:bookmarkEnd w:id="153"/>
    <w:bookmarkStart w:id="154" w:name="severability"/>
    <w:p>
      <w:pPr>
        <w:pStyle w:val="Heading2"/>
      </w:pPr>
      <w:r>
        <w:t xml:space="preserve">§ 18.22. Severability</w:t>
      </w:r>
    </w:p>
    <w:p>
      <w:pPr>
        <w:pStyle w:val="FirstParagraph"/>
      </w:pPr>
      <w:r>
        <w:t xml:space="preserve">Sec. 18.22. Severability.</w:t>
      </w:r>
    </w:p>
    <w:p>
      <w:pPr>
        <w:pStyle w:val="BodyText"/>
      </w:pPr>
      <w:r>
        <w:t xml:space="preserve">If any provision of this ordinance or any rule or determination made hereunder, or application hereof to any person, agency, circumstances is held invalid by a court of competent jurisdiction, the remainder of this ordinance and its application to any person, agency or circumstances shall not be affected thereby. The invalidity of any section or section of this ordinance shall not affect the validity of the remainder of this Section.</w:t>
      </w:r>
    </w:p>
    <w:bookmarkEnd w:id="154"/>
    <w:bookmarkStart w:id="155" w:name="historical-district"/>
    <w:p>
      <w:pPr>
        <w:pStyle w:val="Heading1"/>
      </w:pPr>
      <w:r>
        <w:t xml:space="preserve">§ 19. Historical District</w:t>
      </w:r>
    </w:p>
    <w:p>
      <w:pPr>
        <w:pStyle w:val="FirstParagraph"/>
      </w:pPr>
      <w:r>
        <w:t xml:space="preserve">SECTION 19. Historical District HISTORICAL DISTRICT</w:t>
      </w:r>
    </w:p>
    <w:bookmarkEnd w:id="155"/>
    <w:bookmarkStart w:id="156" w:name="authority-1"/>
    <w:p>
      <w:pPr>
        <w:pStyle w:val="Heading2"/>
      </w:pPr>
      <w:r>
        <w:t xml:space="preserve">§ 19.1. Authority</w:t>
      </w:r>
    </w:p>
    <w:p>
      <w:pPr>
        <w:pStyle w:val="FirstParagraph"/>
      </w:pPr>
      <w:r>
        <w:t xml:space="preserve">Sec. 19.1. Authority.</w:t>
      </w:r>
    </w:p>
    <w:p>
      <w:pPr>
        <w:pStyle w:val="BodyText"/>
      </w:pPr>
      <w:r>
        <w:t xml:space="preserve">This section is adopted in accordance with Title 45-24.1 of the R.I. General Laws as amended, which:</w:t>
      </w:r>
    </w:p>
    <w:p>
      <w:pPr>
        <w:numPr>
          <w:ilvl w:val="0"/>
          <w:numId w:val="2897"/>
        </w:numPr>
      </w:pPr>
      <w:r>
        <w:t xml:space="preserve">(1) Declares the preservation of structures of historic or architectural value to be a public purpose;</w:t>
      </w:r>
    </w:p>
    <w:p>
      <w:pPr>
        <w:numPr>
          <w:ilvl w:val="0"/>
          <w:numId w:val="2898"/>
        </w:numPr>
      </w:pPr>
      <w:r>
        <w:t xml:space="preserve">(2) Authorizes Historic District zoning and the creation of a Historic District Commission for that purpose in each city or town;</w:t>
      </w:r>
    </w:p>
    <w:p>
      <w:pPr>
        <w:numPr>
          <w:ilvl w:val="0"/>
          <w:numId w:val="2899"/>
        </w:numPr>
      </w:pPr>
      <w:r>
        <w:t xml:space="preserve">(3) Provides for definitions of terms used in historical area zoning; and, (4) Establishes a uniform procedure regarding historical area zoning.</w:t>
      </w:r>
    </w:p>
    <w:bookmarkEnd w:id="156"/>
    <w:bookmarkStart w:id="157" w:name="legislative-intent"/>
    <w:p>
      <w:pPr>
        <w:pStyle w:val="Heading2"/>
      </w:pPr>
      <w:r>
        <w:t xml:space="preserve">§ 19.2. Legislative intent</w:t>
      </w:r>
    </w:p>
    <w:p>
      <w:pPr>
        <w:pStyle w:val="FirstParagraph"/>
      </w:pPr>
      <w:r>
        <w:t xml:space="preserve">Sec. 19.2. Legislative intent.</w:t>
      </w:r>
    </w:p>
    <w:p>
      <w:pPr>
        <w:pStyle w:val="BodyText"/>
      </w:pPr>
      <w:r>
        <w:t xml:space="preserve">The regulations in this section have been adopted to preserve districts and specific buildings of the Town which reflect elements of its cultural, social, economic, political and architectural history. This section is designed to stabilize and improve property values in such Historic Districts, to preserve specific buildings, to foster civic beauty, to strengthen the local economy and to promote the use of such districts and specific buildings for the education, pleasure and welfare of the residents of the Town.</w:t>
      </w:r>
    </w:p>
    <w:bookmarkEnd w:id="157"/>
    <w:bookmarkStart w:id="158" w:name="definitions"/>
    <w:p>
      <w:pPr>
        <w:pStyle w:val="Heading2"/>
      </w:pPr>
      <w:r>
        <w:t xml:space="preserve">§ 19.3. Definitions</w:t>
      </w:r>
    </w:p>
    <w:p>
      <w:pPr>
        <w:pStyle w:val="FirstParagraph"/>
      </w:pPr>
      <w:r>
        <w:t xml:space="preserve">Sec. 19.3. Definitions.</w:t>
      </w:r>
    </w:p>
    <w:p>
      <w:pPr>
        <w:pStyle w:val="BodyText"/>
      </w:pPr>
      <w:r>
        <w:t xml:space="preserve">The following terms shall have the following respective meanings:</w:t>
      </w:r>
    </w:p>
    <w:p>
      <w:pPr>
        <w:pStyle w:val="BodyText"/>
      </w:pPr>
      <w:r>
        <w:t xml:space="preserve">Alteration: An act that changes one or more of the exterior architectural feature or its appurtenances, including but not limited to the erection, construction, reconstruction, or removal of any structure or appurtenance.</w:t>
      </w:r>
    </w:p>
    <w:p>
      <w:pPr>
        <w:pStyle w:val="BodyText"/>
      </w:pPr>
      <w:r>
        <w:t xml:space="preserve">Appurtenances: Features other than primary or secondary structures which contribute to the exterior historic appearance of a property, including but not limited to paving, doors, windows, signs, materials, decorative accessories, fences, and historic landscape features.</w:t>
      </w:r>
    </w:p>
    <w:p>
      <w:pPr>
        <w:pStyle w:val="BodyText"/>
      </w:pPr>
      <w:r>
        <w:t xml:space="preserve">Certificates of appropriateness: A certificate issued by the Town Historic District Commission established under this section indicating approval of plans for alteration, construction, repair, removal, or demolition of a structure or appurtenances of a structure within a Historic District. Appropriate for the purpose of passing upon an application for a Certificate of Appropriateness means not incongruous with those aspects of the structure, appurtenances, or the district which the Commission has determined to be historically or architecturally significant.</w:t>
      </w:r>
    </w:p>
    <w:p>
      <w:pPr>
        <w:pStyle w:val="BodyText"/>
      </w:pPr>
      <w:r>
        <w:t xml:space="preserve">Construction: The act of adding to an existing structure or erecting a new principal or accessory structure or appurtenances to a structure, including but not limited to buildings, extensions, outbuildings, fire escapes, and retaining walls.</w:t>
      </w:r>
    </w:p>
    <w:p>
      <w:pPr>
        <w:pStyle w:val="BodyText"/>
      </w:pPr>
      <w:r>
        <w:t xml:space="preserve">Demolition: An act or process that destroys a structure or its appurtenances in part or in whole.</w:t>
      </w:r>
    </w:p>
    <w:p>
      <w:pPr>
        <w:pStyle w:val="BodyText"/>
      </w:pPr>
      <w:r>
        <w:t xml:space="preserve">Historic District: A specific division of the Town as designated by ordinance of the Town pursuant to this section. A Historic District may include one or more structures.</w:t>
      </w:r>
    </w:p>
    <w:p>
      <w:pPr>
        <w:pStyle w:val="BodyText"/>
      </w:pPr>
      <w:r>
        <w:t xml:space="preserve">Removal: A change meant to remedy damage or deterioration of a structure or its appurtenances.</w:t>
      </w:r>
    </w:p>
    <w:p>
      <w:pPr>
        <w:pStyle w:val="BodyText"/>
      </w:pPr>
      <w:r>
        <w:t xml:space="preserve">Repair: A change meant to remedy damage or deterioration of a structure or its appurtenances.</w:t>
      </w:r>
    </w:p>
    <w:p>
      <w:pPr>
        <w:pStyle w:val="BodyText"/>
      </w:pPr>
      <w:r>
        <w:t xml:space="preserve">Structure: Anything constructed or erected, the use of which requires permanent or temporary location on or in the ground, including but not limited to buildings, gazebos, billboards, outbuildings, decorative and retaining walls, and swimming pools.</w:t>
      </w:r>
    </w:p>
    <w:bookmarkEnd w:id="158"/>
    <w:bookmarkStart w:id="159" w:name="designation-of-historic-districts"/>
    <w:p>
      <w:pPr>
        <w:pStyle w:val="Heading2"/>
      </w:pPr>
      <w:r>
        <w:t xml:space="preserve">§ 19.4. Designation of Historic Districts</w:t>
      </w:r>
    </w:p>
    <w:p>
      <w:pPr>
        <w:pStyle w:val="FirstParagraph"/>
      </w:pPr>
      <w:r>
        <w:t xml:space="preserve">Sec. 19.4. Designation of Historic Districts.</w:t>
      </w:r>
    </w:p>
    <w:p>
      <w:pPr>
        <w:pStyle w:val="BodyText"/>
      </w:pPr>
      <w:r>
        <w:t xml:space="preserve">For the purposes of this section, the boundaries of Historic Districts are established as shown on a map entitled "Historic District Map", which is filed in the office of the Town Clerk. Such map is hereby incorporated as part of this section.</w:t>
      </w:r>
    </w:p>
    <w:p>
      <w:pPr>
        <w:pStyle w:val="BodyText"/>
      </w:pPr>
      <w:r>
        <w:t xml:space="preserve">It is the intent of this section that historic property owned by the Town within the boundaries of designated Historic Districts as shown on the "Historic District Map" shall not be exempt from the provisions of this section.</w:t>
      </w:r>
    </w:p>
    <w:bookmarkEnd w:id="159"/>
    <w:bookmarkStart w:id="160" w:name="historic-district-commission"/>
    <w:p>
      <w:pPr>
        <w:pStyle w:val="Heading2"/>
      </w:pPr>
      <w:r>
        <w:t xml:space="preserve">§ 19.5. Historic District Commission</w:t>
      </w:r>
    </w:p>
    <w:p>
      <w:pPr>
        <w:pStyle w:val="FirstParagraph"/>
      </w:pPr>
      <w:r>
        <w:t xml:space="preserve">Sec. 19.5. Historic District Commission.</w:t>
      </w:r>
    </w:p>
    <w:p>
      <w:pPr>
        <w:pStyle w:val="BodyText"/>
      </w:pPr>
      <w:r>
        <w:t xml:space="preserve">Establishment: There is hereby established a Historic District Commission to carry out the purpose of this section.</w:t>
      </w:r>
    </w:p>
    <w:p>
      <w:pPr>
        <w:pStyle w:val="BodyText"/>
      </w:pPr>
      <w:r>
        <w:t xml:space="preserve">Membership and appointment:</w:t>
      </w:r>
    </w:p>
    <w:p>
      <w:pPr>
        <w:numPr>
          <w:ilvl w:val="0"/>
          <w:numId w:val="2900"/>
        </w:numPr>
      </w:pPr>
      <w:r>
        <w:t xml:space="preserve">(1) The Commission shall consist of seven qualified members, residents of the Town, to be appointed by the Town Council President with the consent of the Council. Members shall be appointed for three year terms, except that the initial appointments of two members shall be for one year, two members for two years, and three members for three years.</w:t>
      </w:r>
    </w:p>
    <w:p>
      <w:pPr>
        <w:numPr>
          <w:ilvl w:val="0"/>
          <w:numId w:val="2901"/>
        </w:numPr>
      </w:pPr>
      <w:r>
        <w:t xml:space="preserve">Members shall be eligible for reappointment.</w:t>
      </w:r>
    </w:p>
    <w:p>
      <w:pPr>
        <w:numPr>
          <w:ilvl w:val="0"/>
          <w:numId w:val="2902"/>
        </w:numPr>
      </w:pPr>
      <w:r>
        <w:t xml:space="preserve">(2) Members of the Commission shall have a demonstrated interest in historic preservation.</w:t>
      </w:r>
    </w:p>
    <w:p>
      <w:pPr>
        <w:numPr>
          <w:ilvl w:val="0"/>
          <w:numId w:val="2903"/>
        </w:numPr>
      </w:pPr>
      <w:r>
        <w:t xml:space="preserve">Duly organized and existing preservation societies may present to the Town Council President lists of qualified citizens to be considered for appointment.</w:t>
      </w:r>
    </w:p>
    <w:p>
      <w:pPr>
        <w:numPr>
          <w:ilvl w:val="0"/>
          <w:numId w:val="2904"/>
        </w:numPr>
      </w:pPr>
      <w:r>
        <w:t xml:space="preserve">(3) The Town Council President shall have the right to name an auxiliary member to the Commission in addition to the regular members, which auxiliary member shall sit as an active member, upon the request of the Chairman of the Commission when and if a regular member of the Commission is unable to serve at any meeting of the Commission.</w:t>
      </w:r>
    </w:p>
    <w:p>
      <w:pPr>
        <w:numPr>
          <w:ilvl w:val="0"/>
          <w:numId w:val="2905"/>
        </w:numPr>
      </w:pPr>
      <w:r>
        <w:t xml:space="preserve">(4) In the event of a vacancy on the Commission, the Town Council President shall promptly make an interim appointment, with the consent of the Council, for the remainder of the unexpired term. Vacancies on the Commission shall be filled within 45 days. Organization of the commission.</w:t>
      </w:r>
    </w:p>
    <w:p>
      <w:pPr>
        <w:numPr>
          <w:ilvl w:val="0"/>
          <w:numId w:val="2906"/>
        </w:numPr>
      </w:pPr>
      <w:r>
        <w:t xml:space="preserve">(1) The Commission shall organize annually and, by election, shall select from its membership a Chairman, Vice-Chairman and a Secretary.</w:t>
      </w:r>
    </w:p>
    <w:p>
      <w:pPr>
        <w:numPr>
          <w:ilvl w:val="0"/>
          <w:numId w:val="2907"/>
        </w:numPr>
      </w:pPr>
      <w:r>
        <w:t xml:space="preserve">(2) The Commission shall:</w:t>
      </w:r>
    </w:p>
    <w:p>
      <w:pPr>
        <w:pStyle w:val="Compact"/>
        <w:numPr>
          <w:ilvl w:val="0"/>
          <w:numId w:val="2908"/>
        </w:numPr>
      </w:pPr>
    </w:p>
    <w:p>
      <w:pPr>
        <w:numPr>
          <w:ilvl w:val="1"/>
          <w:numId w:val="2909"/>
        </w:numPr>
      </w:pPr>
      <w:r>
        <w:t xml:space="preserve">(a) Adopt and publish all rules and regulations necessary to carry out its functions under the provisions of this section; and, (b) Adopt and publish Standards of Review which shall be in harmony with the Secretary of the Interior's Standards and Guidelines for Rehabilitating Historic Buildings, 36 CFR 671, as amended, within 12 months following the adoption of this section to inform Historic District residents, property owners, and the general public of those criteria by which the Commission shall determine whether to issue a Certificate of Appropriateness. The Commission may from time to time amend these standards as reasonably necessary, and it shall publish all such amendments.</w:t>
      </w:r>
    </w:p>
    <w:p>
      <w:pPr>
        <w:numPr>
          <w:ilvl w:val="0"/>
          <w:numId w:val="2910"/>
        </w:numPr>
      </w:pPr>
      <w:r>
        <w:t xml:space="preserve">(3) Conduct of business:</w:t>
      </w:r>
    </w:p>
    <w:p>
      <w:pPr>
        <w:pStyle w:val="Compact"/>
        <w:numPr>
          <w:ilvl w:val="0"/>
          <w:numId w:val="2911"/>
        </w:numPr>
      </w:pPr>
    </w:p>
    <w:p>
      <w:pPr>
        <w:numPr>
          <w:ilvl w:val="1"/>
          <w:numId w:val="2912"/>
        </w:numPr>
      </w:pPr>
      <w:r>
        <w:t xml:space="preserve">(a) The Chairman shall preside over all Commission meetings and shall have the right to vote.</w:t>
      </w:r>
    </w:p>
    <w:p>
      <w:pPr>
        <w:pStyle w:val="Compact"/>
        <w:numPr>
          <w:ilvl w:val="0"/>
          <w:numId w:val="2913"/>
        </w:numPr>
      </w:pPr>
    </w:p>
    <w:p>
      <w:pPr>
        <w:numPr>
          <w:ilvl w:val="1"/>
          <w:numId w:val="2914"/>
        </w:numPr>
      </w:pPr>
      <w:r>
        <w:t xml:space="preserve">(b) The Vice-Chairman shall, in the case of absence or disability of the Chairman, perform the duties of the Chairman.</w:t>
      </w:r>
    </w:p>
    <w:p>
      <w:pPr>
        <w:pStyle w:val="Compact"/>
        <w:numPr>
          <w:ilvl w:val="0"/>
          <w:numId w:val="2915"/>
        </w:numPr>
      </w:pPr>
    </w:p>
    <w:p>
      <w:pPr>
        <w:numPr>
          <w:ilvl w:val="1"/>
          <w:numId w:val="2916"/>
        </w:numPr>
      </w:pPr>
      <w:r>
        <w:t xml:space="preserve">(c) All meetings of the Commission shall be open to the public and any person or his duly constituted representative shall be entitled to appear and be heard on any matter before the Commission reaches its decision.</w:t>
      </w:r>
    </w:p>
    <w:p>
      <w:pPr>
        <w:pStyle w:val="Compact"/>
        <w:numPr>
          <w:ilvl w:val="0"/>
          <w:numId w:val="2917"/>
        </w:numPr>
      </w:pPr>
    </w:p>
    <w:p>
      <w:pPr>
        <w:numPr>
          <w:ilvl w:val="1"/>
          <w:numId w:val="2918"/>
        </w:numPr>
      </w:pPr>
      <w:r>
        <w:t xml:space="preserve">(d) The Secretary shall keep a record of all resolutions, proceedings, findings of fact, decisions and actions and such record shall be on file for public view at the office of the Town Clerk.</w:t>
      </w:r>
    </w:p>
    <w:p>
      <w:pPr>
        <w:pStyle w:val="Compact"/>
        <w:numPr>
          <w:ilvl w:val="0"/>
          <w:numId w:val="2919"/>
        </w:numPr>
      </w:pPr>
    </w:p>
    <w:p>
      <w:pPr>
        <w:numPr>
          <w:ilvl w:val="1"/>
          <w:numId w:val="2920"/>
        </w:numPr>
      </w:pPr>
      <w:r>
        <w:t xml:space="preserve">(e) Notice of the Commission meetings shall appear in a newspaper of general circulation in the Town seven days prior to such meetings.</w:t>
      </w:r>
    </w:p>
    <w:p>
      <w:pPr>
        <w:pStyle w:val="Compact"/>
        <w:numPr>
          <w:ilvl w:val="0"/>
          <w:numId w:val="2921"/>
        </w:numPr>
      </w:pPr>
    </w:p>
    <w:p>
      <w:pPr>
        <w:numPr>
          <w:ilvl w:val="1"/>
          <w:numId w:val="2922"/>
        </w:numPr>
      </w:pPr>
      <w:r>
        <w:t xml:space="preserve">(f) Five members shall constitute a quorum and the concurring vote of a majority, but not less than four of the members present shall be necessary for either approval or rejection of any plans before the Commission for review and for establishing or amending Commission rules. Powers and procedures.</w:t>
      </w:r>
    </w:p>
    <w:p>
      <w:pPr>
        <w:numPr>
          <w:ilvl w:val="0"/>
          <w:numId w:val="2923"/>
        </w:numPr>
      </w:pPr>
      <w:r>
        <w:t xml:space="preserve">(1) Certificate of Appropriateness required:</w:t>
      </w:r>
    </w:p>
    <w:p>
      <w:pPr>
        <w:pStyle w:val="Compact"/>
        <w:numPr>
          <w:ilvl w:val="0"/>
          <w:numId w:val="2924"/>
        </w:numPr>
      </w:pPr>
    </w:p>
    <w:p>
      <w:pPr>
        <w:numPr>
          <w:ilvl w:val="1"/>
          <w:numId w:val="2925"/>
        </w:numPr>
      </w:pPr>
      <w:r>
        <w:t xml:space="preserve">(a) Before a property owner may authorize or commence construction, alteration, repair, removal or demolition affecting the exterior appearance of a structure or its appurtenances, within any designated Historic District, the owner must apply for and receive a Certificate of Appropriateness from the Commission approving such construction, alteration, repair, removal or demolition.</w:t>
      </w:r>
    </w:p>
    <w:p>
      <w:pPr>
        <w:pStyle w:val="Compact"/>
        <w:numPr>
          <w:ilvl w:val="0"/>
          <w:numId w:val="2926"/>
        </w:numPr>
      </w:pPr>
    </w:p>
    <w:p>
      <w:pPr>
        <w:numPr>
          <w:ilvl w:val="1"/>
          <w:numId w:val="2927"/>
        </w:numPr>
      </w:pPr>
      <w:r>
        <w:t xml:space="preserve">(b) In applying for a Certificate of Appropriateness, a property owner must comply with the application procedures as established by the Commission pursuant to Chapter 45-24.1 of the General Laws, as amended, and the provisions of this section.</w:t>
      </w:r>
    </w:p>
    <w:p>
      <w:pPr>
        <w:pStyle w:val="Compact"/>
        <w:numPr>
          <w:ilvl w:val="0"/>
          <w:numId w:val="2928"/>
        </w:numPr>
      </w:pPr>
    </w:p>
    <w:p>
      <w:pPr>
        <w:numPr>
          <w:ilvl w:val="1"/>
          <w:numId w:val="2929"/>
        </w:numPr>
      </w:pPr>
      <w:r>
        <w:t xml:space="preserve">(c) A Certificate of Appropriateness is necessary only if a building permit is required for such construction, alteration, repair, removal or demolition. The Inspector may not issue a permit until the Commission has granted a Certificate of Appropriateness.</w:t>
      </w:r>
    </w:p>
    <w:p>
      <w:pPr>
        <w:numPr>
          <w:ilvl w:val="0"/>
          <w:numId w:val="2930"/>
        </w:numPr>
      </w:pPr>
      <w:r>
        <w:t xml:space="preserve">(2) Application for Certificate of Appropriateness:</w:t>
      </w:r>
    </w:p>
    <w:p>
      <w:pPr>
        <w:pStyle w:val="Compact"/>
        <w:numPr>
          <w:ilvl w:val="0"/>
          <w:numId w:val="2931"/>
        </w:numPr>
      </w:pPr>
    </w:p>
    <w:p>
      <w:pPr>
        <w:numPr>
          <w:ilvl w:val="1"/>
          <w:numId w:val="2932"/>
        </w:numPr>
      </w:pPr>
      <w:r>
        <w:t xml:space="preserve">(a) Application for Certificates of Appropriateness shall be filed with the Commission at the office of the Inspector, who shall determine if such application is complete and who shall forward complete applications, together with all maps, plans, and other data to the Commission. Incomplete applications shall be returned to the applicant within seven days of receipt to the Inspector.</w:t>
      </w:r>
    </w:p>
    <w:p>
      <w:pPr>
        <w:pStyle w:val="Compact"/>
        <w:numPr>
          <w:ilvl w:val="0"/>
          <w:numId w:val="2933"/>
        </w:numPr>
      </w:pPr>
    </w:p>
    <w:p>
      <w:pPr>
        <w:numPr>
          <w:ilvl w:val="1"/>
          <w:numId w:val="2934"/>
        </w:numPr>
      </w:pPr>
      <w:r>
        <w:t xml:space="preserve">(b) The Commission shall require the owner to submit information which is reasonably necessary to evaluate the proposed construction, alteration, repair, removal or demolition including but not limited to site plans, elevation drawings, photographs or other information deemed appropriate by the Commission and set forth in the Commission's rules and regulations adopted pursuant to this section.</w:t>
      </w:r>
    </w:p>
    <w:p>
      <w:pPr>
        <w:pStyle w:val="Compact"/>
        <w:numPr>
          <w:ilvl w:val="0"/>
          <w:numId w:val="2935"/>
        </w:numPr>
      </w:pPr>
    </w:p>
    <w:p>
      <w:pPr>
        <w:numPr>
          <w:ilvl w:val="1"/>
          <w:numId w:val="2936"/>
        </w:numPr>
      </w:pPr>
      <w:r>
        <w:t xml:space="preserve">(c) In reviewing the applications and plans, the Commission shall give consideration to:</w:t>
      </w:r>
    </w:p>
    <w:p>
      <w:pPr>
        <w:numPr>
          <w:ilvl w:val="0"/>
          <w:numId w:val="2937"/>
        </w:numPr>
      </w:pPr>
      <w:r>
        <w:t xml:space="preserve">(1) The historic and architectural significance of the structure and its appurtenances;</w:t>
      </w:r>
    </w:p>
    <w:p>
      <w:pPr>
        <w:numPr>
          <w:ilvl w:val="0"/>
          <w:numId w:val="2938"/>
        </w:numPr>
      </w:pPr>
      <w:r>
        <w:t xml:space="preserve">(2) The way in which the structure and its appurtenances contribute to the historical and architectural significance of the District.</w:t>
      </w:r>
    </w:p>
    <w:p>
      <w:pPr>
        <w:numPr>
          <w:ilvl w:val="0"/>
          <w:numId w:val="2939"/>
        </w:numPr>
      </w:pPr>
      <w:r>
        <w:t xml:space="preserve">(3) The appropriateness of the general design, arrangement, texture, material and siting proposed in the plans; and, (4) The Commission shall pass only on exterior features of a structure and its appurtenances and shall not consider interior arrangements.</w:t>
      </w:r>
    </w:p>
    <w:p>
      <w:pPr>
        <w:pStyle w:val="Compact"/>
        <w:numPr>
          <w:ilvl w:val="0"/>
          <w:numId w:val="2940"/>
        </w:numPr>
      </w:pPr>
    </w:p>
    <w:p>
      <w:pPr>
        <w:numPr>
          <w:ilvl w:val="1"/>
          <w:numId w:val="2941"/>
        </w:numPr>
      </w:pPr>
      <w:r>
        <w:t xml:space="preserve">(d) All decisions of the Commission shall be in writing. The Commission shall articulate and explain the reasons and bases of each decision on a record, and the Commission shall include the basis for its conclusion that the proposed activity would be incongruous with those aspects of the structure, appurtenances, or the district which the Commission has determined to be historically or architecturally significant. The Commission shall send a copy of the decision to the applicant.</w:t>
      </w:r>
    </w:p>
    <w:p>
      <w:pPr>
        <w:pStyle w:val="Compact"/>
        <w:numPr>
          <w:ilvl w:val="0"/>
          <w:numId w:val="2942"/>
        </w:numPr>
      </w:pPr>
    </w:p>
    <w:p>
      <w:pPr>
        <w:numPr>
          <w:ilvl w:val="1"/>
          <w:numId w:val="2943"/>
        </w:numPr>
      </w:pPr>
      <w:r>
        <w:t xml:space="preserve">(e) The following are special considerations regarding valuable historic resources and demolition:</w:t>
      </w:r>
    </w:p>
    <w:p>
      <w:pPr>
        <w:numPr>
          <w:ilvl w:val="0"/>
          <w:numId w:val="2944"/>
        </w:numPr>
      </w:pPr>
      <w:r>
        <w:t xml:space="preserve">(1) In the case of an application for construction, repair, or alteration, removal, or demolition affecting the exterior appearance of a structure or its appurtenances which the Commission deems so valuable to the Town, State or Nation that the loss thereof will be a great loss to the Town, State or Nation, the Commission shall endeavor to work out with the owner an economically feasible plan for the preservation of such structure.</w:t>
      </w:r>
    </w:p>
    <w:p>
      <w:pPr>
        <w:numPr>
          <w:ilvl w:val="0"/>
          <w:numId w:val="2945"/>
        </w:numPr>
      </w:pPr>
      <w:r>
        <w:t xml:space="preserve">(2) Unless the Commission is satisfied that the intention of such structure constitutes a hazard to public safety, which hazard cannot be eliminated by economic means available to the owner, including the sale of the structure to any purchaser willing to preserve such structure, the Commission shall file with the Inspector its rejection of such application.</w:t>
      </w:r>
    </w:p>
    <w:p>
      <w:pPr>
        <w:numPr>
          <w:ilvl w:val="0"/>
          <w:numId w:val="2946"/>
        </w:numPr>
      </w:pPr>
      <w:r>
        <w:t xml:space="preserve">(3) Unless the Commission votes to issue a Certificate of Appropriateness for such construction, alteration, and repair, removal and demolition, the Commission shall file with the Inspector its rejection of such application.</w:t>
      </w:r>
    </w:p>
    <w:p>
      <w:pPr>
        <w:numPr>
          <w:ilvl w:val="0"/>
          <w:numId w:val="2947"/>
        </w:numPr>
      </w:pPr>
      <w:r>
        <w:t xml:space="preserve">(4) In the absence of change in such structure arising from casualty, no new applications for the same or similar work shall be filed within one year after such rejection.</w:t>
      </w:r>
    </w:p>
    <w:p>
      <w:pPr>
        <w:numPr>
          <w:ilvl w:val="0"/>
          <w:numId w:val="2948"/>
        </w:numPr>
      </w:pPr>
      <w:r>
        <w:t xml:space="preserve">(5) In the case of any structure deemed to be valuable for the period of architecture it represents and important to the neighborhood within which it exists, the Commission may file with the Inspector its Certificate of Appropriateness for such application if any of the circumstances under which a Certificate of Appropriateness might have been given under the proceeding paragraph are in existence, or if:</w:t>
      </w:r>
    </w:p>
    <w:p>
      <w:pPr>
        <w:pStyle w:val="Compact"/>
        <w:numPr>
          <w:ilvl w:val="0"/>
          <w:numId w:val="2949"/>
        </w:numPr>
      </w:pPr>
    </w:p>
    <w:p>
      <w:pPr>
        <w:numPr>
          <w:ilvl w:val="1"/>
          <w:numId w:val="2950"/>
        </w:numPr>
      </w:pPr>
      <w:r>
        <w:t xml:space="preserve">(a) Preservation of such structure is a deterrent to a major improvement program which will be of substantial benefit to the community;</w:t>
      </w:r>
    </w:p>
    <w:p>
      <w:pPr>
        <w:pStyle w:val="Compact"/>
        <w:numPr>
          <w:ilvl w:val="0"/>
          <w:numId w:val="2951"/>
        </w:numPr>
      </w:pPr>
    </w:p>
    <w:p>
      <w:pPr>
        <w:numPr>
          <w:ilvl w:val="1"/>
          <w:numId w:val="2952"/>
        </w:numPr>
      </w:pPr>
      <w:r>
        <w:t xml:space="preserve">(b) Preservation of such structure would cause undue or unreasonable financial hardship to the owner, taking into account the financial resources available to the owner including sale of the structure to any purchaser willing to preserve such structure;</w:t>
      </w:r>
    </w:p>
    <w:p>
      <w:pPr>
        <w:pStyle w:val="Compact"/>
        <w:numPr>
          <w:ilvl w:val="0"/>
          <w:numId w:val="2953"/>
        </w:numPr>
      </w:pPr>
    </w:p>
    <w:p>
      <w:pPr>
        <w:numPr>
          <w:ilvl w:val="1"/>
          <w:numId w:val="2954"/>
        </w:numPr>
      </w:pPr>
      <w:r>
        <w:t xml:space="preserve">(c) The preservation of such structure would not be in the best interest of the majority of the community;</w:t>
      </w:r>
    </w:p>
    <w:p>
      <w:pPr>
        <w:pStyle w:val="Compact"/>
        <w:numPr>
          <w:ilvl w:val="0"/>
          <w:numId w:val="2955"/>
        </w:numPr>
      </w:pPr>
    </w:p>
    <w:p>
      <w:pPr>
        <w:numPr>
          <w:ilvl w:val="1"/>
          <w:numId w:val="2956"/>
        </w:numPr>
      </w:pPr>
      <w:r>
        <w:t xml:space="preserve">(d) When considering an application to demolish or remove a structure of historic or architectural value, the Commission shall assist the owner in identifying and evaluating alternative to demolition, including sale of the structure on its present site. In addition to any other criteria, the Commission also shall consider whether there is a reasonable likelihood that some person or group other than the current owner is willing to purchase, move and preserve such structure and whether the owner has made continuing bona fide and reasonable efforts to sell the structure to any such purchaser willing to move and preserve such structure.</w:t>
      </w:r>
    </w:p>
    <w:bookmarkEnd w:id="160"/>
    <w:bookmarkStart w:id="161" w:name="failure-of-the-commission-to-act"/>
    <w:p>
      <w:pPr>
        <w:pStyle w:val="Heading2"/>
      </w:pPr>
      <w:r>
        <w:t xml:space="preserve">§ 19.6. Failure of the Commission to act</w:t>
      </w:r>
    </w:p>
    <w:p>
      <w:pPr>
        <w:pStyle w:val="FirstParagraph"/>
      </w:pPr>
      <w:r>
        <w:t xml:space="preserve">Sec. 19.6. Failure of the Commission to act.</w:t>
      </w:r>
    </w:p>
    <w:p>
      <w:pPr>
        <w:pStyle w:val="BodyText"/>
      </w:pPr>
      <w:r>
        <w:t xml:space="preserve">The failure of the Commission to act within 45 days from the date of a completed application filed with it shall be deemed to constitute approval, unless an extension is agreed upon mutually by the applicant and the Commission. In the event, however, that the Commission shall make a finding of fact that the circumstances of a particular application require further time for additional study and information that can be obtained within the aforesaid period of 45 days, then and in said event, the Commission shall have a period of up to 90 days within which to act upon such application.</w:t>
      </w:r>
    </w:p>
    <w:bookmarkEnd w:id="161"/>
    <w:bookmarkStart w:id="162" w:name="advisory-role"/>
    <w:p>
      <w:pPr>
        <w:pStyle w:val="Heading2"/>
      </w:pPr>
      <w:r>
        <w:t xml:space="preserve">§ 19.7. Advisory role</w:t>
      </w:r>
    </w:p>
    <w:p>
      <w:pPr>
        <w:pStyle w:val="FirstParagraph"/>
      </w:pPr>
      <w:r>
        <w:t xml:space="preserve">Sec. 19.7. Advisory role.</w:t>
      </w:r>
    </w:p>
    <w:p>
      <w:pPr>
        <w:pStyle w:val="BodyText"/>
      </w:pPr>
      <w:r>
        <w:t xml:space="preserve">In order to assist the Town, its agencies, boards, commissions, staff, administrator, and Council on matters of historic preservation, the Commission may provide its expertise and advise as appropriate.</w:t>
      </w:r>
    </w:p>
    <w:bookmarkEnd w:id="162"/>
    <w:bookmarkStart w:id="163" w:name="educational-role"/>
    <w:p>
      <w:pPr>
        <w:pStyle w:val="Heading2"/>
      </w:pPr>
      <w:r>
        <w:t xml:space="preserve">§ 19.8. Educational role</w:t>
      </w:r>
    </w:p>
    <w:p>
      <w:pPr>
        <w:pStyle w:val="FirstParagraph"/>
      </w:pPr>
      <w:r>
        <w:t xml:space="preserve">Sec. 19.8. Educational role.</w:t>
      </w:r>
    </w:p>
    <w:p>
      <w:pPr>
        <w:pStyle w:val="BodyText"/>
      </w:pPr>
      <w:r>
        <w:t xml:space="preserve">In order to assist the citizens of the Town, especially the owners of historical properties on matters of historic preservation, the Commission may provide its expertise by undertaking educational programs to promote the Historic Districts contained within the Town.</w:t>
      </w:r>
    </w:p>
    <w:bookmarkEnd w:id="163"/>
    <w:bookmarkStart w:id="164" w:name="exceptions"/>
    <w:p>
      <w:pPr>
        <w:pStyle w:val="Heading2"/>
      </w:pPr>
      <w:r>
        <w:t xml:space="preserve">§ 19.9. Exceptions</w:t>
      </w:r>
    </w:p>
    <w:p>
      <w:pPr>
        <w:pStyle w:val="FirstParagraph"/>
      </w:pPr>
      <w:r>
        <w:t xml:space="preserve">Sec. 19.9. Exceptions.</w:t>
      </w:r>
    </w:p>
    <w:p>
      <w:pPr>
        <w:pStyle w:val="BodyText"/>
      </w:pPr>
      <w:r>
        <w:t xml:space="preserve">Nothing in this section shall be construed to prevent routine maintenance or repair of any structure within a Historic District, provided that such maintenance or repair does not result in any change of design, type of material, or appearance of the structure or appurtenance; nor shall anything in this section be construed to prevent the construction, alteration, repair, moving, or demolition of any structure under a permit issued by the Inspector prior to the passage of this section.</w:t>
      </w:r>
    </w:p>
    <w:bookmarkEnd w:id="164"/>
    <w:bookmarkStart w:id="165" w:name="equitable-actions"/>
    <w:p>
      <w:pPr>
        <w:pStyle w:val="Heading2"/>
      </w:pPr>
      <w:r>
        <w:t xml:space="preserve">§ 19.10. Equitable actions</w:t>
      </w:r>
    </w:p>
    <w:p>
      <w:pPr>
        <w:pStyle w:val="FirstParagraph"/>
      </w:pPr>
      <w:r>
        <w:t xml:space="preserve">Sec. 19.10. Equitable actions.</w:t>
      </w:r>
    </w:p>
    <w:p>
      <w:pPr>
        <w:pStyle w:val="BodyText"/>
      </w:pPr>
      <w:r>
        <w:t xml:space="preserve">Where there is a violation of any of the provisions of this section or of any action taken thereunder, the Inspector, through the Town Solicitor, shall institute an appropriate action to prevent, enjoin, abate or remove such violation.</w:t>
      </w:r>
    </w:p>
    <w:bookmarkEnd w:id="165"/>
    <w:bookmarkStart w:id="166" w:name="preservation-of-endangered-structures"/>
    <w:p>
      <w:pPr>
        <w:pStyle w:val="Heading2"/>
      </w:pPr>
      <w:r>
        <w:t xml:space="preserve">§ 19.11. Preservation of endangered structures</w:t>
      </w:r>
    </w:p>
    <w:p>
      <w:pPr>
        <w:pStyle w:val="FirstParagraph"/>
      </w:pPr>
      <w:r>
        <w:t xml:space="preserve">Sec. 19.11. Preservation of endangered structures.</w:t>
      </w:r>
    </w:p>
    <w:p>
      <w:pPr>
        <w:pStyle w:val="BodyText"/>
      </w:pPr>
      <w:r>
        <w:t xml:space="preserve">The Town Council, in consultation with the Historic District Commission, may identify structures of historical or architectural value whose deteriorated physical condition endangers the preservation of such structure or its appurtenances. The Council shall publish standards for maintenance of properties within Historic Districts. Upon the petition of the Historic District Commission that a historic structure is so deteriorated that its preservation is endangered, the Council may establish a reasonable time not less than 30 days within which the owner must begin repairs. If the owner has not begun repairs within the allowed time, the Council shall hold a hearing at which the owner may appear and state his or her reasons for not commencing repairs. If the owner does not appear at the hearing or does not comply with the Council's orders, the Council may cause the required repairs to be made at the expense of the Town and cause a lien to be placed against the property for repayment.</w:t>
      </w:r>
    </w:p>
    <w:bookmarkEnd w:id="166"/>
    <w:bookmarkStart w:id="167" w:name="appeals-1"/>
    <w:p>
      <w:pPr>
        <w:pStyle w:val="Heading2"/>
      </w:pPr>
      <w:r>
        <w:t xml:space="preserve">§ 19.12. Appeals</w:t>
      </w:r>
    </w:p>
    <w:p>
      <w:pPr>
        <w:pStyle w:val="FirstParagraph"/>
      </w:pPr>
      <w:r>
        <w:t xml:space="preserve">Sec. 19.12. Appeals.</w:t>
      </w:r>
    </w:p>
    <w:p>
      <w:pPr>
        <w:pStyle w:val="BodyText"/>
      </w:pPr>
      <w:r>
        <w:t xml:space="preserve">Any person aggrieved by a decision of the Historic District Commission shall have the right to appeal such decision to the Zoning Board of Review. When hearing appeals from the Commission decisions, the Zoning Board of Review shall not substitute its own judgment for that of the Commission, but must consider the issue upon the findings and the record of the Commission. The Zoning Board of Review shall not reverse a Commission decision except on a finding of prejudicial, procedural error, clear error or lack of support by the weight of the evidence in the record. The Zoning Board of Review shall put all decisions on appeal in writing. The Zoning Board of Review shall articulate and explain the reasons and basis of each decision on the record, and the Zoning Board of Review shall send a copy of the decision to the applicant and to the Historic District Commission. Any person aggrieved by a decision of the Zoning Board of Review on a matter appealed under this section may apply to the Superior Court of Rhode Island.</w:t>
      </w:r>
    </w:p>
    <w:bookmarkEnd w:id="167"/>
    <w:bookmarkStart w:id="168" w:name="enforcement-1"/>
    <w:p>
      <w:pPr>
        <w:pStyle w:val="Heading2"/>
      </w:pPr>
      <w:r>
        <w:t xml:space="preserve">§ 19.13. Enforcement</w:t>
      </w:r>
    </w:p>
    <w:p>
      <w:pPr>
        <w:pStyle w:val="FirstParagraph"/>
      </w:pPr>
      <w:r>
        <w:t xml:space="preserve">Sec. 19.13. Enforcement.</w:t>
      </w:r>
    </w:p>
    <w:p>
      <w:pPr>
        <w:pStyle w:val="BodyText"/>
      </w:pPr>
      <w:r>
        <w:t xml:space="preserve">The Inspector may bring an action against any property owner who fails to comply with the requirements of this section. Such actions shall be brought in the Superior Court having jurisdiction where the violation occurred or is likely to occur. Plaintiffs may seek restraining orders and injunctive relief to restrain and enjoin violations or threatened violations of this section.</w:t>
      </w:r>
    </w:p>
    <w:bookmarkEnd w:id="168"/>
    <w:bookmarkStart w:id="169" w:name="definitions-1"/>
    <w:p>
      <w:pPr>
        <w:pStyle w:val="Heading1"/>
      </w:pPr>
      <w:r>
        <w:t xml:space="preserve">§ 20. Definitions</w:t>
      </w:r>
    </w:p>
    <w:p>
      <w:pPr>
        <w:pStyle w:val="FirstParagraph"/>
      </w:pPr>
      <w:r>
        <w:t xml:space="preserve">SECTION 20. Definitions DEFINITIONS</w:t>
      </w:r>
    </w:p>
    <w:bookmarkEnd w:id="169"/>
    <w:bookmarkStart w:id="170" w:name="schedule"/>
    <w:p>
      <w:pPr>
        <w:pStyle w:val="Heading2"/>
      </w:pPr>
      <w:r>
        <w:t xml:space="preserve">§ 20.1. Schedule</w:t>
      </w:r>
    </w:p>
    <w:p>
      <w:pPr>
        <w:pStyle w:val="FirstParagraph"/>
      </w:pPr>
      <w:r>
        <w:t xml:space="preserve">Sec. 20.1. Schedule.</w:t>
      </w:r>
    </w:p>
    <w:p>
      <w:pPr>
        <w:pStyle w:val="BodyText"/>
      </w:pPr>
      <w:r>
        <w:t xml:space="preserve">For the purpose of this ordinance, certain terms or words used herein shall be interpreted as follows:</w:t>
      </w:r>
    </w:p>
    <w:p>
      <w:pPr>
        <w:pStyle w:val="BodyText"/>
      </w:pPr>
      <w:r>
        <w:t xml:space="preserve">The word person includes a firm, association, organization, partnership, trust, estate, company, corporation, Municipal Corporation or a duly constituted board, or elected official, as well as an individual.</w:t>
      </w:r>
    </w:p>
    <w:p>
      <w:pPr>
        <w:pStyle w:val="BodyText"/>
      </w:pPr>
      <w:r>
        <w:t xml:space="preserve">Present tense includes the future tense, the singular number includes the plural, and the plural includes the singular.</w:t>
      </w:r>
    </w:p>
    <w:p>
      <w:pPr>
        <w:pStyle w:val="BodyText"/>
      </w:pPr>
      <w:r>
        <w:t xml:space="preserve">The word shall is mandatory, the word may is permissive.</w:t>
      </w:r>
    </w:p>
    <w:p>
      <w:pPr>
        <w:pStyle w:val="BodyText"/>
      </w:pPr>
      <w:r>
        <w:t xml:space="preserve">The words used or occupied include the words intended, designed, or arranged to be used or occupied.</w:t>
      </w:r>
    </w:p>
    <w:p>
      <w:pPr>
        <w:pStyle w:val="BodyText"/>
      </w:pPr>
      <w:r>
        <w:t xml:space="preserve">The word lot includes the words plot or parcel.</w:t>
      </w:r>
    </w:p>
    <w:p>
      <w:pPr>
        <w:pStyle w:val="BodyText"/>
      </w:pPr>
      <w:r>
        <w:t xml:space="preserve">Abutter. One whose property abuts, that is, adjoins at a border, boundary, or point with no intervening land, or one whose property falls within the required radius.</w:t>
      </w:r>
    </w:p>
    <w:p>
      <w:pPr>
        <w:pStyle w:val="BodyText"/>
      </w:pPr>
      <w:r>
        <w:t xml:space="preserve">Accessory family dwelling unit. An accessory dwelling unit for the sole use of one or more members of the family of the occupant or occupants of the principal residence, but need not have a separate means of ingress and egress.</w:t>
      </w:r>
    </w:p>
    <w:p>
      <w:pPr>
        <w:pStyle w:val="BodyText"/>
      </w:pPr>
      <w:r>
        <w:t xml:space="preserve">Accessory use or structure. A use of land or a building, or portion thereof, customarily incidental and subordinate to the principal use of the land or building. Such accessory use shall be restricted to the same lot as the principal use. Such accessory use shall not be permitted without the principal use to which it is related.</w:t>
      </w:r>
    </w:p>
    <w:p>
      <w:pPr>
        <w:pStyle w:val="BodyText"/>
      </w:pPr>
      <w:r>
        <w:t xml:space="preserve">Adult entertainment specialty shops. Adult entertainment specialty shops include establishments whose products consist primarily of adult video (sale, individual viewing booths or rental), adult magazines, adult still photographs which show or depict explicit sexual activity, or the sale of adult novelties including but not limited to reproductions of the human anatomy.</w:t>
      </w:r>
    </w:p>
    <w:p>
      <w:pPr>
        <w:pStyle w:val="BodyText"/>
      </w:pPr>
      <w:r>
        <w:t xml:space="preserve">Aggrieved party. An aggrieved party, for purposes of this act shall be:</w:t>
      </w:r>
    </w:p>
    <w:p>
      <w:pPr>
        <w:numPr>
          <w:ilvl w:val="0"/>
          <w:numId w:val="2957"/>
        </w:numPr>
      </w:pPr>
      <w:r>
        <w:t xml:space="preserve">(a) Any person or persons or entity or entities and the Town of North Smithfield who can demonstrate that their property will be injured by a decision of any officer or agency responsible for administering the Zoning Ordinance of the Town; or (last updated 6/4/18) )</w:t>
      </w:r>
    </w:p>
    <w:p>
      <w:pPr>
        <w:numPr>
          <w:ilvl w:val="0"/>
          <w:numId w:val="2958"/>
        </w:numPr>
      </w:pPr>
      <w:r>
        <w:t xml:space="preserve">(b) Anyone requiring notice pursuant to this act.</w:t>
      </w:r>
    </w:p>
    <w:p>
      <w:pPr>
        <w:numPr>
          <w:ilvl w:val="0"/>
          <w:numId w:val="2959"/>
        </w:numPr>
      </w:pPr>
      <w:r>
        <w:t xml:space="preserve">Agricultural land. Agricultural land as defined in Rhode Island General Laws section 45-22.2-4.</w:t>
      </w:r>
    </w:p>
    <w:p>
      <w:pPr>
        <w:numPr>
          <w:ilvl w:val="0"/>
          <w:numId w:val="2960"/>
        </w:numPr>
      </w:pPr>
      <w:r>
        <w:t xml:space="preserve">Airport hazard area. Airport hazard area as defined in Rhode Island General Laws section 1-3-2.</w:t>
      </w:r>
    </w:p>
    <w:p>
      <w:pPr>
        <w:numPr>
          <w:ilvl w:val="0"/>
          <w:numId w:val="2961"/>
        </w:numPr>
      </w:pPr>
      <w:r>
        <w:t xml:space="preserve">Applicant. An owner or authorized agent of the owner submitting an application or appealing an action of any official, board or agency. An authorized agent is someone who is authorized in writing by the owner of record.</w:t>
      </w:r>
    </w:p>
    <w:p>
      <w:pPr>
        <w:numPr>
          <w:ilvl w:val="0"/>
          <w:numId w:val="2962"/>
        </w:numPr>
      </w:pPr>
      <w:r>
        <w:t xml:space="preserve">Application. The completed form or forms and all accompanying documents, exhibits and fees required of an applicant by an approving authority for development review, approval, or permitting purposes.</w:t>
      </w:r>
    </w:p>
    <w:p>
      <w:pPr>
        <w:numPr>
          <w:ilvl w:val="0"/>
          <w:numId w:val="2963"/>
        </w:numPr>
      </w:pPr>
      <w:r>
        <w:t xml:space="preserve">Aquifer. An area of permeable deposits of rock or soil, containing significant amounts of potentially recoverable potable water.</w:t>
      </w:r>
    </w:p>
    <w:p>
      <w:pPr>
        <w:numPr>
          <w:ilvl w:val="0"/>
          <w:numId w:val="2964"/>
        </w:numPr>
      </w:pPr>
      <w:r>
        <w:t xml:space="preserve">Automotive fueling area. An area where fuel for motor vehicles is dispensed. Any combination of the above will require a special-use permit for each use.</w:t>
      </w:r>
    </w:p>
    <w:p>
      <w:pPr>
        <w:numPr>
          <w:ilvl w:val="0"/>
          <w:numId w:val="2965"/>
        </w:numPr>
      </w:pPr>
      <w:r>
        <w:t xml:space="preserve">Automotive heavy repair garage. A structure for the mechanical repair of motor vehicles over 15,000 pounds. No auto body work. Any combination of the above will require a special-use permit for each use.</w:t>
      </w:r>
    </w:p>
    <w:p>
      <w:pPr>
        <w:numPr>
          <w:ilvl w:val="0"/>
          <w:numId w:val="2966"/>
        </w:numPr>
      </w:pPr>
      <w:r>
        <w:t xml:space="preserve">Automotive light repair garage. A structure for the mechanical repair of motor vehicles under 15,000 pounds. No auto body work. Any combination of the above will require a special-use permit for each use.</w:t>
      </w:r>
    </w:p>
    <w:p>
      <w:pPr>
        <w:numPr>
          <w:ilvl w:val="0"/>
          <w:numId w:val="2967"/>
        </w:numPr>
      </w:pPr>
      <w:r>
        <w:t xml:space="preserve">Bed and breakfast. A structure with no more than eight guest rooms available for lodging with or without meals.</w:t>
      </w:r>
    </w:p>
    <w:p>
      <w:pPr>
        <w:numPr>
          <w:ilvl w:val="0"/>
          <w:numId w:val="2968"/>
        </w:numPr>
      </w:pPr>
      <w:r>
        <w:t xml:space="preserve">Bedroom. The term "bedroom," shall refer to any room in a residential structure which is greater than 100 square feet in area, which is susceptible to present or future use as a private sleeping area and which has at least:</w:t>
      </w:r>
    </w:p>
    <w:p>
      <w:pPr>
        <w:pStyle w:val="Compact"/>
        <w:numPr>
          <w:ilvl w:val="0"/>
          <w:numId w:val="2969"/>
        </w:numPr>
      </w:pPr>
    </w:p>
    <w:p>
      <w:pPr>
        <w:numPr>
          <w:ilvl w:val="1"/>
          <w:numId w:val="2970"/>
        </w:numPr>
      </w:pPr>
      <w:r>
        <w:t xml:space="preserve">(1) One window; and (2) One interior method of entry and egress, excluding closets and bathrooms, allowing the room to be closed off from the remainder of the residence for privacy.</w:t>
      </w:r>
    </w:p>
    <w:p>
      <w:pPr>
        <w:pStyle w:val="Compact"/>
        <w:numPr>
          <w:ilvl w:val="0"/>
          <w:numId w:val="2971"/>
        </w:numPr>
      </w:pPr>
    </w:p>
    <w:p>
      <w:pPr>
        <w:numPr>
          <w:ilvl w:val="1"/>
          <w:numId w:val="2972"/>
        </w:numPr>
      </w:pPr>
      <w:r>
        <w:t xml:space="preserve">Note: In determining the number of bedrooms contained in any residence, it shall be presumed that all residences contain a living room, kitchen, bathroom, and at least one bedroom.</w:t>
      </w:r>
    </w:p>
    <w:p>
      <w:pPr>
        <w:pStyle w:val="Compact"/>
        <w:numPr>
          <w:ilvl w:val="0"/>
          <w:numId w:val="2973"/>
        </w:numPr>
      </w:pPr>
    </w:p>
    <w:p>
      <w:pPr>
        <w:numPr>
          <w:ilvl w:val="1"/>
          <w:numId w:val="2974"/>
        </w:numPr>
      </w:pPr>
      <w:r>
        <w:t xml:space="preserve">Board. The Zoning Board of Review. (last updated 6/4/18) )</w:t>
      </w:r>
    </w:p>
    <w:p>
      <w:pPr>
        <w:pStyle w:val="Compact"/>
        <w:numPr>
          <w:ilvl w:val="0"/>
          <w:numId w:val="2975"/>
        </w:numPr>
      </w:pPr>
    </w:p>
    <w:p>
      <w:pPr>
        <w:numPr>
          <w:ilvl w:val="1"/>
          <w:numId w:val="2976"/>
        </w:numPr>
      </w:pPr>
      <w:r>
        <w:t xml:space="preserve">Buffer. Land which is maintained in either a natural or landscaped state, and is used to screen and/or mitigate the impacts of development on surrounding areas, properties or rights-of-way.</w:t>
      </w:r>
    </w:p>
    <w:p>
      <w:pPr>
        <w:pStyle w:val="Compact"/>
        <w:numPr>
          <w:ilvl w:val="0"/>
          <w:numId w:val="2977"/>
        </w:numPr>
      </w:pPr>
    </w:p>
    <w:p>
      <w:pPr>
        <w:numPr>
          <w:ilvl w:val="1"/>
          <w:numId w:val="2978"/>
        </w:numPr>
      </w:pPr>
      <w:r>
        <w:t xml:space="preserve">Building. See Structure.</w:t>
      </w:r>
    </w:p>
    <w:p>
      <w:pPr>
        <w:pStyle w:val="Compact"/>
        <w:numPr>
          <w:ilvl w:val="0"/>
          <w:numId w:val="2979"/>
        </w:numPr>
      </w:pPr>
    </w:p>
    <w:p>
      <w:pPr>
        <w:numPr>
          <w:ilvl w:val="1"/>
          <w:numId w:val="2980"/>
        </w:numPr>
      </w:pPr>
      <w:r>
        <w:t xml:space="preserve">Building envelope. The three-dimensional space within which a structure is permitted to be built on a lot and is by: building setbacks, maximum height, bulk, or other regulations, and/or any combination thereof.</w:t>
      </w:r>
    </w:p>
    <w:p>
      <w:pPr>
        <w:pStyle w:val="Compact"/>
        <w:numPr>
          <w:ilvl w:val="0"/>
          <w:numId w:val="2981"/>
        </w:numPr>
      </w:pPr>
    </w:p>
    <w:p>
      <w:pPr>
        <w:numPr>
          <w:ilvl w:val="1"/>
          <w:numId w:val="2982"/>
        </w:numPr>
      </w:pPr>
      <w:r>
        <w:t xml:space="preserve">Building height. The distance from finished grade level to the center distance of the roof rafters. The center of the roof rafter is determined at the half-way distance from the top of the exterior wall to the top of the roof ridge.</w:t>
      </w:r>
    </w:p>
    <w:p>
      <w:pPr>
        <w:pStyle w:val="Compact"/>
        <w:numPr>
          <w:ilvl w:val="0"/>
          <w:numId w:val="2983"/>
        </w:numPr>
      </w:pPr>
    </w:p>
    <w:p>
      <w:pPr>
        <w:numPr>
          <w:ilvl w:val="1"/>
          <w:numId w:val="2984"/>
        </w:numPr>
      </w:pPr>
      <w:r>
        <w:t xml:space="preserve">Building permit. The permit which is required by law to be issued by the Inspector to authorize any new construction of buildings or alteration of existing structures.</w:t>
      </w:r>
    </w:p>
    <w:p>
      <w:pPr>
        <w:pStyle w:val="Compact"/>
        <w:numPr>
          <w:ilvl w:val="0"/>
          <w:numId w:val="2985"/>
        </w:numPr>
      </w:pPr>
    </w:p>
    <w:p>
      <w:pPr>
        <w:numPr>
          <w:ilvl w:val="1"/>
          <w:numId w:val="2986"/>
        </w:numPr>
      </w:pPr>
      <w:r>
        <w:t xml:space="preserve">Cardholder. A qualifying patient or a primary caregiver who has registered with the Rhode Island Department of Health or the Department of Business Regulation and has been issued and possesses a valid registry identification card.</w:t>
      </w:r>
    </w:p>
    <w:p>
      <w:pPr>
        <w:pStyle w:val="Compact"/>
        <w:numPr>
          <w:ilvl w:val="0"/>
          <w:numId w:val="2987"/>
        </w:numPr>
      </w:pPr>
    </w:p>
    <w:p>
      <w:pPr>
        <w:numPr>
          <w:ilvl w:val="1"/>
          <w:numId w:val="2988"/>
        </w:numPr>
      </w:pPr>
      <w:r>
        <w:t xml:space="preserve">Caregiver cultivation. Marijuana cultivation for medical use only by a single registered caregiver cardholder, as defined in RIGL 21-28.6.</w:t>
      </w:r>
    </w:p>
    <w:p>
      <w:pPr>
        <w:pStyle w:val="Compact"/>
        <w:numPr>
          <w:ilvl w:val="0"/>
          <w:numId w:val="2989"/>
        </w:numPr>
      </w:pPr>
    </w:p>
    <w:p>
      <w:pPr>
        <w:numPr>
          <w:ilvl w:val="1"/>
          <w:numId w:val="2990"/>
        </w:numPr>
      </w:pPr>
      <w:r>
        <w:t xml:space="preserve">Cluster. A subdivision planning technique that concentrates buildings in specific areas on the site to allow the remaining land to be used for recreation, common open space and/or preservation of environmentally, historically, culturally, or other sensitive features and/or structures. The techniques used to concentrate buildings shall be specified in the ordinance and may include, but are not limited to, reduction in lot areas, setback requirements and/or bulk requirements with the resultant open land being devoted by deed restrictions for one or more uses. Under cluster development there is no increase in the number of lots that would be permitted under conventional development except where ordinance provisions include incentive bonuses for certain types or conditions of development.</w:t>
      </w:r>
    </w:p>
    <w:p>
      <w:pPr>
        <w:pStyle w:val="Compact"/>
        <w:numPr>
          <w:ilvl w:val="0"/>
          <w:numId w:val="2991"/>
        </w:numPr>
      </w:pPr>
    </w:p>
    <w:p>
      <w:pPr>
        <w:numPr>
          <w:ilvl w:val="1"/>
          <w:numId w:val="2992"/>
        </w:numPr>
      </w:pPr>
      <w:r>
        <w:t xml:space="preserve">Common ownership. Either:</w:t>
      </w:r>
    </w:p>
    <w:p>
      <w:pPr>
        <w:numPr>
          <w:ilvl w:val="0"/>
          <w:numId w:val="2993"/>
        </w:numPr>
      </w:pPr>
      <w:r>
        <w:t xml:space="preserve">(a) Ownership by one or more individuals or entities in any form of ownership of two or more contiguous lots; or (b) Ownership by any association (such ownership may also include a municipality) of one or more lots under specific development techniques.</w:t>
      </w:r>
    </w:p>
    <w:p>
      <w:pPr>
        <w:numPr>
          <w:ilvl w:val="0"/>
          <w:numId w:val="2994"/>
        </w:numPr>
      </w:pPr>
      <w:r>
        <w:t xml:space="preserve">Community residence. A home or residential facility where children and/or adults reside in a family setting and may or may not receive supervised care. This shall not include halfway houses or substance abuse treatment facilities. This shall include, but not be limited to the following: (last updated 6/4/18) )</w:t>
      </w:r>
    </w:p>
    <w:p>
      <w:pPr>
        <w:numPr>
          <w:ilvl w:val="0"/>
          <w:numId w:val="2995"/>
        </w:numPr>
      </w:pPr>
      <w:r>
        <w:t xml:space="preserve">(a) Whenever six or fewer retarded children or adults reside in any type of residence in the community, as licensed by the State pursuant to Rhode Island General Laws section 40.1- 24-1.</w:t>
      </w:r>
    </w:p>
    <w:p>
      <w:pPr>
        <w:numPr>
          <w:ilvl w:val="0"/>
          <w:numId w:val="2996"/>
        </w:numPr>
      </w:pPr>
      <w:r>
        <w:t xml:space="preserve">(b) A group home providing care or supervision, or both, to not more than eight mentally disabled or mentally handicapped or physically handicapped persons, and licensed by the State pursuant to Rhode Island General Laws section 40.1-24-1.</w:t>
      </w:r>
    </w:p>
    <w:p>
      <w:pPr>
        <w:numPr>
          <w:ilvl w:val="0"/>
          <w:numId w:val="2997"/>
        </w:numPr>
      </w:pPr>
      <w:r>
        <w:t xml:space="preserve">(c) A residence for children providing care or supervision, or both, to not more than eight children including those of the care giver and licensed by the State pursuant to Chapter 42-72.1.</w:t>
      </w:r>
    </w:p>
    <w:p>
      <w:pPr>
        <w:numPr>
          <w:ilvl w:val="0"/>
          <w:numId w:val="2998"/>
        </w:numPr>
      </w:pPr>
      <w:r>
        <w:t xml:space="preserve">(d) A community transitional residence providing care or assistance, or both, to no more than six unrelated persons or no more than three families not to exceed a total of eight persons requiring temporary financial assistance and/or to persons who are victims of crime, abuse or neglect, and who are expected to reside in such residence not less than 60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numPr>
          <w:ilvl w:val="0"/>
          <w:numId w:val="2999"/>
        </w:numPr>
      </w:pPr>
      <w:r>
        <w:t xml:space="preserve">Comprehensive plan. The comprehensive plan adopted and approved pursuant to Chapter 45- 22.2 and to which any zoning adopted pursuant to this act shall be in compliance.</w:t>
      </w:r>
    </w:p>
    <w:tbl>
      <w:tblPr>
        <w:tblStyle w:val="Table"/>
        <w:tblW w:type="auto" w:w="0"/>
        <w:jc w:val="left"/>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Compassion center. A</w:t>
            </w:r>
          </w:p>
        </w:tc>
        <w:tc>
          <w:tcPr/>
          <w:p>
            <w:pPr>
              <w:pStyle w:val="Compact"/>
            </w:pPr>
          </w:p>
        </w:tc>
        <w:tc>
          <w:tcPr/>
          <w:p>
            <w:pPr>
              <w:pStyle w:val="Compact"/>
              <w:jc w:val="left"/>
            </w:pPr>
            <w:r>
              <w:t xml:space="preserve">not-for-profit corporation that acquires, possesses, cultivates,</w:t>
            </w:r>
          </w:p>
        </w:tc>
      </w:tr>
      <w:tr>
        <w:tc>
          <w:tcPr/>
          <w:p>
            <w:pPr>
              <w:pStyle w:val="Compact"/>
              <w:jc w:val="left"/>
            </w:pPr>
            <w:r>
              <w:t xml:space="preserve">manufactures,</w:t>
            </w:r>
          </w:p>
        </w:tc>
        <w:tc>
          <w:tcPr/>
          <w:p>
            <w:pPr>
              <w:pStyle w:val="Compact"/>
              <w:jc w:val="left"/>
            </w:pPr>
            <w:r>
              <w:t xml:space="preserve">delivers, transfers,</w:t>
            </w:r>
          </w:p>
        </w:tc>
        <w:tc>
          <w:tcPr/>
          <w:p>
            <w:pPr>
              <w:pStyle w:val="Compact"/>
            </w:pPr>
          </w:p>
        </w:tc>
        <w:tc>
          <w:tcPr/>
          <w:p>
            <w:pPr>
              <w:pStyle w:val="Compact"/>
              <w:jc w:val="left"/>
            </w:pPr>
            <w:r>
              <w:t xml:space="preserve">transports, supplies or dispenses marijuana, and/or related supplies and</w:t>
            </w:r>
          </w:p>
        </w:tc>
      </w:tr>
      <w:tr>
        <w:tc>
          <w:tcPr/>
          <w:p>
            <w:pPr>
              <w:pStyle w:val="Compact"/>
              <w:jc w:val="left"/>
            </w:pPr>
            <w:r>
              <w:t xml:space="preserve">educational</w:t>
            </w:r>
          </w:p>
        </w:tc>
        <w:tc>
          <w:tcPr/>
          <w:p>
            <w:pPr>
              <w:pStyle w:val="Compact"/>
              <w:jc w:val="left"/>
            </w:pPr>
            <w:r>
              <w:t xml:space="preserve">materials, to patient</w:t>
            </w:r>
          </w:p>
        </w:tc>
        <w:tc>
          <w:tcPr/>
          <w:p>
            <w:pPr>
              <w:pStyle w:val="Compact"/>
            </w:pPr>
          </w:p>
        </w:tc>
        <w:tc>
          <w:tcPr/>
          <w:p>
            <w:pPr>
              <w:pStyle w:val="Compact"/>
              <w:jc w:val="left"/>
            </w:pPr>
            <w:r>
              <w:t xml:space="preserve">cardholders and/or their registered caregiver cardholder, who have</w:t>
            </w:r>
          </w:p>
        </w:tc>
      </w:tr>
      <w:tr>
        <w:tc>
          <w:tcPr/>
          <w:p>
            <w:pPr>
              <w:pStyle w:val="Compact"/>
              <w:jc w:val="left"/>
            </w:pPr>
            <w:r>
              <w:t xml:space="preserve">designated</w:t>
            </w:r>
          </w:p>
        </w:tc>
        <w:tc>
          <w:tcPr/>
          <w:p>
            <w:pPr>
              <w:pStyle w:val="Compact"/>
              <w:jc w:val="left"/>
            </w:pPr>
            <w:r>
              <w:t xml:space="preserve">it as one of their primary</w:t>
            </w:r>
          </w:p>
        </w:tc>
        <w:tc>
          <w:tcPr/>
          <w:p>
            <w:pPr>
              <w:pStyle w:val="Compact"/>
            </w:pPr>
          </w:p>
        </w:tc>
        <w:tc>
          <w:tcPr/>
          <w:p>
            <w:pPr>
              <w:pStyle w:val="Compact"/>
              <w:jc w:val="left"/>
            </w:pPr>
            <w:r>
              <w:t xml:space="preserve">caregivers.</w:t>
            </w:r>
          </w:p>
        </w:tc>
      </w:tr>
      <w:tr>
        <w:tc>
          <w:tcPr/>
          <w:p>
            <w:pPr>
              <w:pStyle w:val="Compact"/>
            </w:pPr>
          </w:p>
        </w:tc>
        <w:tc>
          <w:tcPr/>
          <w:p>
            <w:pPr>
              <w:pStyle w:val="Compact"/>
              <w:jc w:val="left"/>
            </w:pPr>
            <w:r>
              <w:t xml:space="preserve">Conservation Development.</w:t>
            </w:r>
          </w:p>
        </w:tc>
        <w:tc>
          <w:tcPr/>
          <w:p>
            <w:pPr>
              <w:pStyle w:val="Compact"/>
            </w:pPr>
          </w:p>
        </w:tc>
        <w:tc>
          <w:tcPr/>
          <w:p>
            <w:pPr>
              <w:pStyle w:val="Compact"/>
              <w:jc w:val="left"/>
            </w:pPr>
            <w:r>
              <w:t xml:space="preserve">A type of land development project which allows a community to</w:t>
            </w:r>
          </w:p>
        </w:tc>
      </w:tr>
      <w:tr>
        <w:tc>
          <w:tcPr/>
          <w:p>
            <w:pPr>
              <w:pStyle w:val="Compact"/>
              <w:jc w:val="left"/>
            </w:pPr>
            <w:r>
              <w:t xml:space="preserve">guide and to</w:t>
            </w:r>
          </w:p>
        </w:tc>
        <w:tc>
          <w:tcPr/>
          <w:p>
            <w:pPr>
              <w:pStyle w:val="Compact"/>
              <w:jc w:val="left"/>
            </w:pPr>
            <w:r>
              <w:t xml:space="preserve">growth to the most appropriate protect the character-defining Conventional Subdivision.</w:t>
            </w:r>
          </w:p>
        </w:tc>
        <w:tc>
          <w:tcPr/>
          <w:p>
            <w:pPr>
              <w:pStyle w:val="Compact"/>
            </w:pPr>
          </w:p>
        </w:tc>
        <w:tc>
          <w:tcPr/>
          <w:p>
            <w:pPr>
              <w:pStyle w:val="Compact"/>
              <w:jc w:val="left"/>
            </w:pPr>
            <w:r>
              <w:t xml:space="preserve">areas within a parcel of land to avoid impacts to the environment features of the property. See Section 6.20 A residential subdivision in which all land being subdivided is</w:t>
            </w:r>
          </w:p>
        </w:tc>
      </w:tr>
      <w:tr>
        <w:tc>
          <w:tcPr/>
          <w:p>
            <w:pPr>
              <w:pStyle w:val="Compact"/>
              <w:jc w:val="left"/>
            </w:pPr>
            <w:r>
              <w:t xml:space="preserve">dedicated be facilities, Subdivision</w:t>
            </w:r>
          </w:p>
        </w:tc>
        <w:tc>
          <w:tcPr/>
          <w:p>
            <w:pPr>
              <w:pStyle w:val="Compact"/>
              <w:jc w:val="left"/>
            </w:pPr>
            <w:r>
              <w:t xml:space="preserve">to either development dedicated to the Town for a but not for common open Regulations. A Conventional Yield Plan.</w:t>
            </w:r>
          </w:p>
        </w:tc>
        <w:tc>
          <w:tcPr/>
          <w:p>
            <w:pPr>
              <w:pStyle w:val="Compact"/>
              <w:jc w:val="left"/>
            </w:pPr>
            <w:r>
              <w:t xml:space="preserve">lots number conventional A</w:t>
            </w:r>
          </w:p>
        </w:tc>
        <w:tc>
          <w:tcPr/>
          <w:p>
            <w:pPr>
              <w:pStyle w:val="Compact"/>
              <w:jc w:val="left"/>
            </w:pPr>
            <w:r>
              <w:t xml:space="preserve">or street right of way. In a conventional subdivision, land may also of purposes, such as recreation, utilities, transportation or public space as provided in Section 4-5 of the Land Development and subdivision is not a Conservation Development. plan of a conventional (as opposed to a Conservation) subdivision</w:t>
            </w:r>
          </w:p>
        </w:tc>
      </w:tr>
    </w:tbl>
    <w:p>
      <w:pPr>
        <w:pStyle w:val="BodyText"/>
      </w:pPr>
      <w:r>
        <w:t xml:space="preserve">or land development project that depicts the maximum number of building lots or dwelling units that could reasonably be built on a parcel of land under current zoning, taking into account the presence of physical constraints to development, such as land unsuitable for development. See North Smithfield Land Development and Subdivision Regulations.</w:t>
      </w:r>
    </w:p>
    <w:p>
      <w:pPr>
        <w:pStyle w:val="BodyText"/>
      </w:pPr>
      <w:r>
        <w:t xml:space="preserve">(last updated 6/4/18) )</w:t>
      </w:r>
    </w:p>
    <w:p>
      <w:pPr>
        <w:numPr>
          <w:ilvl w:val="0"/>
          <w:numId w:val="3000"/>
        </w:numPr>
      </w:pPr>
      <w:r>
        <w:t xml:space="preserve">Day care</w:t>
      </w:r>
      <w:r>
        <w:br/>
      </w:r>
      <w:r>
        <w:t xml:space="preserve">day care center. Any other day care center which is not a family day care home.</w:t>
      </w:r>
    </w:p>
    <w:p>
      <w:pPr>
        <w:numPr>
          <w:ilvl w:val="0"/>
          <w:numId w:val="3001"/>
        </w:numPr>
      </w:pPr>
      <w:r>
        <w:t xml:space="preserve">Day care</w:t>
      </w:r>
      <w:r>
        <w:br/>
      </w:r>
      <w:r>
        <w:t xml:space="preserve">family day care home. Any home other than the individual's home in which day care, in lieu of parental care or supervision, is offered at the same time to six or less individuals who are not relatives of the care giver, but may not contain more than a total of eight individuals receiving such care.</w:t>
      </w:r>
    </w:p>
    <w:p>
      <w:pPr>
        <w:numPr>
          <w:ilvl w:val="0"/>
          <w:numId w:val="3002"/>
        </w:numPr>
      </w:pPr>
      <w:r>
        <w:t xml:space="preserve">Density, residential. The number of dwelling units per unit of land.</w:t>
      </w:r>
    </w:p>
    <w:p>
      <w:pPr>
        <w:numPr>
          <w:ilvl w:val="0"/>
          <w:numId w:val="3003"/>
        </w:numPr>
      </w:pPr>
      <w:r>
        <w:t xml:space="preserve">Development. The construction, reconstruction, conversion, structural alteration, relocation or enlargement of any structure, any mining, excavation, landfill or land disturbance, any change in use, or alteration or extension of the use of land.</w:t>
      </w:r>
    </w:p>
    <w:p>
      <w:pPr>
        <w:numPr>
          <w:ilvl w:val="0"/>
          <w:numId w:val="3004"/>
        </w:numPr>
      </w:pPr>
      <w:r>
        <w:t xml:space="preserve">Development plan review. The process whereby authorized local officials review the site plans, maps and other documentation of a development to determine the compliance with the stated purpose and standards of the ordinance.</w:t>
      </w:r>
    </w:p>
    <w:p>
      <w:pPr>
        <w:numPr>
          <w:ilvl w:val="0"/>
          <w:numId w:val="3005"/>
        </w:numPr>
      </w:pPr>
      <w:r>
        <w:t xml:space="preserve">Disposal. The deposit, injection, dumping, spilling, leaking, incineration of, or placing of any hazardous material(s) into or on any land or water so that such hazardous material(s) or any constituent thereof may enter the environment or be emitted into the air or discharged into the water, including groundwater, aquifers and recharge zones.</w:t>
      </w:r>
    </w:p>
    <w:p>
      <w:pPr>
        <w:numPr>
          <w:ilvl w:val="0"/>
          <w:numId w:val="3006"/>
        </w:numPr>
      </w:pPr>
      <w:r>
        <w:t xml:space="preserve">District. See Zoning Use District.</w:t>
      </w:r>
    </w:p>
    <w:p>
      <w:pPr>
        <w:numPr>
          <w:ilvl w:val="0"/>
          <w:numId w:val="3007"/>
        </w:numPr>
      </w:pPr>
      <w:r>
        <w:t xml:space="preserve">Dormitory. A structure used for housing unrelated individuals in conjunction with an allowed principal use. Usually has common dining, kitchen, and sanitary facilities.</w:t>
      </w:r>
    </w:p>
    <w:p>
      <w:pPr>
        <w:numPr>
          <w:ilvl w:val="0"/>
          <w:numId w:val="3008"/>
        </w:numPr>
      </w:pPr>
      <w:r>
        <w:t xml:space="preserve">Drainage system. A system of the removal of water from land by drains, grading or other appropriate means. Such techniques may include runoff controls to minimize erosion and sedimentation during and after construction or development, the means for preserving surface and groundwaters and the prevention and/or alleviation of flooding.</w:t>
      </w:r>
    </w:p>
    <w:p>
      <w:pPr>
        <w:numPr>
          <w:ilvl w:val="0"/>
          <w:numId w:val="3009"/>
        </w:numPr>
      </w:pPr>
      <w:r>
        <w:t xml:space="preserve">Dwelling, single-family. A detached, residential dwelling unit other than a mobile home, designed for and occupied by one household only.</w:t>
      </w:r>
    </w:p>
    <w:p>
      <w:pPr>
        <w:numPr>
          <w:ilvl w:val="0"/>
          <w:numId w:val="3010"/>
        </w:numPr>
      </w:pPr>
      <w:r>
        <w:t xml:space="preserve">Dwelling, multifamily. A residential building designed for or occupied by three or more households.</w:t>
      </w:r>
    </w:p>
    <w:p>
      <w:pPr>
        <w:numPr>
          <w:ilvl w:val="0"/>
          <w:numId w:val="3011"/>
        </w:numPr>
      </w:pPr>
      <w:r>
        <w:t xml:space="preserve">Dwelling, two-family. A detached, residential building containing two dwelling units designed for occupancy by not more than two households.</w:t>
      </w:r>
    </w:p>
    <w:p>
      <w:pPr>
        <w:numPr>
          <w:ilvl w:val="0"/>
          <w:numId w:val="3012"/>
        </w:numPr>
      </w:pPr>
      <w:r>
        <w:t xml:space="preserve">Dwelling unit. A structure or portion thereof providing complete, independent living facilities for one or more persons, including permanent provisions for living, sleeping, eating, cooking, and sanitation and containing a separate means of ingress and egress. (last updated 6/4/18) )</w:t>
      </w:r>
    </w:p>
    <w:p>
      <w:pPr>
        <w:numPr>
          <w:ilvl w:val="0"/>
          <w:numId w:val="3013"/>
        </w:numPr>
      </w:pPr>
      <w:r>
        <w:t xml:space="preserve">Enlargement. To make or become larger; to increase; to expand. This shall include but is not limited to structures and land uses.</w:t>
      </w:r>
    </w:p>
    <w:p>
      <w:pPr>
        <w:numPr>
          <w:ilvl w:val="0"/>
          <w:numId w:val="3014"/>
        </w:numPr>
      </w:pPr>
      <w:r>
        <w:t xml:space="preserve">Extractive industry.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a part of the extractive activity.</w:t>
      </w:r>
    </w:p>
    <w:p>
      <w:pPr>
        <w:numPr>
          <w:ilvl w:val="0"/>
          <w:numId w:val="3015"/>
        </w:numPr>
      </w:pPr>
      <w:r>
        <w:t xml:space="preserve">Facility means all contiguous land, structures and other appurtenances and improvements on land used for any one or more particular purpose.</w:t>
      </w:r>
    </w:p>
    <w:p>
      <w:pPr>
        <w:numPr>
          <w:ilvl w:val="0"/>
          <w:numId w:val="3016"/>
        </w:numPr>
      </w:pPr>
      <w:r>
        <w:t xml:space="preserve">Family. See Household.</w:t>
      </w:r>
    </w:p>
    <w:p>
      <w:pPr>
        <w:numPr>
          <w:ilvl w:val="0"/>
          <w:numId w:val="3017"/>
        </w:numPr>
      </w:pPr>
      <w:r>
        <w:t xml:space="preserve">Floodplains, or flood hazard area. As defined in Rhode Island General Laws section 45-22.2-4.</w:t>
      </w:r>
    </w:p>
    <w:p>
      <w:pPr>
        <w:numPr>
          <w:ilvl w:val="0"/>
          <w:numId w:val="3018"/>
        </w:numPr>
      </w:pPr>
      <w:r>
        <w:t xml:space="preserve">Grade. A reference plane representing the average of finished ground level adjoining the building at all exterior walls. When the finished ground level slopes away from the exterior walls, the reference plane shall be established by the lowest points within the area between the building and the lot line, or where the lot line is more than six feet from the building, between the building and a point six feet from the building at all exterior walls.</w:t>
      </w:r>
    </w:p>
    <w:p>
      <w:pPr>
        <w:numPr>
          <w:ilvl w:val="0"/>
          <w:numId w:val="3019"/>
        </w:numPr>
      </w:pPr>
      <w:r>
        <w:t xml:space="preserve">Groundwater. Water beneath the surface of the ground, whether or not flowing through known and definite channels.</w:t>
      </w:r>
    </w:p>
    <w:p>
      <w:pPr>
        <w:numPr>
          <w:ilvl w:val="0"/>
          <w:numId w:val="3020"/>
        </w:numPr>
      </w:pPr>
      <w:r>
        <w:t xml:space="preserve">Hardship. See Rhode Island General Laws section 45-24-41.</w:t>
      </w:r>
    </w:p>
    <w:p>
      <w:pPr>
        <w:numPr>
          <w:ilvl w:val="0"/>
          <w:numId w:val="3021"/>
        </w:numPr>
      </w:pPr>
      <w:r>
        <w:t xml:space="preserve">Halfway houses. A residential facility for adults or children who have been institutionalized for criminal conduct and who require a group setting to facilitate the transition to a functional member of society.</w:t>
      </w:r>
    </w:p>
    <w:p>
      <w:pPr>
        <w:numPr>
          <w:ilvl w:val="0"/>
          <w:numId w:val="3022"/>
        </w:numPr>
      </w:pPr>
      <w:r>
        <w:t xml:space="preserve">Hazardous waste. Any material or combination of materials of a solid, liquid, contained gaseous, or semi-solid form which because of its quantity, concentration or physical, chemical or infectious characteristics may:</w:t>
      </w:r>
    </w:p>
    <w:p>
      <w:pPr>
        <w:pStyle w:val="Compact"/>
        <w:numPr>
          <w:ilvl w:val="0"/>
          <w:numId w:val="3023"/>
        </w:numPr>
      </w:pPr>
    </w:p>
    <w:p>
      <w:pPr>
        <w:numPr>
          <w:ilvl w:val="1"/>
          <w:numId w:val="3024"/>
        </w:numPr>
      </w:pPr>
      <w:r>
        <w:t xml:space="preserve">(a) Cause, or significantly contribute to an increase in mortality or an increase in serious irreversible, or incapacitating reversible, illness; or (b) Pose a substantial present or potential hazard to human health or the environment.</w:t>
      </w:r>
    </w:p>
    <w:p>
      <w:pPr>
        <w:pStyle w:val="Compact"/>
        <w:numPr>
          <w:ilvl w:val="0"/>
          <w:numId w:val="3025"/>
        </w:numPr>
      </w:pPr>
    </w:p>
    <w:p>
      <w:pPr>
        <w:numPr>
          <w:ilvl w:val="1"/>
          <w:numId w:val="3026"/>
        </w:numPr>
      </w:pPr>
      <w:r>
        <w:t xml:space="preserve">Historic District, or historic site. As defined in Rhode Island General Laws section 45-22.2-4.</w:t>
      </w:r>
    </w:p>
    <w:p>
      <w:pPr>
        <w:pStyle w:val="Compact"/>
        <w:numPr>
          <w:ilvl w:val="0"/>
          <w:numId w:val="3027"/>
        </w:numPr>
      </w:pPr>
    </w:p>
    <w:p>
      <w:pPr>
        <w:numPr>
          <w:ilvl w:val="1"/>
          <w:numId w:val="3028"/>
        </w:numPr>
      </w:pPr>
      <w:r>
        <w:t xml:space="preserve">Hotel/Inn. A structure designed for transient occupancy containing rooms or suites with interior hallways providing living, sleeping, and sanitary facilities and other ancillary uses, including but not limited to dining, entertainment and meeting rooms. (last updated 6/4/18) )</w:t>
      </w:r>
    </w:p>
    <w:p>
      <w:pPr>
        <w:pStyle w:val="Compact"/>
        <w:numPr>
          <w:ilvl w:val="0"/>
          <w:numId w:val="3029"/>
        </w:numPr>
      </w:pPr>
    </w:p>
    <w:p>
      <w:pPr>
        <w:numPr>
          <w:ilvl w:val="1"/>
          <w:numId w:val="3030"/>
        </w:numPr>
      </w:pPr>
      <w:r>
        <w:t xml:space="preserve">Household. One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of the following:</w:t>
      </w:r>
    </w:p>
    <w:p>
      <w:pPr>
        <w:pStyle w:val="Compact"/>
        <w:numPr>
          <w:ilvl w:val="0"/>
          <w:numId w:val="3031"/>
        </w:numPr>
      </w:pPr>
    </w:p>
    <w:p>
      <w:pPr>
        <w:numPr>
          <w:ilvl w:val="1"/>
          <w:numId w:val="3032"/>
        </w:numPr>
      </w:pPr>
      <w:r>
        <w:t xml:space="preserve">(a) A family, which may also include servants and employees living with the family.</w:t>
      </w:r>
    </w:p>
    <w:p>
      <w:pPr>
        <w:pStyle w:val="Compact"/>
        <w:numPr>
          <w:ilvl w:val="0"/>
          <w:numId w:val="3033"/>
        </w:numPr>
      </w:pPr>
    </w:p>
    <w:p>
      <w:pPr>
        <w:numPr>
          <w:ilvl w:val="1"/>
          <w:numId w:val="3034"/>
        </w:numPr>
      </w:pPr>
      <w:r>
        <w:t xml:space="preserve">(b) A person or group of unrelated persons of not more than three living together.</w:t>
      </w:r>
    </w:p>
    <w:p>
      <w:pPr>
        <w:pStyle w:val="Compact"/>
        <w:numPr>
          <w:ilvl w:val="0"/>
          <w:numId w:val="3035"/>
        </w:numPr>
      </w:pPr>
    </w:p>
    <w:p>
      <w:pPr>
        <w:numPr>
          <w:ilvl w:val="1"/>
          <w:numId w:val="3036"/>
        </w:numPr>
      </w:pPr>
      <w:r>
        <w:t xml:space="preserve">(c) A family and a maximum of three unrelated persons.</w:t>
      </w:r>
    </w:p>
    <w:p>
      <w:pPr>
        <w:pStyle w:val="Compact"/>
        <w:numPr>
          <w:ilvl w:val="0"/>
          <w:numId w:val="3037"/>
        </w:numPr>
      </w:pPr>
    </w:p>
    <w:p>
      <w:pPr>
        <w:numPr>
          <w:ilvl w:val="1"/>
          <w:numId w:val="3038"/>
        </w:numPr>
      </w:pPr>
      <w:r>
        <w:t xml:space="preserve">Incentive zoning. The process whereby the local authority may grant additional development capacity in exchange for the developer's provision of a public benefit or amenity as specified in local ordinances.</w:t>
      </w:r>
    </w:p>
    <w:p>
      <w:pPr>
        <w:pStyle w:val="Compact"/>
        <w:numPr>
          <w:ilvl w:val="0"/>
          <w:numId w:val="3039"/>
        </w:numPr>
      </w:pPr>
    </w:p>
    <w:p>
      <w:pPr>
        <w:numPr>
          <w:ilvl w:val="1"/>
          <w:numId w:val="3040"/>
        </w:numPr>
      </w:pPr>
      <w:r>
        <w:t xml:space="preserve">Incinerator. Any enclosed device using controlled flame combustion to treat, destroy or reduce through burning. Neither boilers nor industrial furnaces shall be classified as incinerators.</w:t>
      </w:r>
    </w:p>
    <w:p>
      <w:pPr>
        <w:pStyle w:val="Compact"/>
        <w:numPr>
          <w:ilvl w:val="0"/>
          <w:numId w:val="3041"/>
        </w:numPr>
      </w:pPr>
    </w:p>
    <w:p>
      <w:pPr>
        <w:numPr>
          <w:ilvl w:val="1"/>
          <w:numId w:val="3042"/>
        </w:numPr>
      </w:pPr>
      <w:r>
        <w:t xml:space="preserve">Infrastructure. Facilities and services needed to sustain residential, commercial, industrial, institutional, and other activities.</w:t>
      </w:r>
    </w:p>
    <w:p>
      <w:pPr>
        <w:pStyle w:val="Compact"/>
        <w:numPr>
          <w:ilvl w:val="0"/>
          <w:numId w:val="3043"/>
        </w:numPr>
      </w:pPr>
    </w:p>
    <w:p>
      <w:pPr>
        <w:numPr>
          <w:ilvl w:val="1"/>
          <w:numId w:val="3044"/>
        </w:numPr>
      </w:pPr>
      <w:r>
        <w:t xml:space="preserve">Land development project. A project in which one or more lots, tracts, or parcels of land are to be developed or re-developed as a coordinated site for a complex of uses, units, or structures, including but not limited to: planned development and/or cluster development for residential, commercial, institutional, recreational, open space, and/or mixed uses as may be provided for in the Zoning Ordinance.</w:t>
      </w:r>
    </w:p>
    <w:p>
      <w:pPr>
        <w:pStyle w:val="Compact"/>
        <w:numPr>
          <w:ilvl w:val="0"/>
          <w:numId w:val="3045"/>
        </w:numPr>
      </w:pPr>
    </w:p>
    <w:p>
      <w:pPr>
        <w:numPr>
          <w:ilvl w:val="1"/>
          <w:numId w:val="3046"/>
        </w:numPr>
      </w:pPr>
      <w:r>
        <w:t xml:space="preserve">Land Unsuitable for Development. Land unsuitable for development means land which has environmental constraints or physical constraints to development. The provisions of Section 5.5.3 of this Ordinance shall apply.</w:t>
      </w:r>
    </w:p>
    <w:p>
      <w:pPr>
        <w:pStyle w:val="Compact"/>
        <w:numPr>
          <w:ilvl w:val="0"/>
          <w:numId w:val="3047"/>
        </w:numPr>
      </w:pPr>
    </w:p>
    <w:p>
      <w:pPr>
        <w:numPr>
          <w:ilvl w:val="1"/>
          <w:numId w:val="3048"/>
        </w:numPr>
      </w:pPr>
      <w:r>
        <w:t xml:space="preserve">Landfill. The disposal and/or burial of over three (3) cubic yards of solid or liquid waste. For further definition, refer to Rules and Regulations for Solid Waste Management Facilities of December 1, 1982, amended February 6, 1991.</w:t>
      </w:r>
    </w:p>
    <w:p>
      <w:pPr>
        <w:pStyle w:val="Compact"/>
        <w:numPr>
          <w:ilvl w:val="0"/>
          <w:numId w:val="3049"/>
        </w:numPr>
      </w:pPr>
    </w:p>
    <w:p>
      <w:pPr>
        <w:numPr>
          <w:ilvl w:val="1"/>
          <w:numId w:val="3050"/>
        </w:numPr>
      </w:pPr>
      <w:r>
        <w:t xml:space="preserve">Licensed cultivator. Means a person, as identified in RIGL Section 43-3-6, who has been licensed by the department of business regulation to cultivate marijuana pursuant to RIGL section 21- 28.6-16.</w:t>
      </w:r>
    </w:p>
    <w:p>
      <w:pPr>
        <w:pStyle w:val="Compact"/>
        <w:numPr>
          <w:ilvl w:val="0"/>
          <w:numId w:val="3051"/>
        </w:numPr>
      </w:pPr>
    </w:p>
    <w:p>
      <w:pPr>
        <w:numPr>
          <w:ilvl w:val="1"/>
          <w:numId w:val="3052"/>
        </w:numPr>
      </w:pPr>
      <w:r>
        <w:t xml:space="preserve">Loading space, off-street. Space logically and conveniently located for bulk pickups and deliveries, scaled to delivery vehicles expected to be used, and accessible to such vehicles when required off-street parking spaces are filled. Required off-street loading space is not to be included as off-street parking space in computation of required off-street parking space. (last updated 6/4/18) )</w:t>
      </w:r>
    </w:p>
    <w:p>
      <w:pPr>
        <w:pStyle w:val="Compact"/>
        <w:numPr>
          <w:ilvl w:val="0"/>
          <w:numId w:val="3053"/>
        </w:numPr>
      </w:pPr>
    </w:p>
    <w:p>
      <w:pPr>
        <w:numPr>
          <w:ilvl w:val="1"/>
          <w:numId w:val="3054"/>
        </w:numPr>
      </w:pPr>
      <w:r>
        <w:t xml:space="preserve">Lot. For purposes of this ordinance, a lot is a parcel of land of at least sufficient size to meet minimum zoning requirements for use, coverage, and area, and to provide such yards and other open spaces as are herein required. Such lot shall have frontage on an improved street and may consist of:</w:t>
      </w:r>
    </w:p>
    <w:p>
      <w:pPr>
        <w:pStyle w:val="Compact"/>
        <w:numPr>
          <w:ilvl w:val="0"/>
          <w:numId w:val="3055"/>
        </w:numPr>
      </w:pPr>
    </w:p>
    <w:p>
      <w:pPr>
        <w:numPr>
          <w:ilvl w:val="1"/>
          <w:numId w:val="3056"/>
        </w:numPr>
      </w:pPr>
      <w:r>
        <w:t xml:space="preserve">(a) A single lot of record;</w:t>
      </w:r>
    </w:p>
    <w:p>
      <w:pPr>
        <w:pStyle w:val="Compact"/>
        <w:numPr>
          <w:ilvl w:val="0"/>
          <w:numId w:val="3057"/>
        </w:numPr>
      </w:pPr>
    </w:p>
    <w:p>
      <w:pPr>
        <w:numPr>
          <w:ilvl w:val="1"/>
          <w:numId w:val="3058"/>
        </w:numPr>
      </w:pPr>
      <w:r>
        <w:t xml:space="preserve">(b) A combination of complete lots of record, of complete lots of record and portions of lots of record; or of portions of lots of record;</w:t>
      </w:r>
    </w:p>
    <w:p>
      <w:pPr>
        <w:pStyle w:val="Compact"/>
        <w:numPr>
          <w:ilvl w:val="0"/>
          <w:numId w:val="3059"/>
        </w:numPr>
      </w:pPr>
    </w:p>
    <w:p>
      <w:pPr>
        <w:numPr>
          <w:ilvl w:val="1"/>
          <w:numId w:val="3060"/>
        </w:numPr>
      </w:pPr>
      <w:r>
        <w:t xml:space="preserve">(c) A parcel of land described by metes and bounds; provided that in no case of division or combination shall any residual lot or parcel be created which does not meet the requirements of this ordinance.</w:t>
      </w:r>
    </w:p>
    <w:p>
      <w:pPr>
        <w:pStyle w:val="Compact"/>
        <w:numPr>
          <w:ilvl w:val="0"/>
          <w:numId w:val="3061"/>
        </w:numPr>
      </w:pPr>
    </w:p>
    <w:p>
      <w:pPr>
        <w:numPr>
          <w:ilvl w:val="1"/>
          <w:numId w:val="3062"/>
        </w:numPr>
      </w:pPr>
      <w:r>
        <w:t xml:space="preserve">Lot area. The total area within the boundaries of a lot, excluding any street rights-of-way, usually reported in acres or square feet.</w:t>
      </w:r>
    </w:p>
    <w:p>
      <w:pPr>
        <w:pStyle w:val="Compact"/>
        <w:numPr>
          <w:ilvl w:val="0"/>
          <w:numId w:val="3063"/>
        </w:numPr>
      </w:pPr>
    </w:p>
    <w:p>
      <w:pPr>
        <w:numPr>
          <w:ilvl w:val="1"/>
          <w:numId w:val="3064"/>
        </w:numPr>
      </w:pPr>
      <w:r>
        <w:t xml:space="preserve">Lot building coverage. That portion of the lot that is or may be covered by buildings and accessory buildings.</w:t>
      </w:r>
    </w:p>
    <w:p>
      <w:pPr>
        <w:pStyle w:val="Compact"/>
        <w:numPr>
          <w:ilvl w:val="0"/>
          <w:numId w:val="3065"/>
        </w:numPr>
      </w:pPr>
    </w:p>
    <w:p>
      <w:pPr>
        <w:numPr>
          <w:ilvl w:val="1"/>
          <w:numId w:val="3066"/>
        </w:numPr>
      </w:pPr>
      <w:r>
        <w:t xml:space="preserve">Lot depth. The distance measured from the front lot line to the rear lot line. For lots where the front and rear lot lines are not parallel, the lot depth is an average of the depth.</w:t>
      </w:r>
    </w:p>
    <w:p>
      <w:pPr>
        <w:pStyle w:val="Compact"/>
        <w:numPr>
          <w:ilvl w:val="0"/>
          <w:numId w:val="3067"/>
        </w:numPr>
      </w:pPr>
    </w:p>
    <w:p>
      <w:pPr>
        <w:numPr>
          <w:ilvl w:val="1"/>
          <w:numId w:val="3068"/>
        </w:numPr>
      </w:pPr>
      <w:r>
        <w:t xml:space="preserve">Lot frontage. That portion of a lot abutting a street. Compliance of frontage requirements shall be contiguous frontage only.</w:t>
      </w:r>
    </w:p>
    <w:p>
      <w:pPr>
        <w:pStyle w:val="Compact"/>
        <w:numPr>
          <w:ilvl w:val="0"/>
          <w:numId w:val="3069"/>
        </w:numPr>
      </w:pPr>
    </w:p>
    <w:p>
      <w:pPr>
        <w:numPr>
          <w:ilvl w:val="1"/>
          <w:numId w:val="3070"/>
        </w:numPr>
      </w:pPr>
      <w:r>
        <w:t xml:space="preserve">Lot line. A line of record, bounding a lot, which divides one lot from another lot or from a public or private street or any other public or private space and shall include:</w:t>
      </w:r>
    </w:p>
    <w:p>
      <w:pPr>
        <w:pStyle w:val="Compact"/>
        <w:numPr>
          <w:ilvl w:val="0"/>
          <w:numId w:val="3071"/>
        </w:numPr>
      </w:pPr>
    </w:p>
    <w:p>
      <w:pPr>
        <w:numPr>
          <w:ilvl w:val="1"/>
          <w:numId w:val="3072"/>
        </w:numPr>
      </w:pPr>
      <w:r>
        <w:t xml:space="preserve">(a) Front. The lot line separating a lot from a street right-of-way.</w:t>
      </w:r>
    </w:p>
    <w:p>
      <w:pPr>
        <w:pStyle w:val="Compact"/>
        <w:numPr>
          <w:ilvl w:val="0"/>
          <w:numId w:val="3073"/>
        </w:numPr>
      </w:pPr>
    </w:p>
    <w:p>
      <w:pPr>
        <w:numPr>
          <w:ilvl w:val="1"/>
          <w:numId w:val="3074"/>
        </w:numPr>
      </w:pPr>
      <w:r>
        <w:t xml:space="preserve">(b) Rear. The lot line opposite and most distant from the front lot line, or in the case of triangular or otherwise irregularly shaped lots, an assumed line at least ten (10) feet in length entirely within the lot, parallel to and at a maximum distance from the front lot line.</w:t>
      </w:r>
    </w:p>
    <w:p>
      <w:pPr>
        <w:pStyle w:val="Compact"/>
        <w:numPr>
          <w:ilvl w:val="0"/>
          <w:numId w:val="3075"/>
        </w:numPr>
      </w:pPr>
    </w:p>
    <w:p>
      <w:pPr>
        <w:numPr>
          <w:ilvl w:val="1"/>
          <w:numId w:val="3076"/>
        </w:numPr>
      </w:pPr>
      <w:r>
        <w:t xml:space="preserve">(c) Side. Any lot line other than a front or rear lot line.</w:t>
      </w:r>
    </w:p>
    <w:p>
      <w:pPr>
        <w:pStyle w:val="Compact"/>
        <w:numPr>
          <w:ilvl w:val="0"/>
          <w:numId w:val="3077"/>
        </w:numPr>
      </w:pPr>
    </w:p>
    <w:p>
      <w:pPr>
        <w:numPr>
          <w:ilvl w:val="1"/>
          <w:numId w:val="3078"/>
        </w:numPr>
      </w:pPr>
      <w:r>
        <w:t xml:space="preserve">Lot types. The diagram (Figure 1) illustrates terminology used in this ordinance with reference to corner lots, interior lots, reversed frontage lots and through lots: In the diagram, (a) Corner lot. A lot located at the intersection of two or more streets. A lot abutting on a curved street or streets shall be considered a corner lot if straight lines drawn from the foremost points of the side lot lines to the foremost point of the lot meet at an interior angle of less than 135 degrees. See lots marked A(1) in the diagram. (last updated 6/4/18) )</w:t>
      </w:r>
    </w:p>
    <w:p>
      <w:pPr>
        <w:pStyle w:val="Compact"/>
        <w:numPr>
          <w:ilvl w:val="0"/>
          <w:numId w:val="3079"/>
        </w:numPr>
      </w:pPr>
    </w:p>
    <w:p>
      <w:pPr>
        <w:numPr>
          <w:ilvl w:val="1"/>
          <w:numId w:val="3080"/>
        </w:numPr>
      </w:pPr>
      <w:r>
        <w:t xml:space="preserve">(b) Interior lot. A lot other than a corner lot with only one frontage on a street.</w:t>
      </w:r>
    </w:p>
    <w:p>
      <w:pPr>
        <w:pStyle w:val="Compact"/>
        <w:numPr>
          <w:ilvl w:val="0"/>
          <w:numId w:val="3081"/>
        </w:numPr>
      </w:pPr>
    </w:p>
    <w:p>
      <w:pPr>
        <w:numPr>
          <w:ilvl w:val="1"/>
          <w:numId w:val="3082"/>
        </w:numPr>
      </w:pPr>
      <w:r>
        <w:t xml:space="preserve">(c) Through lot. A lot which fronts upon two parallel streets, or which fronts upon two streets which do not intersect at the boundaries of the lot. All through lots shall meet the front setback requirements on both streets.</w:t>
      </w:r>
    </w:p>
    <w:p>
      <w:pPr>
        <w:pStyle w:val="Compact"/>
        <w:numPr>
          <w:ilvl w:val="0"/>
          <w:numId w:val="3083"/>
        </w:numPr>
      </w:pPr>
    </w:p>
    <w:p>
      <w:pPr>
        <w:numPr>
          <w:ilvl w:val="1"/>
          <w:numId w:val="3084"/>
        </w:numPr>
      </w:pPr>
      <w:r>
        <w:t xml:space="preserve">(d) Reversed frontage lot. A lot on which the frontage is at right angles or approximately right angles (interior angle less than 135 degrees) to the general pattern in the area. A reversed frontage lot may also be a corner lot (A-D in the diagram), or a through lot (C- D).</w:t>
      </w:r>
    </w:p>
    <w:p>
      <w:pPr>
        <w:pStyle w:val="Compact"/>
        <w:numPr>
          <w:ilvl w:val="0"/>
          <w:numId w:val="3085"/>
        </w:numPr>
      </w:pPr>
    </w:p>
    <w:p>
      <w:pPr>
        <w:numPr>
          <w:ilvl w:val="1"/>
          <w:numId w:val="3086"/>
        </w:numPr>
      </w:pPr>
      <w:r>
        <w:t xml:space="preserve">Lot of record. A lot which is part of a subdivision or division lawfully recorded in the office of the Town Clerk, or a lot or parcel described by metes and bounds, the description of which has been so recorded before September 1, 1973.</w:t>
      </w:r>
    </w:p>
    <w:p>
      <w:pPr>
        <w:pStyle w:val="Compact"/>
        <w:numPr>
          <w:ilvl w:val="0"/>
          <w:numId w:val="3087"/>
        </w:numPr>
      </w:pPr>
    </w:p>
    <w:p>
      <w:pPr>
        <w:numPr>
          <w:ilvl w:val="1"/>
          <w:numId w:val="3088"/>
        </w:numPr>
      </w:pPr>
      <w:r>
        <w:t xml:space="preserve">Lot width. The horizontal distance between the side lines of a lot measured at right angles to its depth along a straight line parallel to the front lot line at the minimum front setback line.</w:t>
      </w:r>
    </w:p>
    <w:p>
      <w:pPr>
        <w:pStyle w:val="Compact"/>
        <w:numPr>
          <w:ilvl w:val="0"/>
          <w:numId w:val="3089"/>
        </w:numPr>
      </w:pPr>
    </w:p>
    <w:p>
      <w:pPr>
        <w:numPr>
          <w:ilvl w:val="1"/>
          <w:numId w:val="3090"/>
        </w:numPr>
      </w:pPr>
      <w:r>
        <w:t xml:space="preserve">Manufactured home means a residential structure, transportable in one or more sections, which is eight (8) body feet or more in width, and thirty two (32) body feet or more in length, built on an integral chassis, and designed to be used as a dwelling when connected to the required utilities. "Manufactured home" includes the plumbing, heating, air conditioning and electrical systems contained therein. A manufactured home does not include travel trailers, camping trailers, truck campers, or motor homes which are primarily designed as temporary living quarters for recreational camping or travel use and would either have their own motor power or mounted or drawn by another vehicle.</w:t>
      </w:r>
    </w:p>
    <w:p>
      <w:pPr>
        <w:pStyle w:val="Compact"/>
        <w:numPr>
          <w:ilvl w:val="0"/>
          <w:numId w:val="3091"/>
        </w:numPr>
      </w:pPr>
    </w:p>
    <w:p>
      <w:pPr>
        <w:numPr>
          <w:ilvl w:val="1"/>
          <w:numId w:val="3092"/>
        </w:numPr>
      </w:pPr>
      <w:r>
        <w:t xml:space="preserve">Mere inconvenience. See Rhode Island General Laws section 45-24-41.</w:t>
      </w:r>
    </w:p>
    <w:p>
      <w:pPr>
        <w:pStyle w:val="Compact"/>
        <w:numPr>
          <w:ilvl w:val="0"/>
          <w:numId w:val="3093"/>
        </w:numPr>
      </w:pPr>
    </w:p>
    <w:p>
      <w:pPr>
        <w:numPr>
          <w:ilvl w:val="1"/>
          <w:numId w:val="3094"/>
        </w:numPr>
      </w:pPr>
      <w:r>
        <w:t xml:space="preserve">Mixed use. A mixture of land uses within a single development, building, or tract.</w:t>
      </w:r>
    </w:p>
    <w:p>
      <w:pPr>
        <w:pStyle w:val="Compact"/>
        <w:numPr>
          <w:ilvl w:val="0"/>
          <w:numId w:val="3095"/>
        </w:numPr>
      </w:pPr>
    </w:p>
    <w:p>
      <w:pPr>
        <w:numPr>
          <w:ilvl w:val="1"/>
          <w:numId w:val="3096"/>
        </w:numPr>
      </w:pPr>
      <w:r>
        <w:t xml:space="preserve">Mobile Home: A mobile home is a prefabricated structure intended as a full time residence that is built in a factory on a permanently attached trailer chassis.</w:t>
      </w:r>
    </w:p>
    <w:p>
      <w:pPr>
        <w:pStyle w:val="Compact"/>
        <w:numPr>
          <w:ilvl w:val="0"/>
          <w:numId w:val="3097"/>
        </w:numPr>
      </w:pPr>
    </w:p>
    <w:p>
      <w:pPr>
        <w:numPr>
          <w:ilvl w:val="1"/>
          <w:numId w:val="3098"/>
        </w:numPr>
      </w:pPr>
      <w:r>
        <w:t xml:space="preserve">Motel. A structure designed for transient occupancy containing rooms or suites with separate entrances providing living, sleeping, and sanitary facilities; a general kitchen and dining room may be included.</w:t>
      </w:r>
    </w:p>
    <w:p>
      <w:pPr>
        <w:pStyle w:val="Compact"/>
        <w:numPr>
          <w:ilvl w:val="0"/>
          <w:numId w:val="3099"/>
        </w:numPr>
      </w:pPr>
    </w:p>
    <w:p>
      <w:pPr>
        <w:numPr>
          <w:ilvl w:val="1"/>
          <w:numId w:val="3100"/>
        </w:numPr>
      </w:pPr>
      <w:r>
        <w:t xml:space="preserve">Nonconformance. A building, structure, or parcel of land, or use thereof, lawfully existing at the time of the adoption or amendment of a Zoning Ordinance and not in conformity with the provisions of such ordinance or amendment. Nonconformance shall be of only two types:</w:t>
      </w:r>
    </w:p>
    <w:p>
      <w:pPr>
        <w:pStyle w:val="Compact"/>
        <w:numPr>
          <w:ilvl w:val="0"/>
          <w:numId w:val="3101"/>
        </w:numPr>
      </w:pPr>
    </w:p>
    <w:p>
      <w:pPr>
        <w:numPr>
          <w:ilvl w:val="1"/>
          <w:numId w:val="3102"/>
        </w:numPr>
      </w:pPr>
      <w:r>
        <w:t xml:space="preserve">(a) Nonconforming by use. A lawfully established use of land, building or structure which is not a permitted use in that zoning district. A building or structure containing more dwelling units than are permitted by the use regulations of a Zoning Ordinance shall be (last updated 6/4/18) ) nonconforming by use.</w:t>
      </w:r>
    </w:p>
    <w:p>
      <w:pPr>
        <w:pStyle w:val="Compact"/>
        <w:numPr>
          <w:ilvl w:val="0"/>
          <w:numId w:val="3103"/>
        </w:numPr>
      </w:pPr>
    </w:p>
    <w:p>
      <w:pPr>
        <w:numPr>
          <w:ilvl w:val="1"/>
          <w:numId w:val="3104"/>
        </w:numPr>
      </w:pPr>
      <w:r>
        <w:t xml:space="preserve">(b) Nonconforming by dimension. A building, structure or parcel of land not in compliance with the dimensional regulations of the Zoning Ordinance. Dimensional regulations include all regulations of the Zoning Ordinance, other than those pertaining to the permitted uses. A building or structure containing more dwelling units than are permitted by the use regulations of a Zoning Ordinance shall be nonconforming by use, a building or structure containing a permitted number of dwelling units by the use regulations of the Zoning Ordinance, but not meeting the lot area per dwelling unit regulations, shall be nonconforming by dimension.</w:t>
      </w:r>
    </w:p>
    <w:p>
      <w:pPr>
        <w:pStyle w:val="Compact"/>
        <w:numPr>
          <w:ilvl w:val="0"/>
          <w:numId w:val="3105"/>
        </w:numPr>
      </w:pPr>
    </w:p>
    <w:p>
      <w:pPr>
        <w:numPr>
          <w:ilvl w:val="1"/>
          <w:numId w:val="3106"/>
        </w:numPr>
      </w:pPr>
      <w:r>
        <w:t xml:space="preserve">Nonresidential cooperative cultivation. Two or more cardholders who cooperatively cultivate marijuana in nonresidential locations subject to the restrictions set forth in RIGL 21-28.6-14 and this section of the North Smithfield Zoning Ordinance.</w:t>
      </w:r>
    </w:p>
    <w:p>
      <w:pPr>
        <w:pStyle w:val="Compact"/>
        <w:numPr>
          <w:ilvl w:val="0"/>
          <w:numId w:val="3107"/>
        </w:numPr>
      </w:pPr>
    </w:p>
    <w:p>
      <w:pPr>
        <w:numPr>
          <w:ilvl w:val="1"/>
          <w:numId w:val="3108"/>
        </w:numPr>
      </w:pPr>
      <w:r>
        <w:t xml:space="preserve">Outdoor advertising. Outdoor activity to make known and to give notice so as to call to the public's attention those things for sale, rent, lease, etc. and for such other promotional matters.</w:t>
      </w:r>
    </w:p>
    <w:p>
      <w:pPr>
        <w:pStyle w:val="Compact"/>
        <w:numPr>
          <w:ilvl w:val="0"/>
          <w:numId w:val="3109"/>
        </w:numPr>
      </w:pPr>
    </w:p>
    <w:p>
      <w:pPr>
        <w:numPr>
          <w:ilvl w:val="1"/>
          <w:numId w:val="3110"/>
        </w:numPr>
      </w:pPr>
      <w:r>
        <w:t xml:space="preserve">Outdoor advertising business. Those persons who provide outdoor advertising to other businesses.</w:t>
      </w:r>
    </w:p>
    <w:p>
      <w:pPr>
        <w:pStyle w:val="Compact"/>
        <w:numPr>
          <w:ilvl w:val="0"/>
          <w:numId w:val="3111"/>
        </w:numPr>
      </w:pPr>
    </w:p>
    <w:p>
      <w:pPr>
        <w:numPr>
          <w:ilvl w:val="1"/>
          <w:numId w:val="3112"/>
        </w:numPr>
      </w:pPr>
      <w:r>
        <w:t xml:space="preserve">Overlay district. A district established in a Zoning Ordinance that is superimposed on one or more districts or parts of districts and that imposes specified requirements in addition to but not less than those otherwise applicable for the underlying zone.</w:t>
      </w:r>
    </w:p>
    <w:p>
      <w:pPr>
        <w:pStyle w:val="Compact"/>
        <w:numPr>
          <w:ilvl w:val="0"/>
          <w:numId w:val="3113"/>
        </w:numPr>
      </w:pPr>
    </w:p>
    <w:p>
      <w:pPr>
        <w:numPr>
          <w:ilvl w:val="1"/>
          <w:numId w:val="3114"/>
        </w:numPr>
      </w:pPr>
      <w:r>
        <w:t xml:space="preserve">Parking space, off-street. For the purposes of this ordinance, an off-street parking space shall consist of a space adequate for parking an automobile with room for opening doors on both sides, together with properly related access to a public street or alley and maneuvering room.</w:t>
      </w:r>
    </w:p>
    <w:p>
      <w:pPr>
        <w:pStyle w:val="Compact"/>
        <w:numPr>
          <w:ilvl w:val="0"/>
          <w:numId w:val="3115"/>
        </w:numPr>
      </w:pPr>
    </w:p>
    <w:p>
      <w:pPr>
        <w:numPr>
          <w:ilvl w:val="1"/>
          <w:numId w:val="3116"/>
        </w:numPr>
      </w:pPr>
      <w:r>
        <w:t xml:space="preserve">Off-street parking requirements will be considered to be met only when actual spaces meeting the requirements above are provided and maintained, improved in a manner appropriate to the circumstances of the case, and in accordance with all ordinances and regulations of the Town.</w:t>
      </w:r>
    </w:p>
    <w:p>
      <w:pPr>
        <w:pStyle w:val="Compact"/>
        <w:numPr>
          <w:ilvl w:val="0"/>
          <w:numId w:val="3117"/>
        </w:numPr>
      </w:pPr>
    </w:p>
    <w:p>
      <w:pPr>
        <w:numPr>
          <w:ilvl w:val="1"/>
          <w:numId w:val="3118"/>
        </w:numPr>
      </w:pPr>
      <w:r>
        <w:t xml:space="preserve">Patient cultivation. Marijuana cultivation by a single registered patient cardholder for medical use only, as defined in RIGL 21-28.6.</w:t>
      </w:r>
    </w:p>
    <w:p>
      <w:pPr>
        <w:pStyle w:val="Compact"/>
        <w:numPr>
          <w:ilvl w:val="0"/>
          <w:numId w:val="3119"/>
        </w:numPr>
      </w:pPr>
    </w:p>
    <w:p>
      <w:pPr>
        <w:numPr>
          <w:ilvl w:val="1"/>
          <w:numId w:val="3120"/>
        </w:numPr>
      </w:pPr>
      <w:r>
        <w:t xml:space="preserve">Performance standards. A set of criteria or limits relating to elements which a particular use or process either must meet or may not exceed.</w:t>
      </w:r>
    </w:p>
    <w:p>
      <w:pPr>
        <w:pStyle w:val="Compact"/>
        <w:numPr>
          <w:ilvl w:val="0"/>
          <w:numId w:val="3121"/>
        </w:numPr>
      </w:pPr>
    </w:p>
    <w:p>
      <w:pPr>
        <w:numPr>
          <w:ilvl w:val="1"/>
          <w:numId w:val="3122"/>
        </w:numPr>
      </w:pPr>
      <w:r>
        <w:t xml:space="preserve">Permitted use. A use by right which is specifically authorized in a particular zoning district.</w:t>
      </w:r>
    </w:p>
    <w:p>
      <w:pPr>
        <w:pStyle w:val="Compact"/>
        <w:numPr>
          <w:ilvl w:val="0"/>
          <w:numId w:val="3123"/>
        </w:numPr>
      </w:pPr>
    </w:p>
    <w:p>
      <w:pPr>
        <w:numPr>
          <w:ilvl w:val="1"/>
          <w:numId w:val="3124"/>
        </w:numPr>
      </w:pPr>
      <w:r>
        <w:t xml:space="preserve">Planned development. Land development project as defined herein and developed according to (last updated 6/4/18) ) plan as a single entity and containing one or more structures and/or uses with appurtenant common areas.</w:t>
      </w:r>
    </w:p>
    <w:p>
      <w:pPr>
        <w:pStyle w:val="Compact"/>
        <w:numPr>
          <w:ilvl w:val="0"/>
          <w:numId w:val="3125"/>
        </w:numPr>
      </w:pPr>
    </w:p>
    <w:p>
      <w:pPr>
        <w:numPr>
          <w:ilvl w:val="1"/>
          <w:numId w:val="3126"/>
        </w:numPr>
      </w:pPr>
      <w:r>
        <w:t xml:space="preserve">Pollutant. A substance which causes or could cause the alteration of the chemical, physical, biological or radiological integrity of the environment.</w:t>
      </w:r>
    </w:p>
    <w:p>
      <w:pPr>
        <w:pStyle w:val="Compact"/>
        <w:numPr>
          <w:ilvl w:val="0"/>
          <w:numId w:val="3127"/>
        </w:numPr>
      </w:pPr>
    </w:p>
    <w:p>
      <w:pPr>
        <w:numPr>
          <w:ilvl w:val="1"/>
          <w:numId w:val="3128"/>
        </w:numPr>
      </w:pPr>
      <w:r>
        <w:t xml:space="preserve">Principal/primary use. The main purpose for which the lot and/or structure is used.</w:t>
      </w:r>
    </w:p>
    <w:p>
      <w:pPr>
        <w:pStyle w:val="Compact"/>
        <w:numPr>
          <w:ilvl w:val="0"/>
          <w:numId w:val="3129"/>
        </w:numPr>
      </w:pPr>
    </w:p>
    <w:p>
      <w:pPr>
        <w:numPr>
          <w:ilvl w:val="1"/>
          <w:numId w:val="3130"/>
        </w:numPr>
      </w:pPr>
      <w:r>
        <w:t xml:space="preserve">Professional. An individual engaged in an occupation requiring specialized training or educational achievement for which authentic certificates of acknowledged professionalism are granted.</w:t>
      </w:r>
    </w:p>
    <w:p>
      <w:pPr>
        <w:pStyle w:val="Compact"/>
        <w:numPr>
          <w:ilvl w:val="0"/>
          <w:numId w:val="3131"/>
        </w:numPr>
      </w:pPr>
    </w:p>
    <w:p>
      <w:pPr>
        <w:numPr>
          <w:ilvl w:val="1"/>
          <w:numId w:val="3132"/>
        </w:numPr>
      </w:pPr>
      <w:r>
        <w:t xml:space="preserve">Recovered resources. The production from wastes of any material or energy which may be used in manufacturing, agricultural or other processes.</w:t>
      </w:r>
    </w:p>
    <w:p>
      <w:pPr>
        <w:pStyle w:val="Compact"/>
        <w:numPr>
          <w:ilvl w:val="0"/>
          <w:numId w:val="3133"/>
        </w:numPr>
      </w:pPr>
    </w:p>
    <w:p>
      <w:pPr>
        <w:numPr>
          <w:ilvl w:val="1"/>
          <w:numId w:val="3134"/>
        </w:numPr>
      </w:pPr>
      <w:r>
        <w:t xml:space="preserve">Recycling facility. Any plant, structure, equipment and other property, real, personal or mixed, dedicated to the same or reuse of recovered resources in manufacturing, agriculture, power production or other processes. This term shall not include a plant, structure, equipment or other property which reuses on site any materials recovered in the normal course of its business operation.</w:t>
      </w:r>
    </w:p>
    <w:p>
      <w:pPr>
        <w:pStyle w:val="Compact"/>
        <w:numPr>
          <w:ilvl w:val="0"/>
          <w:numId w:val="3135"/>
        </w:numPr>
      </w:pPr>
    </w:p>
    <w:p>
      <w:pPr>
        <w:numPr>
          <w:ilvl w:val="1"/>
          <w:numId w:val="3136"/>
        </w:numPr>
      </w:pPr>
      <w:r>
        <w:t xml:space="preserve">Recharge area of aquifer. Any area in which precipitation percolates to the water table and flows through subsurface materials to the aquifer.</w:t>
      </w:r>
    </w:p>
    <w:p>
      <w:pPr>
        <w:pStyle w:val="Compact"/>
        <w:numPr>
          <w:ilvl w:val="0"/>
          <w:numId w:val="3137"/>
        </w:numPr>
      </w:pPr>
    </w:p>
    <w:p>
      <w:pPr>
        <w:numPr>
          <w:ilvl w:val="1"/>
          <w:numId w:val="3138"/>
        </w:numPr>
      </w:pPr>
      <w:r>
        <w:t xml:space="preserve">Residential cooperative cultivation. Two or more cardholders who cooperatively cultivate marijuana in residential locations subject to the restrictions set forth in RIGL 21-28.6-14 and this section of the North Smithfield Zoning Ordinance.</w:t>
      </w:r>
    </w:p>
    <w:p>
      <w:pPr>
        <w:pStyle w:val="Compact"/>
        <w:numPr>
          <w:ilvl w:val="0"/>
          <w:numId w:val="3139"/>
        </w:numPr>
      </w:pPr>
    </w:p>
    <w:p>
      <w:pPr>
        <w:numPr>
          <w:ilvl w:val="1"/>
          <w:numId w:val="3140"/>
        </w:numPr>
      </w:pPr>
      <w:r>
        <w:t xml:space="preserve">Roadside stand. A structure visible from a street used for display and sale of produce without space for customers within the structure itself.</w:t>
      </w:r>
    </w:p>
    <w:p>
      <w:pPr>
        <w:pStyle w:val="Compact"/>
        <w:numPr>
          <w:ilvl w:val="0"/>
          <w:numId w:val="3141"/>
        </w:numPr>
      </w:pPr>
    </w:p>
    <w:p>
      <w:pPr>
        <w:numPr>
          <w:ilvl w:val="1"/>
          <w:numId w:val="3142"/>
        </w:numPr>
      </w:pPr>
      <w:r>
        <w:t xml:space="preserve">Seasonal stand. A temporary structure, not to exceed 180 days, visible from a street used for display and sale of produce and dairy products without space for customers within the structure itself.</w:t>
      </w:r>
    </w:p>
    <w:p>
      <w:pPr>
        <w:pStyle w:val="Compact"/>
        <w:numPr>
          <w:ilvl w:val="0"/>
          <w:numId w:val="3143"/>
        </w:numPr>
      </w:pPr>
    </w:p>
    <w:p>
      <w:pPr>
        <w:numPr>
          <w:ilvl w:val="1"/>
          <w:numId w:val="3144"/>
        </w:numPr>
      </w:pPr>
      <w:r>
        <w:t xml:space="preserve">Setback line or lines. A line or lines parallel to a lot line at the minimum distance of the required setback for the zoning district in which the lot is located that establishes the area within which the principal structure must be erected or placed.</w:t>
      </w:r>
    </w:p>
    <w:p>
      <w:pPr>
        <w:pStyle w:val="Compact"/>
        <w:numPr>
          <w:ilvl w:val="0"/>
          <w:numId w:val="3145"/>
        </w:numPr>
      </w:pPr>
    </w:p>
    <w:p>
      <w:pPr>
        <w:numPr>
          <w:ilvl w:val="1"/>
          <w:numId w:val="3146"/>
        </w:numPr>
      </w:pPr>
      <w:r>
        <w:t xml:space="preserve">Sign. Any device designed to inform or attract the attention of persons not on the premises on which the sign is located, provided, however, that the following shall not be included in the application of the regulations herein:</w:t>
      </w:r>
    </w:p>
    <w:p>
      <w:pPr>
        <w:pStyle w:val="Compact"/>
        <w:numPr>
          <w:ilvl w:val="0"/>
          <w:numId w:val="3147"/>
        </w:numPr>
      </w:pPr>
    </w:p>
    <w:p>
      <w:pPr>
        <w:numPr>
          <w:ilvl w:val="1"/>
          <w:numId w:val="3148"/>
        </w:numPr>
      </w:pPr>
      <w:r>
        <w:t xml:space="preserve">(a) Signs not exceeding one and one-half (1 1/2) square feet in area and bearing only property numbers, post box numbers, names of occupants of premises, or other identification of premises not having commercial connotations.</w:t>
      </w:r>
    </w:p>
    <w:p>
      <w:pPr>
        <w:pStyle w:val="Compact"/>
        <w:numPr>
          <w:ilvl w:val="0"/>
          <w:numId w:val="3149"/>
        </w:numPr>
      </w:pPr>
    </w:p>
    <w:p>
      <w:pPr>
        <w:numPr>
          <w:ilvl w:val="1"/>
          <w:numId w:val="3150"/>
        </w:numPr>
      </w:pPr>
      <w:r>
        <w:t xml:space="preserve">(b) Flags and insignia of any government except when displayed in connection with (last updated 6/4/18) ) commercial promotion.</w:t>
      </w:r>
    </w:p>
    <w:p>
      <w:pPr>
        <w:pStyle w:val="Compact"/>
        <w:numPr>
          <w:ilvl w:val="0"/>
          <w:numId w:val="3151"/>
        </w:numPr>
      </w:pPr>
    </w:p>
    <w:p>
      <w:pPr>
        <w:numPr>
          <w:ilvl w:val="1"/>
          <w:numId w:val="3152"/>
        </w:numPr>
      </w:pPr>
      <w:r>
        <w:t xml:space="preserve">(c) Legal notices, identification, informational, or directional signs erected or required by governmental bodies.</w:t>
      </w:r>
    </w:p>
    <w:p>
      <w:pPr>
        <w:pStyle w:val="Compact"/>
        <w:numPr>
          <w:ilvl w:val="0"/>
          <w:numId w:val="3153"/>
        </w:numPr>
      </w:pPr>
    </w:p>
    <w:p>
      <w:pPr>
        <w:numPr>
          <w:ilvl w:val="1"/>
          <w:numId w:val="3154"/>
        </w:numPr>
      </w:pPr>
      <w:r>
        <w:t xml:space="preserve">(d) Integral decorative or architectural features of buildings, except letters, trademarks, moving parts, or moving lights.</w:t>
      </w:r>
    </w:p>
    <w:p>
      <w:pPr>
        <w:pStyle w:val="Compact"/>
        <w:numPr>
          <w:ilvl w:val="0"/>
          <w:numId w:val="3155"/>
        </w:numPr>
      </w:pPr>
    </w:p>
    <w:p>
      <w:pPr>
        <w:numPr>
          <w:ilvl w:val="1"/>
          <w:numId w:val="3156"/>
        </w:numPr>
      </w:pPr>
      <w:r>
        <w:t xml:space="preserve">(e) Signs directing and guiding traffic and parking on private property, but bearing no advertising matter.</w:t>
      </w:r>
    </w:p>
    <w:p>
      <w:pPr>
        <w:pStyle w:val="Compact"/>
        <w:numPr>
          <w:ilvl w:val="0"/>
          <w:numId w:val="3157"/>
        </w:numPr>
      </w:pPr>
    </w:p>
    <w:p>
      <w:pPr>
        <w:numPr>
          <w:ilvl w:val="1"/>
          <w:numId w:val="3158"/>
        </w:numPr>
      </w:pPr>
      <w:r>
        <w:t xml:space="preserve">Sign, on-site. A sign relating in its subject matter to the premises on which it is located, or to products, accommodations, services, or activities on the premises. On-site signs do not include signs erected by the outdoor advertising industry in the conduct of the outdoor advertising business.</w:t>
      </w:r>
    </w:p>
    <w:p>
      <w:pPr>
        <w:pStyle w:val="Compact"/>
        <w:numPr>
          <w:ilvl w:val="0"/>
          <w:numId w:val="3159"/>
        </w:numPr>
      </w:pPr>
    </w:p>
    <w:p>
      <w:pPr>
        <w:numPr>
          <w:ilvl w:val="1"/>
          <w:numId w:val="3160"/>
        </w:numPr>
      </w:pPr>
      <w:r>
        <w:t xml:space="preserve">Sign, off-site. A sign other than an on-site sign.</w:t>
      </w:r>
    </w:p>
    <w:p>
      <w:pPr>
        <w:pStyle w:val="Compact"/>
        <w:numPr>
          <w:ilvl w:val="0"/>
          <w:numId w:val="3161"/>
        </w:numPr>
      </w:pPr>
    </w:p>
    <w:p>
      <w:pPr>
        <w:numPr>
          <w:ilvl w:val="1"/>
          <w:numId w:val="3162"/>
        </w:numPr>
      </w:pPr>
      <w:r>
        <w:t xml:space="preserve">Site plan. The development plan for one or more lots on which is shown the existing and/or the proposed conditions of the lot.</w:t>
      </w:r>
    </w:p>
    <w:p>
      <w:pPr>
        <w:pStyle w:val="Compact"/>
        <w:numPr>
          <w:ilvl w:val="0"/>
          <w:numId w:val="3163"/>
        </w:numPr>
      </w:pPr>
    </w:p>
    <w:p>
      <w:pPr>
        <w:numPr>
          <w:ilvl w:val="1"/>
          <w:numId w:val="3164"/>
        </w:numPr>
      </w:pPr>
      <w:r>
        <w:t xml:space="preserve">Solid waste shall mean garbage, refuse and other discarded solid materials generated by residential, institutional, commercial, industrial and agricultural sources but does not include solids or dissolved material in domestic sewage or sewage sludge, nor does it include hazardous waste as defined in the Rhode Island Hazardous Waste Management Act, Chapter 23-19.1. For purposes of these rules, solid waste shall also include nonhazardous liquid, semi-solid, and containerized gaseous wastes, subject to any special conditions contained in the Rules and Regulations for Solid Waste Management Facilities.</w:t>
      </w:r>
    </w:p>
    <w:p>
      <w:pPr>
        <w:pStyle w:val="Compact"/>
        <w:numPr>
          <w:ilvl w:val="0"/>
          <w:numId w:val="3165"/>
        </w:numPr>
      </w:pPr>
    </w:p>
    <w:p>
      <w:pPr>
        <w:numPr>
          <w:ilvl w:val="1"/>
          <w:numId w:val="3166"/>
        </w:numPr>
      </w:pPr>
      <w:r>
        <w:t xml:space="preserve">Special use. A regulated use which is permitted pursuant to a special-use permit issued by the authorized governmental entity, pursuant to Rhode Island General Laws Section 45-24-42 (formerly referred to as a special exception).</w:t>
      </w:r>
    </w:p>
    <w:p>
      <w:pPr>
        <w:pStyle w:val="Compact"/>
        <w:numPr>
          <w:ilvl w:val="0"/>
          <w:numId w:val="3167"/>
        </w:numPr>
      </w:pPr>
    </w:p>
    <w:p>
      <w:pPr>
        <w:numPr>
          <w:ilvl w:val="1"/>
          <w:numId w:val="3168"/>
        </w:numPr>
      </w:pPr>
      <w:r>
        <w:t xml:space="preserve">Storage facility. Any structure or structures intended for the rental, lease or purchase of storage space by the general public of nonhazardous material.</w:t>
      </w:r>
    </w:p>
    <w:p>
      <w:pPr>
        <w:pStyle w:val="Compact"/>
        <w:numPr>
          <w:ilvl w:val="0"/>
          <w:numId w:val="3169"/>
        </w:numPr>
      </w:pPr>
    </w:p>
    <w:p>
      <w:pPr>
        <w:numPr>
          <w:ilvl w:val="1"/>
          <w:numId w:val="3170"/>
        </w:numPr>
      </w:pPr>
      <w:r>
        <w:t xml:space="preserve">Street. A public or private thoroughfare used, or intended to be used, for passage or travel by motor vehicles.</w:t>
      </w:r>
    </w:p>
    <w:p>
      <w:pPr>
        <w:pStyle w:val="Compact"/>
        <w:numPr>
          <w:ilvl w:val="0"/>
          <w:numId w:val="3171"/>
        </w:numPr>
      </w:pPr>
    </w:p>
    <w:p>
      <w:pPr>
        <w:numPr>
          <w:ilvl w:val="1"/>
          <w:numId w:val="3172"/>
        </w:numPr>
      </w:pPr>
      <w:r>
        <w:t xml:space="preserve">Street, access to. An adequate and permanent way of entering a lot. All lots of record shall have access to a public street for all vehicles normally associated with the uses permitted for that lot and for emergency vehicles.</w:t>
      </w:r>
    </w:p>
    <w:p>
      <w:pPr>
        <w:pStyle w:val="Compact"/>
        <w:numPr>
          <w:ilvl w:val="0"/>
          <w:numId w:val="3173"/>
        </w:numPr>
      </w:pPr>
    </w:p>
    <w:p>
      <w:pPr>
        <w:numPr>
          <w:ilvl w:val="1"/>
          <w:numId w:val="3174"/>
        </w:numPr>
      </w:pPr>
      <w:r>
        <w:t xml:space="preserve">Street, cul-de-sac. A local street with only one outlet and having an appropriate vehicular turnaround, either temporary or permanent, at the closed end.</w:t>
      </w:r>
    </w:p>
    <w:p>
      <w:pPr>
        <w:pStyle w:val="Compact"/>
        <w:numPr>
          <w:ilvl w:val="0"/>
          <w:numId w:val="3175"/>
        </w:numPr>
      </w:pPr>
    </w:p>
    <w:p>
      <w:pPr>
        <w:numPr>
          <w:ilvl w:val="1"/>
          <w:numId w:val="3176"/>
        </w:numPr>
      </w:pPr>
      <w:r>
        <w:t xml:space="preserve">Street, improved. A street which has been brought to grade of no greater than ten percent, (last updated 6/4/18) ) graveled, asphalted, contains proper drainage, and is serviced by utilities and has been reviewed and approved by the Public Works Director.</w:t>
      </w:r>
    </w:p>
    <w:p>
      <w:pPr>
        <w:pStyle w:val="Compact"/>
        <w:numPr>
          <w:ilvl w:val="0"/>
          <w:numId w:val="3177"/>
        </w:numPr>
      </w:pPr>
    </w:p>
    <w:p>
      <w:pPr>
        <w:numPr>
          <w:ilvl w:val="1"/>
          <w:numId w:val="3178"/>
        </w:numPr>
      </w:pPr>
      <w:r>
        <w:t xml:space="preserve">Street line. The right-of-way line of a street.</w:t>
      </w:r>
    </w:p>
    <w:p>
      <w:pPr>
        <w:pStyle w:val="Compact"/>
        <w:numPr>
          <w:ilvl w:val="0"/>
          <w:numId w:val="3179"/>
        </w:numPr>
      </w:pPr>
    </w:p>
    <w:p>
      <w:pPr>
        <w:numPr>
          <w:ilvl w:val="1"/>
          <w:numId w:val="3180"/>
        </w:numPr>
      </w:pPr>
      <w:r>
        <w:t xml:space="preserve">Street, private. A thoroughfare established as a separate tract for the benefit of certain, adjacent properties and meeting specific, municipal improvement standards. This definition shall not apply to driveways.</w:t>
      </w:r>
    </w:p>
    <w:p>
      <w:pPr>
        <w:pStyle w:val="Compact"/>
        <w:numPr>
          <w:ilvl w:val="0"/>
          <w:numId w:val="3181"/>
        </w:numPr>
      </w:pPr>
    </w:p>
    <w:p>
      <w:pPr>
        <w:numPr>
          <w:ilvl w:val="1"/>
          <w:numId w:val="3182"/>
        </w:numPr>
      </w:pPr>
      <w:r>
        <w:t xml:space="preserve">Street, public. All public property reserved or dedicated for street traffic.</w:t>
      </w:r>
    </w:p>
    <w:p>
      <w:pPr>
        <w:pStyle w:val="Compact"/>
        <w:numPr>
          <w:ilvl w:val="0"/>
          <w:numId w:val="3183"/>
        </w:numPr>
      </w:pPr>
    </w:p>
    <w:p>
      <w:pPr>
        <w:numPr>
          <w:ilvl w:val="1"/>
          <w:numId w:val="3184"/>
        </w:numPr>
      </w:pPr>
      <w:r>
        <w:t xml:space="preserve">Street, stub. A portion of a street reserved to provide access to future development.</w:t>
      </w:r>
    </w:p>
    <w:p>
      <w:pPr>
        <w:pStyle w:val="Compact"/>
        <w:numPr>
          <w:ilvl w:val="0"/>
          <w:numId w:val="3185"/>
        </w:numPr>
      </w:pPr>
    </w:p>
    <w:p>
      <w:pPr>
        <w:numPr>
          <w:ilvl w:val="1"/>
          <w:numId w:val="3186"/>
        </w:numPr>
      </w:pPr>
      <w:r>
        <w:t xml:space="preserve">Structure. A combination of materials to form a construction for use, occupancy, or ornamentation, whether installed on, above, or below the surface of land or water. This shall not include trailers, portable storage vans or containers.</w:t>
      </w:r>
    </w:p>
    <w:p>
      <w:pPr>
        <w:pStyle w:val="Compact"/>
        <w:numPr>
          <w:ilvl w:val="0"/>
          <w:numId w:val="3187"/>
        </w:numPr>
      </w:pPr>
    </w:p>
    <w:p>
      <w:pPr>
        <w:numPr>
          <w:ilvl w:val="1"/>
          <w:numId w:val="3188"/>
        </w:numPr>
      </w:pPr>
      <w:r>
        <w:t xml:space="preserve">Substandard lot of record. Any lot lawfully existing at the time of adoption or amendment of a Zoning Ordinance and not in conformance with the dimensional and/or area provisions of such ordinance.</w:t>
      </w:r>
    </w:p>
    <w:p>
      <w:pPr>
        <w:pStyle w:val="Compact"/>
        <w:numPr>
          <w:ilvl w:val="0"/>
          <w:numId w:val="3189"/>
        </w:numPr>
      </w:pPr>
    </w:p>
    <w:p>
      <w:pPr>
        <w:numPr>
          <w:ilvl w:val="1"/>
          <w:numId w:val="3190"/>
        </w:numPr>
      </w:pPr>
      <w:r>
        <w:t xml:space="preserve">Tiny House on Wheels: A "tiny house on wheels" is a structure which is a custom-built structure intended as a full time residence that is built on a trailer chassis, bus chassis or truck chassis. It may or may not be registered as a road-worthy vehicle.</w:t>
      </w:r>
    </w:p>
    <w:p>
      <w:pPr>
        <w:pStyle w:val="Compact"/>
        <w:numPr>
          <w:ilvl w:val="0"/>
          <w:numId w:val="3191"/>
        </w:numPr>
      </w:pPr>
    </w:p>
    <w:p>
      <w:pPr>
        <w:numPr>
          <w:ilvl w:val="1"/>
          <w:numId w:val="3192"/>
        </w:numPr>
      </w:pPr>
      <w:r>
        <w:t xml:space="preserve">Town. The Town of North Smithfield.</w:t>
      </w:r>
    </w:p>
    <w:p>
      <w:pPr>
        <w:pStyle w:val="Compact"/>
        <w:numPr>
          <w:ilvl w:val="0"/>
          <w:numId w:val="3193"/>
        </w:numPr>
      </w:pPr>
    </w:p>
    <w:p>
      <w:pPr>
        <w:numPr>
          <w:ilvl w:val="1"/>
          <w:numId w:val="3194"/>
        </w:numPr>
      </w:pPr>
      <w:r>
        <w:t xml:space="preserve">Transfer station. A facility where collection vehicles transfer waste to haulage vehicles for transportation to final disposal sites or other waste facilities.</w:t>
      </w:r>
    </w:p>
    <w:p>
      <w:pPr>
        <w:pStyle w:val="Compact"/>
        <w:numPr>
          <w:ilvl w:val="0"/>
          <w:numId w:val="3195"/>
        </w:numPr>
      </w:pPr>
    </w:p>
    <w:p>
      <w:pPr>
        <w:numPr>
          <w:ilvl w:val="1"/>
          <w:numId w:val="3196"/>
        </w:numPr>
      </w:pPr>
      <w:r>
        <w:t xml:space="preserve">Travel trailer. A vehicle, portable structure built on a chassis, designed to be used as a temporary dwelling for travel and recreational purposes, having a body width not exceeding eight (8) feet.</w:t>
      </w:r>
    </w:p>
    <w:p>
      <w:pPr>
        <w:pStyle w:val="Compact"/>
        <w:numPr>
          <w:ilvl w:val="0"/>
          <w:numId w:val="3197"/>
        </w:numPr>
      </w:pPr>
    </w:p>
    <w:p>
      <w:pPr>
        <w:numPr>
          <w:ilvl w:val="1"/>
          <w:numId w:val="3198"/>
        </w:numPr>
      </w:pPr>
      <w:r>
        <w:t xml:space="preserve">Use. The purpose or activity for which land or buildings are designed, or intended, or for which land or buildings are occupied or maintained.</w:t>
      </w:r>
    </w:p>
    <w:p>
      <w:pPr>
        <w:pStyle w:val="Compact"/>
        <w:numPr>
          <w:ilvl w:val="0"/>
          <w:numId w:val="3199"/>
        </w:numPr>
      </w:pPr>
    </w:p>
    <w:p>
      <w:pPr>
        <w:numPr>
          <w:ilvl w:val="1"/>
          <w:numId w:val="3200"/>
        </w:numPr>
      </w:pPr>
      <w:r>
        <w:t xml:space="preserve">Variance. Permission to depart from the literal requirements of a Zoning Ordinance. An authorization for the construction or maintenance of a building or structure, or for the establishment or maintenance of a use of land, which is prohibited by a Zoning Ordinance. There shall be only two categories of variance, a use variance or a dimensional variance.</w:t>
      </w:r>
    </w:p>
    <w:p>
      <w:pPr>
        <w:pStyle w:val="Compact"/>
        <w:numPr>
          <w:ilvl w:val="0"/>
          <w:numId w:val="3201"/>
        </w:numPr>
      </w:pPr>
    </w:p>
    <w:p>
      <w:pPr>
        <w:numPr>
          <w:ilvl w:val="1"/>
          <w:numId w:val="3202"/>
        </w:numPr>
      </w:pPr>
      <w:r>
        <w:t xml:space="preserve">(a) Use variance. Permission to depart from the use requirements of a Zoning Ordinance where the applicant for the requested variance has shown by evidence upon the record that the subject land or structure cannot yield any beneficial use if it is to conform to the (last updated 6/4/18) ) provisions of the Zoning Ordinance.</w:t>
      </w:r>
    </w:p>
    <w:p>
      <w:pPr>
        <w:pStyle w:val="Compact"/>
        <w:numPr>
          <w:ilvl w:val="0"/>
          <w:numId w:val="3203"/>
        </w:numPr>
      </w:pPr>
    </w:p>
    <w:p>
      <w:pPr>
        <w:numPr>
          <w:ilvl w:val="1"/>
          <w:numId w:val="3204"/>
        </w:numPr>
      </w:pPr>
      <w:r>
        <w:t xml:space="preserve">(b) Dimensional variance. Permission to depart from the dimensional requirements of a Zoning Ordinance, where the applicant for the requested relief has shown, by evidence upon the record, that there is no other reasonable alternative way to enjoy a legally permitted beneficial use of the subject property unless granted the requested relief from the dimensional regulations. However, the fact that a use may be more profitable or that a structure may be more valuable after the relief is granted shall not be grounds for relief.</w:t>
      </w:r>
    </w:p>
    <w:p>
      <w:pPr>
        <w:pStyle w:val="Compact"/>
        <w:numPr>
          <w:ilvl w:val="0"/>
          <w:numId w:val="3205"/>
        </w:numPr>
      </w:pPr>
    </w:p>
    <w:p>
      <w:pPr>
        <w:numPr>
          <w:ilvl w:val="1"/>
          <w:numId w:val="3206"/>
        </w:numPr>
      </w:pPr>
      <w:r>
        <w:t xml:space="preserve">Waste storage. For purposes of this ordinance, storage of nonhazardous waste materials generated on the same lot shall not be considered waste storage provided it does not exceed thirty (30) cubic yards.</w:t>
      </w:r>
    </w:p>
    <w:p>
      <w:pPr>
        <w:pStyle w:val="Compact"/>
        <w:numPr>
          <w:ilvl w:val="0"/>
          <w:numId w:val="3207"/>
        </w:numPr>
      </w:pPr>
    </w:p>
    <w:p>
      <w:pPr>
        <w:numPr>
          <w:ilvl w:val="1"/>
          <w:numId w:val="3208"/>
        </w:numPr>
      </w:pPr>
      <w:r>
        <w:t xml:space="preserve">Waste treatment. Any method, technique or process, including neutralization or incineration, designed to change the physical, chemical or biological character or composition of any hazardous or other waste as to neutralize such waste or so as to render such waste less hazardous, nonhazardous, safer to transport, amenable to storage or reduced in volume except such method or technique as may be included as part of the manufacturing process at the point of generation.</w:t>
      </w:r>
    </w:p>
    <w:p>
      <w:pPr>
        <w:pStyle w:val="Compact"/>
        <w:numPr>
          <w:ilvl w:val="0"/>
          <w:numId w:val="3209"/>
        </w:numPr>
      </w:pPr>
    </w:p>
    <w:p>
      <w:pPr>
        <w:numPr>
          <w:ilvl w:val="1"/>
          <w:numId w:val="3210"/>
        </w:numPr>
      </w:pPr>
      <w:r>
        <w:t xml:space="preserve">Waters. As defined in Rhode Island General Laws section 46-12-1(b).</w:t>
      </w:r>
    </w:p>
    <w:p>
      <w:pPr>
        <w:pStyle w:val="Compact"/>
        <w:numPr>
          <w:ilvl w:val="0"/>
          <w:numId w:val="3211"/>
        </w:numPr>
      </w:pPr>
    </w:p>
    <w:p>
      <w:pPr>
        <w:numPr>
          <w:ilvl w:val="1"/>
          <w:numId w:val="3212"/>
        </w:numPr>
      </w:pPr>
      <w:r>
        <w:t xml:space="preserve">Wetland, coastal. As defined in Rhode Island General Laws section 2-1-14.</w:t>
      </w:r>
    </w:p>
    <w:p>
      <w:pPr>
        <w:pStyle w:val="Compact"/>
        <w:numPr>
          <w:ilvl w:val="0"/>
          <w:numId w:val="3213"/>
        </w:numPr>
      </w:pPr>
    </w:p>
    <w:p>
      <w:pPr>
        <w:numPr>
          <w:ilvl w:val="1"/>
          <w:numId w:val="3214"/>
        </w:numPr>
      </w:pPr>
      <w:r>
        <w:t xml:space="preserve">Wetland, freshwater. As defined in Rhode Island General Laws section 2-1-20.</w:t>
      </w:r>
    </w:p>
    <w:p>
      <w:pPr>
        <w:pStyle w:val="Compact"/>
        <w:numPr>
          <w:ilvl w:val="0"/>
          <w:numId w:val="3215"/>
        </w:numPr>
      </w:pPr>
    </w:p>
    <w:p>
      <w:pPr>
        <w:numPr>
          <w:ilvl w:val="1"/>
          <w:numId w:val="3216"/>
        </w:numPr>
      </w:pPr>
      <w:r>
        <w:t xml:space="preserve">Yard. A required open space other than a court unoccupied and unobstructed by any structure or portion of a structure. Fences, walls, poles, posts, and other customary yard accessories, ornaments, and furniture may be permitted in any yard subject to height limitations and requirements limiting obstruction of visibility.</w:t>
      </w:r>
    </w:p>
    <w:p>
      <w:pPr>
        <w:pStyle w:val="Compact"/>
        <w:numPr>
          <w:ilvl w:val="0"/>
          <w:numId w:val="3217"/>
        </w:numPr>
      </w:pPr>
    </w:p>
    <w:p>
      <w:pPr>
        <w:numPr>
          <w:ilvl w:val="1"/>
          <w:numId w:val="3218"/>
        </w:numPr>
      </w:pPr>
      <w:r>
        <w:t xml:space="preserve">Yard, front. A yard extending between side lot lines across the front of a lot adjoining a street. (See lot measurements, width).</w:t>
      </w:r>
    </w:p>
    <w:p>
      <w:pPr>
        <w:pStyle w:val="Compact"/>
        <w:numPr>
          <w:ilvl w:val="0"/>
          <w:numId w:val="3219"/>
        </w:numPr>
      </w:pPr>
    </w:p>
    <w:p>
      <w:pPr>
        <w:numPr>
          <w:ilvl w:val="1"/>
          <w:numId w:val="3220"/>
        </w:numPr>
      </w:pPr>
      <w:r>
        <w:t xml:space="preserve">Yard, side. A yard extending from the rear line of the required front yard to the rear lot line, or in the absence of any clearly defined rear lot line to the point on the lot farthest from the intersection of the lot line involved with the street. In the case of "through lots," side yards shall extend from the rear lines of front yards required. The width of a required side yard shall be measured in such a manner that the yard established is a strip of the minimum width required by district regulations with its inner edge parallel with the side lot line.</w:t>
      </w:r>
    </w:p>
    <w:p>
      <w:pPr>
        <w:pStyle w:val="Compact"/>
        <w:numPr>
          <w:ilvl w:val="0"/>
          <w:numId w:val="3221"/>
        </w:numPr>
      </w:pPr>
    </w:p>
    <w:p>
      <w:pPr>
        <w:numPr>
          <w:ilvl w:val="1"/>
          <w:numId w:val="3222"/>
        </w:numPr>
      </w:pPr>
      <w:r>
        <w:t xml:space="preserve">Yard, rear. A yard extending across the rear of the lot between inner side yard lines. In the case of through lots and corner lots, there will be no rear yards, but only front and side yards. The depth of a required rear yard shall be measured in such a manner that the yard established is a strip of the minimum width required by district regulations with its inner edge parallel with the rear lot line. (last updated 6/4/18) )</w:t>
      </w:r>
    </w:p>
    <w:p>
      <w:pPr>
        <w:pStyle w:val="Compact"/>
        <w:numPr>
          <w:ilvl w:val="0"/>
          <w:numId w:val="3223"/>
        </w:numPr>
      </w:pPr>
    </w:p>
    <w:p>
      <w:pPr>
        <w:numPr>
          <w:ilvl w:val="1"/>
          <w:numId w:val="3224"/>
        </w:numPr>
      </w:pPr>
      <w:r>
        <w:t xml:space="preserve">Yard, special. A yard behind any required yard adjacent to a street, required to perform the same functions as a side or rear yard, but adjacent to a lot line so placed or oriented that neither the term "side yard" nor the term "rear yard" clearly applies. In such cases, the Inspector shall require a yard with minimum dimensions as generally required for a side yard or a rear yard in the district, determining which shall apply by the relation of the portion of the lot on which the yard is to be located to the adjoining lot or lots, with due regard to the orientation and location of structures and buildable areas thereon. The diagram (Figure 2) illustrates location and methods of measuring yards on rectangular and nonrectangular lots.</w:t>
      </w:r>
    </w:p>
    <w:p>
      <w:pPr>
        <w:pStyle w:val="Compact"/>
        <w:numPr>
          <w:ilvl w:val="0"/>
          <w:numId w:val="3225"/>
        </w:numPr>
      </w:pPr>
    </w:p>
    <w:p>
      <w:pPr>
        <w:numPr>
          <w:ilvl w:val="1"/>
          <w:numId w:val="3226"/>
        </w:numPr>
      </w:pPr>
      <w:r>
        <w:t xml:space="preserve">Zoning Board. See Board.</w:t>
      </w:r>
    </w:p>
    <w:p>
      <w:pPr>
        <w:pStyle w:val="Compact"/>
        <w:numPr>
          <w:ilvl w:val="0"/>
          <w:numId w:val="3227"/>
        </w:numPr>
      </w:pPr>
    </w:p>
    <w:p>
      <w:pPr>
        <w:numPr>
          <w:ilvl w:val="1"/>
          <w:numId w:val="3228"/>
        </w:numPr>
      </w:pPr>
      <w:r>
        <w:t xml:space="preserve">Zoning certificate. A document signed by the Inspector, as required in the Zoning Ordinance, which acknowledges that a use, structure, building or lot either complies with or is legally nonconforming to the provisions of the municipal Zoning Ordinance or is an authorized variance or modification therefrom.</w:t>
      </w:r>
    </w:p>
    <w:p>
      <w:pPr>
        <w:pStyle w:val="Compact"/>
        <w:numPr>
          <w:ilvl w:val="0"/>
          <w:numId w:val="3229"/>
        </w:numPr>
      </w:pPr>
    </w:p>
    <w:p>
      <w:pPr>
        <w:numPr>
          <w:ilvl w:val="1"/>
          <w:numId w:val="3230"/>
        </w:numPr>
      </w:pPr>
      <w:r>
        <w:t xml:space="preserve">Zoning map. The map or maps which are a part of the Zoning Ordinance and which delineate the boundaries of all mapped zoning districts within the physical boundary of the Town.</w:t>
      </w:r>
    </w:p>
    <w:p>
      <w:pPr>
        <w:pStyle w:val="Compact"/>
        <w:numPr>
          <w:ilvl w:val="0"/>
          <w:numId w:val="3231"/>
        </w:numPr>
      </w:pPr>
    </w:p>
    <w:p>
      <w:pPr>
        <w:numPr>
          <w:ilvl w:val="1"/>
          <w:numId w:val="3232"/>
        </w:numPr>
      </w:pPr>
      <w:r>
        <w:t xml:space="preserve">Zoning Ordinance. This ordinance.</w:t>
      </w:r>
    </w:p>
    <w:p>
      <w:pPr>
        <w:pStyle w:val="Compact"/>
        <w:numPr>
          <w:ilvl w:val="0"/>
          <w:numId w:val="3233"/>
        </w:numPr>
      </w:pPr>
    </w:p>
    <w:p>
      <w:pPr>
        <w:numPr>
          <w:ilvl w:val="1"/>
          <w:numId w:val="3234"/>
        </w:numPr>
      </w:pPr>
      <w:r>
        <w:t xml:space="preserve">Zoning districts. The basic unit in zoning, either mapped or unmapped, to which a uniform set of regulations applies, or a uniform set of regulations for a specific use. The districts include, but are not limited to: Flood Plain, Rural Estate-Agricultural, Rural Agricultural, Suburban Residential, Urban Residential, Neighborhood Business, Highway Business, Professional Service, Manufacturing, Aquifer, Limited Commercial, and Local Historic. Each district may include subdistricts. Districts may be combined. (last updated 6/4/18) )</w:t>
      </w:r>
    </w:p>
    <w:bookmarkEnd w:id="170"/>
    <w:bookmarkStart w:id="171" w:name="separability-clause"/>
    <w:p>
      <w:pPr>
        <w:pStyle w:val="Heading1"/>
      </w:pPr>
      <w:r>
        <w:t xml:space="preserve">§ 21. Separability Clause</w:t>
      </w:r>
    </w:p>
    <w:p>
      <w:pPr>
        <w:pStyle w:val="FirstParagraph"/>
      </w:pPr>
      <w:r>
        <w:t xml:space="preserve">SECTION 21. Separability Clause SEPARABILITY CLAUSE</w:t>
      </w:r>
    </w:p>
    <w:bookmarkEnd w:id="171"/>
    <w:bookmarkStart w:id="172" w:name="declaration"/>
    <w:p>
      <w:pPr>
        <w:pStyle w:val="Heading2"/>
      </w:pPr>
      <w:r>
        <w:t xml:space="preserve">§ 21.1. Declaration</w:t>
      </w:r>
    </w:p>
    <w:p>
      <w:pPr>
        <w:pStyle w:val="FirstParagraph"/>
      </w:pPr>
      <w:r>
        <w:t xml:space="preserve">Sec. 21.1. Declaration.</w:t>
      </w:r>
    </w:p>
    <w:p>
      <w:pPr>
        <w:pStyle w:val="BodyText"/>
      </w:pPr>
      <w:r>
        <w:t xml:space="preserve">If any section, paragraph, clause, phrase or provision of this ordinance shall be ruled invalid or unconstitutional by a court of competent jurisdiction, such decision shall not affect the validity of this ordinance as a whole or any part thereof other than the part so judged to be invalid or unconstitutional.</w:t>
      </w:r>
    </w:p>
    <w:bookmarkEnd w:id="172"/>
    <w:bookmarkStart w:id="173" w:name="Xcf1c885b09d613ca0a1bbf75282e5632633cb26"/>
    <w:p>
      <w:pPr>
        <w:pStyle w:val="Heading1"/>
      </w:pPr>
      <w:r>
        <w:t xml:space="preserve">§ 22. Repeal of Conflicting Ordinances; Effective Date</w:t>
      </w:r>
    </w:p>
    <w:p>
      <w:pPr>
        <w:pStyle w:val="FirstParagraph"/>
      </w:pPr>
      <w:r>
        <w:t xml:space="preserve">SECTION 22. Repeal of Conflicting Ordinances; Effective Date REPEAL OF CONFLICTING ORDINANCES; EFFECTIVE DATE</w:t>
      </w:r>
    </w:p>
    <w:bookmarkEnd w:id="173"/>
    <w:bookmarkStart w:id="174" w:name="declaration-1"/>
    <w:p>
      <w:pPr>
        <w:pStyle w:val="Heading2"/>
      </w:pPr>
      <w:r>
        <w:t xml:space="preserve">§ 22.1. Declaration</w:t>
      </w:r>
    </w:p>
    <w:p>
      <w:pPr>
        <w:pStyle w:val="FirstParagraph"/>
      </w:pPr>
      <w:r>
        <w:t xml:space="preserve">Sec. 22.1. Declaration.</w:t>
      </w:r>
    </w:p>
    <w:p>
      <w:pPr>
        <w:pStyle w:val="BodyText"/>
      </w:pPr>
      <w:r>
        <w:t xml:space="preserve">All ordinances or parts of ordinances in conflict with this Zoning Ordinance, or inconsistent with the provisions of this ordinance, are hereby repealed to the extent necessary to give this ordinance full force and effect. The effective date of this ordinance shall be January 1, 1995.</w:t>
      </w:r>
    </w:p>
    <w:p>
      <w:pPr>
        <w:pStyle w:val="BodyText"/>
      </w:pPr>
      <w:r>
        <w:t xml:space="preserve">FIGURE 1 LOT TYPES FIGURE 2 LOCATION AND MEASUREMENT OF YARDS The illustration here assumes front yard depths required at 30 feet (half-depth front yards 15'), side yard widths ten feet, and rear yard depths ten feet. Note that at A, a special yard is shown, indicating treatment where usual side or rear yard terminology would be difficult to apply but purpose of the yard is clear.</w:t>
      </w:r>
    </w:p>
    <w:p>
      <w:pPr>
        <w:pStyle w:val="BodyText"/>
      </w:pPr>
      <w:r>
        <w:t xml:space="preserve">FIGURE 3 SIDE YARDS</w:t>
      </w:r>
    </w:p>
    <w:bookmarkEnd w:id="1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 w:numId="1397">
    <w:abstractNumId w:val="991"/>
  </w:num>
  <w:num w:numId="1398">
    <w:abstractNumId w:val="991"/>
  </w:num>
  <w:num w:numId="1399">
    <w:abstractNumId w:val="991"/>
  </w:num>
  <w:num w:numId="1400">
    <w:abstractNumId w:val="991"/>
  </w:num>
  <w:num w:numId="1401">
    <w:abstractNumId w:val="991"/>
  </w:num>
  <w:num w:numId="1402">
    <w:abstractNumId w:val="991"/>
  </w:num>
  <w:num w:numId="1403">
    <w:abstractNumId w:val="991"/>
  </w:num>
  <w:num w:numId="1404">
    <w:abstractNumId w:val="991"/>
  </w:num>
  <w:num w:numId="1405">
    <w:abstractNumId w:val="991"/>
  </w:num>
  <w:num w:numId="1406">
    <w:abstractNumId w:val="991"/>
  </w:num>
  <w:num w:numId="1407">
    <w:abstractNumId w:val="991"/>
  </w:num>
  <w:num w:numId="1408">
    <w:abstractNumId w:val="991"/>
  </w:num>
  <w:num w:numId="1409">
    <w:abstractNumId w:val="991"/>
  </w:num>
  <w:num w:numId="1410">
    <w:abstractNumId w:val="991"/>
  </w:num>
  <w:num w:numId="1411">
    <w:abstractNumId w:val="991"/>
  </w:num>
  <w:num w:numId="1412">
    <w:abstractNumId w:val="991"/>
  </w:num>
  <w:num w:numId="1413">
    <w:abstractNumId w:val="991"/>
  </w:num>
  <w:num w:numId="1414">
    <w:abstractNumId w:val="991"/>
  </w:num>
  <w:num w:numId="1415">
    <w:abstractNumId w:val="991"/>
  </w:num>
  <w:num w:numId="1416">
    <w:abstractNumId w:val="991"/>
  </w:num>
  <w:num w:numId="1417">
    <w:abstractNumId w:val="991"/>
  </w:num>
  <w:num w:numId="1418">
    <w:abstractNumId w:val="991"/>
  </w:num>
  <w:num w:numId="1419">
    <w:abstractNumId w:val="991"/>
  </w:num>
  <w:num w:numId="1420">
    <w:abstractNumId w:val="991"/>
  </w:num>
  <w:num w:numId="1421">
    <w:abstractNumId w:val="991"/>
  </w:num>
  <w:num w:numId="1422">
    <w:abstractNumId w:val="991"/>
  </w:num>
  <w:num w:numId="1423">
    <w:abstractNumId w:val="991"/>
  </w:num>
  <w:num w:numId="1424">
    <w:abstractNumId w:val="991"/>
  </w:num>
  <w:num w:numId="1425">
    <w:abstractNumId w:val="991"/>
  </w:num>
  <w:num w:numId="1426">
    <w:abstractNumId w:val="991"/>
  </w:num>
  <w:num w:numId="1427">
    <w:abstractNumId w:val="991"/>
  </w:num>
  <w:num w:numId="1428">
    <w:abstractNumId w:val="991"/>
  </w:num>
  <w:num w:numId="1429">
    <w:abstractNumId w:val="991"/>
  </w:num>
  <w:num w:numId="1430">
    <w:abstractNumId w:val="991"/>
  </w:num>
  <w:num w:numId="1431">
    <w:abstractNumId w:val="991"/>
  </w:num>
  <w:num w:numId="1432">
    <w:abstractNumId w:val="991"/>
  </w:num>
  <w:num w:numId="1433">
    <w:abstractNumId w:val="991"/>
  </w:num>
  <w:num w:numId="1434">
    <w:abstractNumId w:val="991"/>
  </w:num>
  <w:num w:numId="1435">
    <w:abstractNumId w:val="991"/>
  </w:num>
  <w:num w:numId="1436">
    <w:abstractNumId w:val="991"/>
  </w:num>
  <w:num w:numId="1437">
    <w:abstractNumId w:val="991"/>
  </w:num>
  <w:num w:numId="1438">
    <w:abstractNumId w:val="991"/>
  </w:num>
  <w:num w:numId="1439">
    <w:abstractNumId w:val="991"/>
  </w:num>
  <w:num w:numId="1440">
    <w:abstractNumId w:val="991"/>
  </w:num>
  <w:num w:numId="1441">
    <w:abstractNumId w:val="991"/>
  </w:num>
  <w:num w:numId="1442">
    <w:abstractNumId w:val="991"/>
  </w:num>
  <w:num w:numId="1443">
    <w:abstractNumId w:val="991"/>
  </w:num>
  <w:num w:numId="1444">
    <w:abstractNumId w:val="991"/>
  </w:num>
  <w:num w:numId="1445">
    <w:abstractNumId w:val="991"/>
  </w:num>
  <w:num w:numId="1446">
    <w:abstractNumId w:val="991"/>
  </w:num>
  <w:num w:numId="1447">
    <w:abstractNumId w:val="991"/>
  </w:num>
  <w:num w:numId="1448">
    <w:abstractNumId w:val="991"/>
  </w:num>
  <w:num w:numId="1449">
    <w:abstractNumId w:val="991"/>
  </w:num>
  <w:num w:numId="1450">
    <w:abstractNumId w:val="991"/>
  </w:num>
  <w:num w:numId="1451">
    <w:abstractNumId w:val="991"/>
  </w:num>
  <w:num w:numId="1452">
    <w:abstractNumId w:val="991"/>
  </w:num>
  <w:num w:numId="1453">
    <w:abstractNumId w:val="991"/>
  </w:num>
  <w:num w:numId="1454">
    <w:abstractNumId w:val="991"/>
  </w:num>
  <w:num w:numId="1455">
    <w:abstractNumId w:val="991"/>
  </w:num>
  <w:num w:numId="1456">
    <w:abstractNumId w:val="991"/>
  </w:num>
  <w:num w:numId="1457">
    <w:abstractNumId w:val="991"/>
  </w:num>
  <w:num w:numId="1458">
    <w:abstractNumId w:val="991"/>
  </w:num>
  <w:num w:numId="1459">
    <w:abstractNumId w:val="991"/>
  </w:num>
  <w:num w:numId="1460">
    <w:abstractNumId w:val="991"/>
  </w:num>
  <w:num w:numId="1461">
    <w:abstractNumId w:val="991"/>
  </w:num>
  <w:num w:numId="1462">
    <w:abstractNumId w:val="991"/>
  </w:num>
  <w:num w:numId="1463">
    <w:abstractNumId w:val="991"/>
  </w:num>
  <w:num w:numId="1464">
    <w:abstractNumId w:val="991"/>
  </w:num>
  <w:num w:numId="1465">
    <w:abstractNumId w:val="991"/>
  </w:num>
  <w:num w:numId="1466">
    <w:abstractNumId w:val="991"/>
  </w:num>
  <w:num w:numId="1467">
    <w:abstractNumId w:val="991"/>
  </w:num>
  <w:num w:numId="1468">
    <w:abstractNumId w:val="991"/>
  </w:num>
  <w:num w:numId="1469">
    <w:abstractNumId w:val="991"/>
  </w:num>
  <w:num w:numId="1470">
    <w:abstractNumId w:val="991"/>
  </w:num>
  <w:num w:numId="1471">
    <w:abstractNumId w:val="991"/>
  </w:num>
  <w:num w:numId="1472">
    <w:abstractNumId w:val="991"/>
  </w:num>
  <w:num w:numId="1473">
    <w:abstractNumId w:val="991"/>
  </w:num>
  <w:num w:numId="1474">
    <w:abstractNumId w:val="991"/>
  </w:num>
  <w:num w:numId="1475">
    <w:abstractNumId w:val="991"/>
  </w:num>
  <w:num w:numId="1476">
    <w:abstractNumId w:val="991"/>
  </w:num>
  <w:num w:numId="1477">
    <w:abstractNumId w:val="991"/>
  </w:num>
  <w:num w:numId="1478">
    <w:abstractNumId w:val="991"/>
  </w:num>
  <w:num w:numId="1479">
    <w:abstractNumId w:val="991"/>
  </w:num>
  <w:num w:numId="1480">
    <w:abstractNumId w:val="991"/>
  </w:num>
  <w:num w:numId="1481">
    <w:abstractNumId w:val="991"/>
  </w:num>
  <w:num w:numId="1482">
    <w:abstractNumId w:val="991"/>
  </w:num>
  <w:num w:numId="1483">
    <w:abstractNumId w:val="991"/>
  </w:num>
  <w:num w:numId="1484">
    <w:abstractNumId w:val="991"/>
  </w:num>
  <w:num w:numId="1485">
    <w:abstractNumId w:val="991"/>
  </w:num>
  <w:num w:numId="1486">
    <w:abstractNumId w:val="991"/>
  </w:num>
  <w:num w:numId="1487">
    <w:abstractNumId w:val="991"/>
  </w:num>
  <w:num w:numId="1488">
    <w:abstractNumId w:val="991"/>
  </w:num>
  <w:num w:numId="1489">
    <w:abstractNumId w:val="991"/>
  </w:num>
  <w:num w:numId="1490">
    <w:abstractNumId w:val="991"/>
  </w:num>
  <w:num w:numId="1491">
    <w:abstractNumId w:val="991"/>
  </w:num>
  <w:num w:numId="1492">
    <w:abstractNumId w:val="991"/>
  </w:num>
  <w:num w:numId="1493">
    <w:abstractNumId w:val="991"/>
  </w:num>
  <w:num w:numId="1494">
    <w:abstractNumId w:val="991"/>
  </w:num>
  <w:num w:numId="1495">
    <w:abstractNumId w:val="991"/>
  </w:num>
  <w:num w:numId="1496">
    <w:abstractNumId w:val="991"/>
  </w:num>
  <w:num w:numId="1497">
    <w:abstractNumId w:val="991"/>
  </w:num>
  <w:num w:numId="1498">
    <w:abstractNumId w:val="991"/>
  </w:num>
  <w:num w:numId="1499">
    <w:abstractNumId w:val="991"/>
  </w:num>
  <w:num w:numId="1500">
    <w:abstractNumId w:val="991"/>
  </w:num>
  <w:num w:numId="1501">
    <w:abstractNumId w:val="991"/>
  </w:num>
  <w:num w:numId="1502">
    <w:abstractNumId w:val="991"/>
  </w:num>
  <w:num w:numId="1503">
    <w:abstractNumId w:val="991"/>
  </w:num>
  <w:num w:numId="1504">
    <w:abstractNumId w:val="991"/>
  </w:num>
  <w:num w:numId="1505">
    <w:abstractNumId w:val="991"/>
  </w:num>
  <w:num w:numId="1506">
    <w:abstractNumId w:val="991"/>
  </w:num>
  <w:num w:numId="1507">
    <w:abstractNumId w:val="991"/>
  </w:num>
  <w:num w:numId="1508">
    <w:abstractNumId w:val="991"/>
  </w:num>
  <w:num w:numId="1509">
    <w:abstractNumId w:val="991"/>
  </w:num>
  <w:num w:numId="1510">
    <w:abstractNumId w:val="991"/>
  </w:num>
  <w:num w:numId="1511">
    <w:abstractNumId w:val="991"/>
  </w:num>
  <w:num w:numId="1512">
    <w:abstractNumId w:val="991"/>
  </w:num>
  <w:num w:numId="1513">
    <w:abstractNumId w:val="991"/>
  </w:num>
  <w:num w:numId="1514">
    <w:abstractNumId w:val="991"/>
  </w:num>
  <w:num w:numId="1515">
    <w:abstractNumId w:val="991"/>
  </w:num>
  <w:num w:numId="1516">
    <w:abstractNumId w:val="991"/>
  </w:num>
  <w:num w:numId="1517">
    <w:abstractNumId w:val="991"/>
  </w:num>
  <w:num w:numId="1518">
    <w:abstractNumId w:val="991"/>
  </w:num>
  <w:num w:numId="1519">
    <w:abstractNumId w:val="991"/>
  </w:num>
  <w:num w:numId="1520">
    <w:abstractNumId w:val="991"/>
  </w:num>
  <w:num w:numId="1521">
    <w:abstractNumId w:val="991"/>
  </w:num>
  <w:num w:numId="1522">
    <w:abstractNumId w:val="991"/>
  </w:num>
  <w:num w:numId="1523">
    <w:abstractNumId w:val="991"/>
  </w:num>
  <w:num w:numId="1524">
    <w:abstractNumId w:val="991"/>
  </w:num>
  <w:num w:numId="1525">
    <w:abstractNumId w:val="991"/>
  </w:num>
  <w:num w:numId="1526">
    <w:abstractNumId w:val="991"/>
  </w:num>
  <w:num w:numId="1527">
    <w:abstractNumId w:val="991"/>
  </w:num>
  <w:num w:numId="1528">
    <w:abstractNumId w:val="991"/>
  </w:num>
  <w:num w:numId="1529">
    <w:abstractNumId w:val="991"/>
  </w:num>
  <w:num w:numId="1530">
    <w:abstractNumId w:val="991"/>
  </w:num>
  <w:num w:numId="1531">
    <w:abstractNumId w:val="991"/>
  </w:num>
  <w:num w:numId="1532">
    <w:abstractNumId w:val="991"/>
  </w:num>
  <w:num w:numId="1533">
    <w:abstractNumId w:val="991"/>
  </w:num>
  <w:num w:numId="1534">
    <w:abstractNumId w:val="991"/>
  </w:num>
  <w:num w:numId="1535">
    <w:abstractNumId w:val="991"/>
  </w:num>
  <w:num w:numId="1536">
    <w:abstractNumId w:val="991"/>
  </w:num>
  <w:num w:numId="1537">
    <w:abstractNumId w:val="991"/>
  </w:num>
  <w:num w:numId="1538">
    <w:abstractNumId w:val="991"/>
  </w:num>
  <w:num w:numId="1539">
    <w:abstractNumId w:val="991"/>
  </w:num>
  <w:num w:numId="1540">
    <w:abstractNumId w:val="991"/>
  </w:num>
  <w:num w:numId="1541">
    <w:abstractNumId w:val="991"/>
  </w:num>
  <w:num w:numId="1542">
    <w:abstractNumId w:val="991"/>
  </w:num>
  <w:num w:numId="1543">
    <w:abstractNumId w:val="991"/>
  </w:num>
  <w:num w:numId="1544">
    <w:abstractNumId w:val="991"/>
  </w:num>
  <w:num w:numId="1545">
    <w:abstractNumId w:val="991"/>
  </w:num>
  <w:num w:numId="1546">
    <w:abstractNumId w:val="991"/>
  </w:num>
  <w:num w:numId="1547">
    <w:abstractNumId w:val="991"/>
  </w:num>
  <w:num w:numId="1548">
    <w:abstractNumId w:val="991"/>
  </w:num>
  <w:num w:numId="1549">
    <w:abstractNumId w:val="991"/>
  </w:num>
  <w:num w:numId="1550">
    <w:abstractNumId w:val="991"/>
  </w:num>
  <w:num w:numId="1551">
    <w:abstractNumId w:val="991"/>
  </w:num>
  <w:num w:numId="1552">
    <w:abstractNumId w:val="991"/>
  </w:num>
  <w:num w:numId="1553">
    <w:abstractNumId w:val="991"/>
  </w:num>
  <w:num w:numId="1554">
    <w:abstractNumId w:val="991"/>
  </w:num>
  <w:num w:numId="1555">
    <w:abstractNumId w:val="991"/>
  </w:num>
  <w:num w:numId="1556">
    <w:abstractNumId w:val="991"/>
  </w:num>
  <w:num w:numId="1557">
    <w:abstractNumId w:val="991"/>
  </w:num>
  <w:num w:numId="1558">
    <w:abstractNumId w:val="991"/>
  </w:num>
  <w:num w:numId="1559">
    <w:abstractNumId w:val="991"/>
  </w:num>
  <w:num w:numId="1560">
    <w:abstractNumId w:val="991"/>
  </w:num>
  <w:num w:numId="1561">
    <w:abstractNumId w:val="991"/>
  </w:num>
  <w:num w:numId="1562">
    <w:abstractNumId w:val="991"/>
  </w:num>
  <w:num w:numId="1563">
    <w:abstractNumId w:val="991"/>
  </w:num>
  <w:num w:numId="1564">
    <w:abstractNumId w:val="991"/>
  </w:num>
  <w:num w:numId="1565">
    <w:abstractNumId w:val="991"/>
  </w:num>
  <w:num w:numId="1566">
    <w:abstractNumId w:val="991"/>
  </w:num>
  <w:num w:numId="1567">
    <w:abstractNumId w:val="991"/>
  </w:num>
  <w:num w:numId="1568">
    <w:abstractNumId w:val="991"/>
  </w:num>
  <w:num w:numId="1569">
    <w:abstractNumId w:val="991"/>
  </w:num>
  <w:num w:numId="1570">
    <w:abstractNumId w:val="991"/>
  </w:num>
  <w:num w:numId="1571">
    <w:abstractNumId w:val="991"/>
  </w:num>
  <w:num w:numId="1572">
    <w:abstractNumId w:val="991"/>
  </w:num>
  <w:num w:numId="1573">
    <w:abstractNumId w:val="991"/>
  </w:num>
  <w:num w:numId="1574">
    <w:abstractNumId w:val="991"/>
  </w:num>
  <w:num w:numId="1575">
    <w:abstractNumId w:val="991"/>
  </w:num>
  <w:num w:numId="1576">
    <w:abstractNumId w:val="991"/>
  </w:num>
  <w:num w:numId="1577">
    <w:abstractNumId w:val="991"/>
  </w:num>
  <w:num w:numId="1578">
    <w:abstractNumId w:val="991"/>
  </w:num>
  <w:num w:numId="1579">
    <w:abstractNumId w:val="991"/>
  </w:num>
  <w:num w:numId="1580">
    <w:abstractNumId w:val="991"/>
  </w:num>
  <w:num w:numId="1581">
    <w:abstractNumId w:val="991"/>
  </w:num>
  <w:num w:numId="1582">
    <w:abstractNumId w:val="991"/>
  </w:num>
  <w:num w:numId="1583">
    <w:abstractNumId w:val="991"/>
  </w:num>
  <w:num w:numId="1584">
    <w:abstractNumId w:val="991"/>
  </w:num>
  <w:num w:numId="1585">
    <w:abstractNumId w:val="991"/>
  </w:num>
  <w:num w:numId="1586">
    <w:abstractNumId w:val="991"/>
  </w:num>
  <w:num w:numId="1587">
    <w:abstractNumId w:val="991"/>
  </w:num>
  <w:num w:numId="1588">
    <w:abstractNumId w:val="991"/>
  </w:num>
  <w:num w:numId="1589">
    <w:abstractNumId w:val="991"/>
  </w:num>
  <w:num w:numId="1590">
    <w:abstractNumId w:val="991"/>
  </w:num>
  <w:num w:numId="1591">
    <w:abstractNumId w:val="991"/>
  </w:num>
  <w:num w:numId="1592">
    <w:abstractNumId w:val="991"/>
  </w:num>
  <w:num w:numId="1593">
    <w:abstractNumId w:val="991"/>
  </w:num>
  <w:num w:numId="1594">
    <w:abstractNumId w:val="991"/>
  </w:num>
  <w:num w:numId="1595">
    <w:abstractNumId w:val="991"/>
  </w:num>
  <w:num w:numId="1596">
    <w:abstractNumId w:val="991"/>
  </w:num>
  <w:num w:numId="1597">
    <w:abstractNumId w:val="991"/>
  </w:num>
  <w:num w:numId="1598">
    <w:abstractNumId w:val="991"/>
  </w:num>
  <w:num w:numId="1599">
    <w:abstractNumId w:val="991"/>
  </w:num>
  <w:num w:numId="1600">
    <w:abstractNumId w:val="991"/>
  </w:num>
  <w:num w:numId="1601">
    <w:abstractNumId w:val="991"/>
  </w:num>
  <w:num w:numId="1602">
    <w:abstractNumId w:val="991"/>
  </w:num>
  <w:num w:numId="1603">
    <w:abstractNumId w:val="991"/>
  </w:num>
  <w:num w:numId="1604">
    <w:abstractNumId w:val="991"/>
  </w:num>
  <w:num w:numId="1605">
    <w:abstractNumId w:val="991"/>
  </w:num>
  <w:num w:numId="1606">
    <w:abstractNumId w:val="991"/>
  </w:num>
  <w:num w:numId="1607">
    <w:abstractNumId w:val="991"/>
  </w:num>
  <w:num w:numId="1608">
    <w:abstractNumId w:val="991"/>
  </w:num>
  <w:num w:numId="1609">
    <w:abstractNumId w:val="991"/>
  </w:num>
  <w:num w:numId="1610">
    <w:abstractNumId w:val="991"/>
  </w:num>
  <w:num w:numId="1611">
    <w:abstractNumId w:val="991"/>
  </w:num>
  <w:num w:numId="1612">
    <w:abstractNumId w:val="991"/>
  </w:num>
  <w:num w:numId="1613">
    <w:abstractNumId w:val="991"/>
  </w:num>
  <w:num w:numId="1614">
    <w:abstractNumId w:val="991"/>
  </w:num>
  <w:num w:numId="1615">
    <w:abstractNumId w:val="991"/>
  </w:num>
  <w:num w:numId="1616">
    <w:abstractNumId w:val="991"/>
  </w:num>
  <w:num w:numId="1617">
    <w:abstractNumId w:val="991"/>
  </w:num>
  <w:num w:numId="1618">
    <w:abstractNumId w:val="991"/>
  </w:num>
  <w:num w:numId="1619">
    <w:abstractNumId w:val="991"/>
  </w:num>
  <w:num w:numId="1620">
    <w:abstractNumId w:val="991"/>
  </w:num>
  <w:num w:numId="1621">
    <w:abstractNumId w:val="991"/>
  </w:num>
  <w:num w:numId="1622">
    <w:abstractNumId w:val="991"/>
  </w:num>
  <w:num w:numId="1623">
    <w:abstractNumId w:val="991"/>
  </w:num>
  <w:num w:numId="1624">
    <w:abstractNumId w:val="991"/>
  </w:num>
  <w:num w:numId="1625">
    <w:abstractNumId w:val="991"/>
  </w:num>
  <w:num w:numId="1626">
    <w:abstractNumId w:val="991"/>
  </w:num>
  <w:num w:numId="1627">
    <w:abstractNumId w:val="991"/>
  </w:num>
  <w:num w:numId="1628">
    <w:abstractNumId w:val="991"/>
  </w:num>
  <w:num w:numId="1629">
    <w:abstractNumId w:val="991"/>
  </w:num>
  <w:num w:numId="1630">
    <w:abstractNumId w:val="991"/>
  </w:num>
  <w:num w:numId="1631">
    <w:abstractNumId w:val="991"/>
  </w:num>
  <w:num w:numId="1632">
    <w:abstractNumId w:val="991"/>
  </w:num>
  <w:num w:numId="1633">
    <w:abstractNumId w:val="991"/>
  </w:num>
  <w:num w:numId="1634">
    <w:abstractNumId w:val="991"/>
  </w:num>
  <w:num w:numId="1635">
    <w:abstractNumId w:val="991"/>
  </w:num>
  <w:num w:numId="1636">
    <w:abstractNumId w:val="991"/>
  </w:num>
  <w:num w:numId="1637">
    <w:abstractNumId w:val="991"/>
  </w:num>
  <w:num w:numId="1638">
    <w:abstractNumId w:val="991"/>
  </w:num>
  <w:num w:numId="1639">
    <w:abstractNumId w:val="991"/>
  </w:num>
  <w:num w:numId="1640">
    <w:abstractNumId w:val="991"/>
  </w:num>
  <w:num w:numId="1641">
    <w:abstractNumId w:val="991"/>
  </w:num>
  <w:num w:numId="1642">
    <w:abstractNumId w:val="991"/>
  </w:num>
  <w:num w:numId="1643">
    <w:abstractNumId w:val="991"/>
  </w:num>
  <w:num w:numId="1644">
    <w:abstractNumId w:val="991"/>
  </w:num>
  <w:num w:numId="1645">
    <w:abstractNumId w:val="991"/>
  </w:num>
  <w:num w:numId="1646">
    <w:abstractNumId w:val="991"/>
  </w:num>
  <w:num w:numId="1647">
    <w:abstractNumId w:val="991"/>
  </w:num>
  <w:num w:numId="1648">
    <w:abstractNumId w:val="991"/>
  </w:num>
  <w:num w:numId="1649">
    <w:abstractNumId w:val="991"/>
  </w:num>
  <w:num w:numId="1650">
    <w:abstractNumId w:val="991"/>
  </w:num>
  <w:num w:numId="1651">
    <w:abstractNumId w:val="991"/>
  </w:num>
  <w:num w:numId="1652">
    <w:abstractNumId w:val="991"/>
  </w:num>
  <w:num w:numId="1653">
    <w:abstractNumId w:val="991"/>
  </w:num>
  <w:num w:numId="1654">
    <w:abstractNumId w:val="991"/>
  </w:num>
  <w:num w:numId="1655">
    <w:abstractNumId w:val="991"/>
  </w:num>
  <w:num w:numId="1656">
    <w:abstractNumId w:val="991"/>
  </w:num>
  <w:num w:numId="1657">
    <w:abstractNumId w:val="991"/>
  </w:num>
  <w:num w:numId="1658">
    <w:abstractNumId w:val="991"/>
  </w:num>
  <w:num w:numId="1659">
    <w:abstractNumId w:val="991"/>
  </w:num>
  <w:num w:numId="1660">
    <w:abstractNumId w:val="991"/>
  </w:num>
  <w:num w:numId="1661">
    <w:abstractNumId w:val="991"/>
  </w:num>
  <w:num w:numId="1662">
    <w:abstractNumId w:val="991"/>
  </w:num>
  <w:num w:numId="1663">
    <w:abstractNumId w:val="991"/>
  </w:num>
  <w:num w:numId="1664">
    <w:abstractNumId w:val="991"/>
  </w:num>
  <w:num w:numId="1665">
    <w:abstractNumId w:val="991"/>
  </w:num>
  <w:num w:numId="1666">
    <w:abstractNumId w:val="991"/>
  </w:num>
  <w:num w:numId="1667">
    <w:abstractNumId w:val="991"/>
  </w:num>
  <w:num w:numId="1668">
    <w:abstractNumId w:val="991"/>
  </w:num>
  <w:num w:numId="1669">
    <w:abstractNumId w:val="991"/>
  </w:num>
  <w:num w:numId="1670">
    <w:abstractNumId w:val="991"/>
  </w:num>
  <w:num w:numId="1671">
    <w:abstractNumId w:val="991"/>
  </w:num>
  <w:num w:numId="1672">
    <w:abstractNumId w:val="991"/>
  </w:num>
  <w:num w:numId="1673">
    <w:abstractNumId w:val="991"/>
  </w:num>
  <w:num w:numId="1674">
    <w:abstractNumId w:val="991"/>
  </w:num>
  <w:num w:numId="1675">
    <w:abstractNumId w:val="991"/>
  </w:num>
  <w:num w:numId="1676">
    <w:abstractNumId w:val="991"/>
  </w:num>
  <w:num w:numId="1677">
    <w:abstractNumId w:val="991"/>
  </w:num>
  <w:num w:numId="1678">
    <w:abstractNumId w:val="991"/>
  </w:num>
  <w:num w:numId="1679">
    <w:abstractNumId w:val="991"/>
  </w:num>
  <w:num w:numId="1680">
    <w:abstractNumId w:val="991"/>
  </w:num>
  <w:num w:numId="1681">
    <w:abstractNumId w:val="991"/>
  </w:num>
  <w:num w:numId="1682">
    <w:abstractNumId w:val="991"/>
  </w:num>
  <w:num w:numId="1683">
    <w:abstractNumId w:val="991"/>
  </w:num>
  <w:num w:numId="1684">
    <w:abstractNumId w:val="991"/>
  </w:num>
  <w:num w:numId="1685">
    <w:abstractNumId w:val="991"/>
  </w:num>
  <w:num w:numId="1686">
    <w:abstractNumId w:val="991"/>
  </w:num>
  <w:num w:numId="1687">
    <w:abstractNumId w:val="991"/>
  </w:num>
  <w:num w:numId="1688">
    <w:abstractNumId w:val="991"/>
  </w:num>
  <w:num w:numId="1689">
    <w:abstractNumId w:val="991"/>
  </w:num>
  <w:num w:numId="1690">
    <w:abstractNumId w:val="991"/>
  </w:num>
  <w:num w:numId="1691">
    <w:abstractNumId w:val="991"/>
  </w:num>
  <w:num w:numId="1692">
    <w:abstractNumId w:val="991"/>
  </w:num>
  <w:num w:numId="1693">
    <w:abstractNumId w:val="991"/>
  </w:num>
  <w:num w:numId="1694">
    <w:abstractNumId w:val="991"/>
  </w:num>
  <w:num w:numId="1695">
    <w:abstractNumId w:val="991"/>
  </w:num>
  <w:num w:numId="1696">
    <w:abstractNumId w:val="991"/>
  </w:num>
  <w:num w:numId="1697">
    <w:abstractNumId w:val="991"/>
  </w:num>
  <w:num w:numId="1698">
    <w:abstractNumId w:val="991"/>
  </w:num>
  <w:num w:numId="1699">
    <w:abstractNumId w:val="991"/>
  </w:num>
  <w:num w:numId="1700">
    <w:abstractNumId w:val="991"/>
  </w:num>
  <w:num w:numId="1701">
    <w:abstractNumId w:val="991"/>
  </w:num>
  <w:num w:numId="1702">
    <w:abstractNumId w:val="991"/>
  </w:num>
  <w:num w:numId="1703">
    <w:abstractNumId w:val="991"/>
  </w:num>
  <w:num w:numId="1704">
    <w:abstractNumId w:val="991"/>
  </w:num>
  <w:num w:numId="1705">
    <w:abstractNumId w:val="991"/>
  </w:num>
  <w:num w:numId="1706">
    <w:abstractNumId w:val="991"/>
  </w:num>
  <w:num w:numId="1707">
    <w:abstractNumId w:val="991"/>
  </w:num>
  <w:num w:numId="1708">
    <w:abstractNumId w:val="991"/>
  </w:num>
  <w:num w:numId="1709">
    <w:abstractNumId w:val="991"/>
  </w:num>
  <w:num w:numId="1710">
    <w:abstractNumId w:val="991"/>
  </w:num>
  <w:num w:numId="1711">
    <w:abstractNumId w:val="991"/>
  </w:num>
  <w:num w:numId="1712">
    <w:abstractNumId w:val="991"/>
  </w:num>
  <w:num w:numId="1713">
    <w:abstractNumId w:val="991"/>
  </w:num>
  <w:num w:numId="1714">
    <w:abstractNumId w:val="991"/>
  </w:num>
  <w:num w:numId="1715">
    <w:abstractNumId w:val="991"/>
  </w:num>
  <w:num w:numId="1716">
    <w:abstractNumId w:val="991"/>
  </w:num>
  <w:num w:numId="1717">
    <w:abstractNumId w:val="991"/>
  </w:num>
  <w:num w:numId="1718">
    <w:abstractNumId w:val="991"/>
  </w:num>
  <w:num w:numId="1719">
    <w:abstractNumId w:val="991"/>
  </w:num>
  <w:num w:numId="1720">
    <w:abstractNumId w:val="991"/>
  </w:num>
  <w:num w:numId="1721">
    <w:abstractNumId w:val="991"/>
  </w:num>
  <w:num w:numId="1722">
    <w:abstractNumId w:val="991"/>
  </w:num>
  <w:num w:numId="1723">
    <w:abstractNumId w:val="991"/>
  </w:num>
  <w:num w:numId="1724">
    <w:abstractNumId w:val="991"/>
  </w:num>
  <w:num w:numId="1725">
    <w:abstractNumId w:val="991"/>
  </w:num>
  <w:num w:numId="1726">
    <w:abstractNumId w:val="991"/>
  </w:num>
  <w:num w:numId="1727">
    <w:abstractNumId w:val="991"/>
  </w:num>
  <w:num w:numId="1728">
    <w:abstractNumId w:val="991"/>
  </w:num>
  <w:num w:numId="1729">
    <w:abstractNumId w:val="991"/>
  </w:num>
  <w:num w:numId="1730">
    <w:abstractNumId w:val="991"/>
  </w:num>
  <w:num w:numId="1731">
    <w:abstractNumId w:val="991"/>
  </w:num>
  <w:num w:numId="1732">
    <w:abstractNumId w:val="991"/>
  </w:num>
  <w:num w:numId="1733">
    <w:abstractNumId w:val="991"/>
  </w:num>
  <w:num w:numId="1734">
    <w:abstractNumId w:val="991"/>
  </w:num>
  <w:num w:numId="1735">
    <w:abstractNumId w:val="991"/>
  </w:num>
  <w:num w:numId="1736">
    <w:abstractNumId w:val="991"/>
  </w:num>
  <w:num w:numId="1737">
    <w:abstractNumId w:val="991"/>
  </w:num>
  <w:num w:numId="1738">
    <w:abstractNumId w:val="991"/>
  </w:num>
  <w:num w:numId="1739">
    <w:abstractNumId w:val="991"/>
  </w:num>
  <w:num w:numId="1740">
    <w:abstractNumId w:val="991"/>
  </w:num>
  <w:num w:numId="1741">
    <w:abstractNumId w:val="991"/>
  </w:num>
  <w:num w:numId="1742">
    <w:abstractNumId w:val="991"/>
  </w:num>
  <w:num w:numId="1743">
    <w:abstractNumId w:val="991"/>
  </w:num>
  <w:num w:numId="1744">
    <w:abstractNumId w:val="991"/>
  </w:num>
  <w:num w:numId="1745">
    <w:abstractNumId w:val="991"/>
  </w:num>
  <w:num w:numId="1746">
    <w:abstractNumId w:val="991"/>
  </w:num>
  <w:num w:numId="1747">
    <w:abstractNumId w:val="991"/>
  </w:num>
  <w:num w:numId="1748">
    <w:abstractNumId w:val="991"/>
  </w:num>
  <w:num w:numId="1749">
    <w:abstractNumId w:val="991"/>
  </w:num>
  <w:num w:numId="1750">
    <w:abstractNumId w:val="991"/>
  </w:num>
  <w:num w:numId="1751">
    <w:abstractNumId w:val="991"/>
  </w:num>
  <w:num w:numId="1752">
    <w:abstractNumId w:val="991"/>
  </w:num>
  <w:num w:numId="1753">
    <w:abstractNumId w:val="991"/>
  </w:num>
  <w:num w:numId="1754">
    <w:abstractNumId w:val="991"/>
  </w:num>
  <w:num w:numId="1755">
    <w:abstractNumId w:val="991"/>
  </w:num>
  <w:num w:numId="1756">
    <w:abstractNumId w:val="991"/>
  </w:num>
  <w:num w:numId="1757">
    <w:abstractNumId w:val="991"/>
  </w:num>
  <w:num w:numId="1758">
    <w:abstractNumId w:val="991"/>
  </w:num>
  <w:num w:numId="1759">
    <w:abstractNumId w:val="991"/>
  </w:num>
  <w:num w:numId="1760">
    <w:abstractNumId w:val="991"/>
  </w:num>
  <w:num w:numId="1761">
    <w:abstractNumId w:val="991"/>
  </w:num>
  <w:num w:numId="1762">
    <w:abstractNumId w:val="991"/>
  </w:num>
  <w:num w:numId="1763">
    <w:abstractNumId w:val="991"/>
  </w:num>
  <w:num w:numId="1764">
    <w:abstractNumId w:val="991"/>
  </w:num>
  <w:num w:numId="1765">
    <w:abstractNumId w:val="991"/>
  </w:num>
  <w:num w:numId="1766">
    <w:abstractNumId w:val="991"/>
  </w:num>
  <w:num w:numId="1767">
    <w:abstractNumId w:val="991"/>
  </w:num>
  <w:num w:numId="1768">
    <w:abstractNumId w:val="991"/>
  </w:num>
  <w:num w:numId="1769">
    <w:abstractNumId w:val="991"/>
  </w:num>
  <w:num w:numId="1770">
    <w:abstractNumId w:val="991"/>
  </w:num>
  <w:num w:numId="1771">
    <w:abstractNumId w:val="991"/>
  </w:num>
  <w:num w:numId="1772">
    <w:abstractNumId w:val="991"/>
  </w:num>
  <w:num w:numId="1773">
    <w:abstractNumId w:val="991"/>
  </w:num>
  <w:num w:numId="1774">
    <w:abstractNumId w:val="991"/>
  </w:num>
  <w:num w:numId="1775">
    <w:abstractNumId w:val="991"/>
  </w:num>
  <w:num w:numId="1776">
    <w:abstractNumId w:val="991"/>
  </w:num>
  <w:num w:numId="1777">
    <w:abstractNumId w:val="991"/>
  </w:num>
  <w:num w:numId="1778">
    <w:abstractNumId w:val="991"/>
  </w:num>
  <w:num w:numId="1779">
    <w:abstractNumId w:val="991"/>
  </w:num>
  <w:num w:numId="1780">
    <w:abstractNumId w:val="991"/>
  </w:num>
  <w:num w:numId="1781">
    <w:abstractNumId w:val="991"/>
  </w:num>
  <w:num w:numId="1782">
    <w:abstractNumId w:val="991"/>
  </w:num>
  <w:num w:numId="1783">
    <w:abstractNumId w:val="991"/>
  </w:num>
  <w:num w:numId="1784">
    <w:abstractNumId w:val="991"/>
  </w:num>
  <w:num w:numId="1785">
    <w:abstractNumId w:val="991"/>
  </w:num>
  <w:num w:numId="1786">
    <w:abstractNumId w:val="991"/>
  </w:num>
  <w:num w:numId="1787">
    <w:abstractNumId w:val="991"/>
  </w:num>
  <w:num w:numId="1788">
    <w:abstractNumId w:val="991"/>
  </w:num>
  <w:num w:numId="1789">
    <w:abstractNumId w:val="991"/>
  </w:num>
  <w:num w:numId="1790">
    <w:abstractNumId w:val="991"/>
  </w:num>
  <w:num w:numId="1791">
    <w:abstractNumId w:val="991"/>
  </w:num>
  <w:num w:numId="1792">
    <w:abstractNumId w:val="991"/>
  </w:num>
  <w:num w:numId="1793">
    <w:abstractNumId w:val="991"/>
  </w:num>
  <w:num w:numId="1794">
    <w:abstractNumId w:val="991"/>
  </w:num>
  <w:num w:numId="1795">
    <w:abstractNumId w:val="991"/>
  </w:num>
  <w:num w:numId="1796">
    <w:abstractNumId w:val="991"/>
  </w:num>
  <w:num w:numId="1797">
    <w:abstractNumId w:val="991"/>
  </w:num>
  <w:num w:numId="1798">
    <w:abstractNumId w:val="991"/>
  </w:num>
  <w:num w:numId="1799">
    <w:abstractNumId w:val="991"/>
  </w:num>
  <w:num w:numId="1800">
    <w:abstractNumId w:val="991"/>
  </w:num>
  <w:num w:numId="1801">
    <w:abstractNumId w:val="991"/>
  </w:num>
  <w:num w:numId="1802">
    <w:abstractNumId w:val="991"/>
  </w:num>
  <w:num w:numId="1803">
    <w:abstractNumId w:val="991"/>
  </w:num>
  <w:num w:numId="1804">
    <w:abstractNumId w:val="991"/>
  </w:num>
  <w:num w:numId="1805">
    <w:abstractNumId w:val="991"/>
  </w:num>
  <w:num w:numId="1806">
    <w:abstractNumId w:val="991"/>
  </w:num>
  <w:num w:numId="1807">
    <w:abstractNumId w:val="991"/>
  </w:num>
  <w:num w:numId="1808">
    <w:abstractNumId w:val="991"/>
  </w:num>
  <w:num w:numId="1809">
    <w:abstractNumId w:val="991"/>
  </w:num>
  <w:num w:numId="1810">
    <w:abstractNumId w:val="991"/>
  </w:num>
  <w:num w:numId="1811">
    <w:abstractNumId w:val="991"/>
  </w:num>
  <w:num w:numId="1812">
    <w:abstractNumId w:val="991"/>
  </w:num>
  <w:num w:numId="1813">
    <w:abstractNumId w:val="991"/>
  </w:num>
  <w:num w:numId="1814">
    <w:abstractNumId w:val="991"/>
  </w:num>
  <w:num w:numId="1815">
    <w:abstractNumId w:val="991"/>
  </w:num>
  <w:num w:numId="1816">
    <w:abstractNumId w:val="991"/>
  </w:num>
  <w:num w:numId="1817">
    <w:abstractNumId w:val="991"/>
  </w:num>
  <w:num w:numId="1818">
    <w:abstractNumId w:val="991"/>
  </w:num>
  <w:num w:numId="1819">
    <w:abstractNumId w:val="991"/>
  </w:num>
  <w:num w:numId="1820">
    <w:abstractNumId w:val="991"/>
  </w:num>
  <w:num w:numId="1821">
    <w:abstractNumId w:val="991"/>
  </w:num>
  <w:num w:numId="1822">
    <w:abstractNumId w:val="991"/>
  </w:num>
  <w:num w:numId="1823">
    <w:abstractNumId w:val="991"/>
  </w:num>
  <w:num w:numId="1824">
    <w:abstractNumId w:val="991"/>
  </w:num>
  <w:num w:numId="1825">
    <w:abstractNumId w:val="991"/>
  </w:num>
  <w:num w:numId="1826">
    <w:abstractNumId w:val="991"/>
  </w:num>
  <w:num w:numId="1827">
    <w:abstractNumId w:val="991"/>
  </w:num>
  <w:num w:numId="1828">
    <w:abstractNumId w:val="991"/>
  </w:num>
  <w:num w:numId="1829">
    <w:abstractNumId w:val="991"/>
  </w:num>
  <w:num w:numId="1830">
    <w:abstractNumId w:val="991"/>
  </w:num>
  <w:num w:numId="1831">
    <w:abstractNumId w:val="991"/>
  </w:num>
  <w:num w:numId="1832">
    <w:abstractNumId w:val="991"/>
  </w:num>
  <w:num w:numId="1833">
    <w:abstractNumId w:val="991"/>
  </w:num>
  <w:num w:numId="1834">
    <w:abstractNumId w:val="991"/>
  </w:num>
  <w:num w:numId="1835">
    <w:abstractNumId w:val="991"/>
  </w:num>
  <w:num w:numId="1836">
    <w:abstractNumId w:val="991"/>
  </w:num>
  <w:num w:numId="1837">
    <w:abstractNumId w:val="991"/>
  </w:num>
  <w:num w:numId="1838">
    <w:abstractNumId w:val="991"/>
  </w:num>
  <w:num w:numId="1839">
    <w:abstractNumId w:val="991"/>
  </w:num>
  <w:num w:numId="1840">
    <w:abstractNumId w:val="991"/>
  </w:num>
  <w:num w:numId="1841">
    <w:abstractNumId w:val="991"/>
  </w:num>
  <w:num w:numId="1842">
    <w:abstractNumId w:val="991"/>
  </w:num>
  <w:num w:numId="1843">
    <w:abstractNumId w:val="991"/>
  </w:num>
  <w:num w:numId="1844">
    <w:abstractNumId w:val="991"/>
  </w:num>
  <w:num w:numId="1845">
    <w:abstractNumId w:val="991"/>
  </w:num>
  <w:num w:numId="1846">
    <w:abstractNumId w:val="991"/>
  </w:num>
  <w:num w:numId="1847">
    <w:abstractNumId w:val="991"/>
  </w:num>
  <w:num w:numId="1848">
    <w:abstractNumId w:val="991"/>
  </w:num>
  <w:num w:numId="1849">
    <w:abstractNumId w:val="991"/>
  </w:num>
  <w:num w:numId="1850">
    <w:abstractNumId w:val="991"/>
  </w:num>
  <w:num w:numId="1851">
    <w:abstractNumId w:val="991"/>
  </w:num>
  <w:num w:numId="1852">
    <w:abstractNumId w:val="991"/>
  </w:num>
  <w:num w:numId="1853">
    <w:abstractNumId w:val="991"/>
  </w:num>
  <w:num w:numId="1854">
    <w:abstractNumId w:val="991"/>
  </w:num>
  <w:num w:numId="1855">
    <w:abstractNumId w:val="991"/>
  </w:num>
  <w:num w:numId="1856">
    <w:abstractNumId w:val="991"/>
  </w:num>
  <w:num w:numId="1857">
    <w:abstractNumId w:val="991"/>
  </w:num>
  <w:num w:numId="1858">
    <w:abstractNumId w:val="991"/>
  </w:num>
  <w:num w:numId="1859">
    <w:abstractNumId w:val="991"/>
  </w:num>
  <w:num w:numId="1860">
    <w:abstractNumId w:val="991"/>
  </w:num>
  <w:num w:numId="1861">
    <w:abstractNumId w:val="991"/>
  </w:num>
  <w:num w:numId="1862">
    <w:abstractNumId w:val="991"/>
  </w:num>
  <w:num w:numId="1863">
    <w:abstractNumId w:val="991"/>
  </w:num>
  <w:num w:numId="1864">
    <w:abstractNumId w:val="991"/>
  </w:num>
  <w:num w:numId="1865">
    <w:abstractNumId w:val="991"/>
  </w:num>
  <w:num w:numId="1866">
    <w:abstractNumId w:val="991"/>
  </w:num>
  <w:num w:numId="1867">
    <w:abstractNumId w:val="991"/>
  </w:num>
  <w:num w:numId="1868">
    <w:abstractNumId w:val="991"/>
  </w:num>
  <w:num w:numId="1869">
    <w:abstractNumId w:val="991"/>
  </w:num>
  <w:num w:numId="1870">
    <w:abstractNumId w:val="991"/>
  </w:num>
  <w:num w:numId="1871">
    <w:abstractNumId w:val="991"/>
  </w:num>
  <w:num w:numId="1872">
    <w:abstractNumId w:val="991"/>
  </w:num>
  <w:num w:numId="1873">
    <w:abstractNumId w:val="991"/>
  </w:num>
  <w:num w:numId="1874">
    <w:abstractNumId w:val="991"/>
  </w:num>
  <w:num w:numId="1875">
    <w:abstractNumId w:val="991"/>
  </w:num>
  <w:num w:numId="1876">
    <w:abstractNumId w:val="991"/>
  </w:num>
  <w:num w:numId="1877">
    <w:abstractNumId w:val="991"/>
  </w:num>
  <w:num w:numId="1878">
    <w:abstractNumId w:val="991"/>
  </w:num>
  <w:num w:numId="1879">
    <w:abstractNumId w:val="991"/>
  </w:num>
  <w:num w:numId="1880">
    <w:abstractNumId w:val="991"/>
  </w:num>
  <w:num w:numId="1881">
    <w:abstractNumId w:val="991"/>
  </w:num>
  <w:num w:numId="1882">
    <w:abstractNumId w:val="991"/>
  </w:num>
  <w:num w:numId="1883">
    <w:abstractNumId w:val="991"/>
  </w:num>
  <w:num w:numId="1884">
    <w:abstractNumId w:val="991"/>
  </w:num>
  <w:num w:numId="1885">
    <w:abstractNumId w:val="991"/>
  </w:num>
  <w:num w:numId="1886">
    <w:abstractNumId w:val="991"/>
  </w:num>
  <w:num w:numId="1887">
    <w:abstractNumId w:val="991"/>
  </w:num>
  <w:num w:numId="1888">
    <w:abstractNumId w:val="991"/>
  </w:num>
  <w:num w:numId="1889">
    <w:abstractNumId w:val="991"/>
  </w:num>
  <w:num w:numId="1890">
    <w:abstractNumId w:val="991"/>
  </w:num>
  <w:num w:numId="1891">
    <w:abstractNumId w:val="991"/>
  </w:num>
  <w:num w:numId="1892">
    <w:abstractNumId w:val="991"/>
  </w:num>
  <w:num w:numId="1893">
    <w:abstractNumId w:val="991"/>
  </w:num>
  <w:num w:numId="1894">
    <w:abstractNumId w:val="991"/>
  </w:num>
  <w:num w:numId="1895">
    <w:abstractNumId w:val="991"/>
  </w:num>
  <w:num w:numId="1896">
    <w:abstractNumId w:val="991"/>
  </w:num>
  <w:num w:numId="1897">
    <w:abstractNumId w:val="991"/>
  </w:num>
  <w:num w:numId="1898">
    <w:abstractNumId w:val="991"/>
  </w:num>
  <w:num w:numId="1899">
    <w:abstractNumId w:val="991"/>
  </w:num>
  <w:num w:numId="1900">
    <w:abstractNumId w:val="991"/>
  </w:num>
  <w:num w:numId="1901">
    <w:abstractNumId w:val="991"/>
  </w:num>
  <w:num w:numId="1902">
    <w:abstractNumId w:val="991"/>
  </w:num>
  <w:num w:numId="1903">
    <w:abstractNumId w:val="991"/>
  </w:num>
  <w:num w:numId="1904">
    <w:abstractNumId w:val="991"/>
  </w:num>
  <w:num w:numId="1905">
    <w:abstractNumId w:val="991"/>
  </w:num>
  <w:num w:numId="1906">
    <w:abstractNumId w:val="991"/>
  </w:num>
  <w:num w:numId="1907">
    <w:abstractNumId w:val="991"/>
  </w:num>
  <w:num w:numId="1908">
    <w:abstractNumId w:val="991"/>
  </w:num>
  <w:num w:numId="1909">
    <w:abstractNumId w:val="991"/>
  </w:num>
  <w:num w:numId="1910">
    <w:abstractNumId w:val="991"/>
  </w:num>
  <w:num w:numId="1911">
    <w:abstractNumId w:val="991"/>
  </w:num>
  <w:num w:numId="1912">
    <w:abstractNumId w:val="991"/>
  </w:num>
  <w:num w:numId="1913">
    <w:abstractNumId w:val="991"/>
  </w:num>
  <w:num w:numId="1914">
    <w:abstractNumId w:val="991"/>
  </w:num>
  <w:num w:numId="1915">
    <w:abstractNumId w:val="991"/>
  </w:num>
  <w:num w:numId="1916">
    <w:abstractNumId w:val="991"/>
  </w:num>
  <w:num w:numId="1917">
    <w:abstractNumId w:val="991"/>
  </w:num>
  <w:num w:numId="1918">
    <w:abstractNumId w:val="991"/>
  </w:num>
  <w:num w:numId="1919">
    <w:abstractNumId w:val="991"/>
  </w:num>
  <w:num w:numId="1920">
    <w:abstractNumId w:val="991"/>
  </w:num>
  <w:num w:numId="1921">
    <w:abstractNumId w:val="991"/>
  </w:num>
  <w:num w:numId="1922">
    <w:abstractNumId w:val="991"/>
  </w:num>
  <w:num w:numId="1923">
    <w:abstractNumId w:val="991"/>
  </w:num>
  <w:num w:numId="1924">
    <w:abstractNumId w:val="991"/>
  </w:num>
  <w:num w:numId="1925">
    <w:abstractNumId w:val="991"/>
  </w:num>
  <w:num w:numId="1926">
    <w:abstractNumId w:val="991"/>
  </w:num>
  <w:num w:numId="1927">
    <w:abstractNumId w:val="991"/>
  </w:num>
  <w:num w:numId="1928">
    <w:abstractNumId w:val="991"/>
  </w:num>
  <w:num w:numId="1929">
    <w:abstractNumId w:val="991"/>
  </w:num>
  <w:num w:numId="1930">
    <w:abstractNumId w:val="991"/>
  </w:num>
  <w:num w:numId="1931">
    <w:abstractNumId w:val="991"/>
  </w:num>
  <w:num w:numId="1932">
    <w:abstractNumId w:val="991"/>
  </w:num>
  <w:num w:numId="1933">
    <w:abstractNumId w:val="991"/>
  </w:num>
  <w:num w:numId="1934">
    <w:abstractNumId w:val="991"/>
  </w:num>
  <w:num w:numId="1935">
    <w:abstractNumId w:val="991"/>
  </w:num>
  <w:num w:numId="1936">
    <w:abstractNumId w:val="991"/>
  </w:num>
  <w:num w:numId="1937">
    <w:abstractNumId w:val="991"/>
  </w:num>
  <w:num w:numId="1938">
    <w:abstractNumId w:val="991"/>
  </w:num>
  <w:num w:numId="1939">
    <w:abstractNumId w:val="991"/>
  </w:num>
  <w:num w:numId="1940">
    <w:abstractNumId w:val="991"/>
  </w:num>
  <w:num w:numId="1941">
    <w:abstractNumId w:val="991"/>
  </w:num>
  <w:num w:numId="1942">
    <w:abstractNumId w:val="991"/>
  </w:num>
  <w:num w:numId="1943">
    <w:abstractNumId w:val="991"/>
  </w:num>
  <w:num w:numId="1944">
    <w:abstractNumId w:val="991"/>
  </w:num>
  <w:num w:numId="1945">
    <w:abstractNumId w:val="991"/>
  </w:num>
  <w:num w:numId="1946">
    <w:abstractNumId w:val="991"/>
  </w:num>
  <w:num w:numId="1947">
    <w:abstractNumId w:val="991"/>
  </w:num>
  <w:num w:numId="1948">
    <w:abstractNumId w:val="991"/>
  </w:num>
  <w:num w:numId="1949">
    <w:abstractNumId w:val="991"/>
  </w:num>
  <w:num w:numId="1950">
    <w:abstractNumId w:val="991"/>
  </w:num>
  <w:num w:numId="1951">
    <w:abstractNumId w:val="991"/>
  </w:num>
  <w:num w:numId="1952">
    <w:abstractNumId w:val="991"/>
  </w:num>
  <w:num w:numId="1953">
    <w:abstractNumId w:val="991"/>
  </w:num>
  <w:num w:numId="1954">
    <w:abstractNumId w:val="991"/>
  </w:num>
  <w:num w:numId="1955">
    <w:abstractNumId w:val="991"/>
  </w:num>
  <w:num w:numId="1956">
    <w:abstractNumId w:val="991"/>
  </w:num>
  <w:num w:numId="1957">
    <w:abstractNumId w:val="991"/>
  </w:num>
  <w:num w:numId="1958">
    <w:abstractNumId w:val="991"/>
  </w:num>
  <w:num w:numId="1959">
    <w:abstractNumId w:val="991"/>
  </w:num>
  <w:num w:numId="1960">
    <w:abstractNumId w:val="991"/>
  </w:num>
  <w:num w:numId="1961">
    <w:abstractNumId w:val="991"/>
  </w:num>
  <w:num w:numId="1962">
    <w:abstractNumId w:val="991"/>
  </w:num>
  <w:num w:numId="1963">
    <w:abstractNumId w:val="991"/>
  </w:num>
  <w:num w:numId="1964">
    <w:abstractNumId w:val="991"/>
  </w:num>
  <w:num w:numId="1965">
    <w:abstractNumId w:val="991"/>
  </w:num>
  <w:num w:numId="1966">
    <w:abstractNumId w:val="991"/>
  </w:num>
  <w:num w:numId="1967">
    <w:abstractNumId w:val="991"/>
  </w:num>
  <w:num w:numId="1968">
    <w:abstractNumId w:val="991"/>
  </w:num>
  <w:num w:numId="1969">
    <w:abstractNumId w:val="991"/>
  </w:num>
  <w:num w:numId="1970">
    <w:abstractNumId w:val="991"/>
  </w:num>
  <w:num w:numId="1971">
    <w:abstractNumId w:val="991"/>
  </w:num>
  <w:num w:numId="1972">
    <w:abstractNumId w:val="991"/>
  </w:num>
  <w:num w:numId="1973">
    <w:abstractNumId w:val="991"/>
  </w:num>
  <w:num w:numId="1974">
    <w:abstractNumId w:val="991"/>
  </w:num>
  <w:num w:numId="1975">
    <w:abstractNumId w:val="991"/>
  </w:num>
  <w:num w:numId="1976">
    <w:abstractNumId w:val="991"/>
  </w:num>
  <w:num w:numId="1977">
    <w:abstractNumId w:val="991"/>
  </w:num>
  <w:num w:numId="1978">
    <w:abstractNumId w:val="991"/>
  </w:num>
  <w:num w:numId="1979">
    <w:abstractNumId w:val="991"/>
  </w:num>
  <w:num w:numId="1980">
    <w:abstractNumId w:val="991"/>
  </w:num>
  <w:num w:numId="1981">
    <w:abstractNumId w:val="991"/>
  </w:num>
  <w:num w:numId="1982">
    <w:abstractNumId w:val="991"/>
  </w:num>
  <w:num w:numId="1983">
    <w:abstractNumId w:val="991"/>
  </w:num>
  <w:num w:numId="1984">
    <w:abstractNumId w:val="991"/>
  </w:num>
  <w:num w:numId="1985">
    <w:abstractNumId w:val="991"/>
  </w:num>
  <w:num w:numId="1986">
    <w:abstractNumId w:val="991"/>
  </w:num>
  <w:num w:numId="1987">
    <w:abstractNumId w:val="991"/>
  </w:num>
  <w:num w:numId="1988">
    <w:abstractNumId w:val="991"/>
  </w:num>
  <w:num w:numId="1989">
    <w:abstractNumId w:val="991"/>
  </w:num>
  <w:num w:numId="1990">
    <w:abstractNumId w:val="991"/>
  </w:num>
  <w:num w:numId="1991">
    <w:abstractNumId w:val="991"/>
  </w:num>
  <w:num w:numId="1992">
    <w:abstractNumId w:val="991"/>
  </w:num>
  <w:num w:numId="1993">
    <w:abstractNumId w:val="991"/>
  </w:num>
  <w:num w:numId="1994">
    <w:abstractNumId w:val="991"/>
  </w:num>
  <w:num w:numId="1995">
    <w:abstractNumId w:val="991"/>
  </w:num>
  <w:num w:numId="1996">
    <w:abstractNumId w:val="991"/>
  </w:num>
  <w:num w:numId="1997">
    <w:abstractNumId w:val="991"/>
  </w:num>
  <w:num w:numId="1998">
    <w:abstractNumId w:val="991"/>
  </w:num>
  <w:num w:numId="1999">
    <w:abstractNumId w:val="991"/>
  </w:num>
  <w:num w:numId="2000">
    <w:abstractNumId w:val="991"/>
  </w:num>
  <w:num w:numId="2001">
    <w:abstractNumId w:val="991"/>
  </w:num>
  <w:num w:numId="2002">
    <w:abstractNumId w:val="991"/>
  </w:num>
  <w:num w:numId="2003">
    <w:abstractNumId w:val="991"/>
  </w:num>
  <w:num w:numId="2004">
    <w:abstractNumId w:val="991"/>
  </w:num>
  <w:num w:numId="2005">
    <w:abstractNumId w:val="991"/>
  </w:num>
  <w:num w:numId="2006">
    <w:abstractNumId w:val="991"/>
  </w:num>
  <w:num w:numId="2007">
    <w:abstractNumId w:val="991"/>
  </w:num>
  <w:num w:numId="2008">
    <w:abstractNumId w:val="991"/>
  </w:num>
  <w:num w:numId="2009">
    <w:abstractNumId w:val="991"/>
  </w:num>
  <w:num w:numId="2010">
    <w:abstractNumId w:val="991"/>
  </w:num>
  <w:num w:numId="2011">
    <w:abstractNumId w:val="991"/>
  </w:num>
  <w:num w:numId="2012">
    <w:abstractNumId w:val="991"/>
  </w:num>
  <w:num w:numId="2013">
    <w:abstractNumId w:val="991"/>
  </w:num>
  <w:num w:numId="2014">
    <w:abstractNumId w:val="991"/>
  </w:num>
  <w:num w:numId="2015">
    <w:abstractNumId w:val="991"/>
  </w:num>
  <w:num w:numId="2016">
    <w:abstractNumId w:val="991"/>
  </w:num>
  <w:num w:numId="2017">
    <w:abstractNumId w:val="991"/>
  </w:num>
  <w:num w:numId="2018">
    <w:abstractNumId w:val="991"/>
  </w:num>
  <w:num w:numId="2019">
    <w:abstractNumId w:val="991"/>
  </w:num>
  <w:num w:numId="2020">
    <w:abstractNumId w:val="991"/>
  </w:num>
  <w:num w:numId="2021">
    <w:abstractNumId w:val="991"/>
  </w:num>
  <w:num w:numId="2022">
    <w:abstractNumId w:val="991"/>
  </w:num>
  <w:num w:numId="2023">
    <w:abstractNumId w:val="991"/>
  </w:num>
  <w:num w:numId="2024">
    <w:abstractNumId w:val="991"/>
  </w:num>
  <w:num w:numId="2025">
    <w:abstractNumId w:val="991"/>
  </w:num>
  <w:num w:numId="2026">
    <w:abstractNumId w:val="991"/>
  </w:num>
  <w:num w:numId="2027">
    <w:abstractNumId w:val="991"/>
  </w:num>
  <w:num w:numId="2028">
    <w:abstractNumId w:val="991"/>
  </w:num>
  <w:num w:numId="2029">
    <w:abstractNumId w:val="991"/>
  </w:num>
  <w:num w:numId="2030">
    <w:abstractNumId w:val="991"/>
  </w:num>
  <w:num w:numId="2031">
    <w:abstractNumId w:val="991"/>
  </w:num>
  <w:num w:numId="2032">
    <w:abstractNumId w:val="991"/>
  </w:num>
  <w:num w:numId="2033">
    <w:abstractNumId w:val="991"/>
  </w:num>
  <w:num w:numId="2034">
    <w:abstractNumId w:val="991"/>
  </w:num>
  <w:num w:numId="2035">
    <w:abstractNumId w:val="991"/>
  </w:num>
  <w:num w:numId="2036">
    <w:abstractNumId w:val="991"/>
  </w:num>
  <w:num w:numId="2037">
    <w:abstractNumId w:val="991"/>
  </w:num>
  <w:num w:numId="2038">
    <w:abstractNumId w:val="991"/>
  </w:num>
  <w:num w:numId="2039">
    <w:abstractNumId w:val="991"/>
  </w:num>
  <w:num w:numId="2040">
    <w:abstractNumId w:val="991"/>
  </w:num>
  <w:num w:numId="2041">
    <w:abstractNumId w:val="991"/>
  </w:num>
  <w:num w:numId="2042">
    <w:abstractNumId w:val="991"/>
  </w:num>
  <w:num w:numId="2043">
    <w:abstractNumId w:val="991"/>
  </w:num>
  <w:num w:numId="2044">
    <w:abstractNumId w:val="991"/>
  </w:num>
  <w:num w:numId="2045">
    <w:abstractNumId w:val="991"/>
  </w:num>
  <w:num w:numId="2046">
    <w:abstractNumId w:val="991"/>
  </w:num>
  <w:num w:numId="2047">
    <w:abstractNumId w:val="991"/>
  </w:num>
  <w:num w:numId="2048">
    <w:abstractNumId w:val="991"/>
  </w:num>
  <w:num w:numId="2049">
    <w:abstractNumId w:val="991"/>
  </w:num>
  <w:num w:numId="2050">
    <w:abstractNumId w:val="991"/>
  </w:num>
  <w:num w:numId="2051">
    <w:abstractNumId w:val="991"/>
  </w:num>
  <w:num w:numId="2052">
    <w:abstractNumId w:val="991"/>
  </w:num>
  <w:num w:numId="2053">
    <w:abstractNumId w:val="991"/>
  </w:num>
  <w:num w:numId="2054">
    <w:abstractNumId w:val="991"/>
  </w:num>
  <w:num w:numId="2055">
    <w:abstractNumId w:val="991"/>
  </w:num>
  <w:num w:numId="2056">
    <w:abstractNumId w:val="991"/>
  </w:num>
  <w:num w:numId="2057">
    <w:abstractNumId w:val="991"/>
  </w:num>
  <w:num w:numId="2058">
    <w:abstractNumId w:val="991"/>
  </w:num>
  <w:num w:numId="2059">
    <w:abstractNumId w:val="991"/>
  </w:num>
  <w:num w:numId="2060">
    <w:abstractNumId w:val="991"/>
  </w:num>
  <w:num w:numId="2061">
    <w:abstractNumId w:val="991"/>
  </w:num>
  <w:num w:numId="2062">
    <w:abstractNumId w:val="991"/>
  </w:num>
  <w:num w:numId="2063">
    <w:abstractNumId w:val="991"/>
  </w:num>
  <w:num w:numId="2064">
    <w:abstractNumId w:val="991"/>
  </w:num>
  <w:num w:numId="2065">
    <w:abstractNumId w:val="991"/>
  </w:num>
  <w:num w:numId="2066">
    <w:abstractNumId w:val="991"/>
  </w:num>
  <w:num w:numId="2067">
    <w:abstractNumId w:val="991"/>
  </w:num>
  <w:num w:numId="2068">
    <w:abstractNumId w:val="991"/>
  </w:num>
  <w:num w:numId="2069">
    <w:abstractNumId w:val="991"/>
  </w:num>
  <w:num w:numId="2070">
    <w:abstractNumId w:val="991"/>
  </w:num>
  <w:num w:numId="2071">
    <w:abstractNumId w:val="991"/>
  </w:num>
  <w:num w:numId="2072">
    <w:abstractNumId w:val="991"/>
  </w:num>
  <w:num w:numId="2073">
    <w:abstractNumId w:val="991"/>
  </w:num>
  <w:num w:numId="2074">
    <w:abstractNumId w:val="991"/>
  </w:num>
  <w:num w:numId="2075">
    <w:abstractNumId w:val="991"/>
  </w:num>
  <w:num w:numId="2076">
    <w:abstractNumId w:val="991"/>
  </w:num>
  <w:num w:numId="2077">
    <w:abstractNumId w:val="991"/>
  </w:num>
  <w:num w:numId="2078">
    <w:abstractNumId w:val="991"/>
  </w:num>
  <w:num w:numId="2079">
    <w:abstractNumId w:val="991"/>
  </w:num>
  <w:num w:numId="2080">
    <w:abstractNumId w:val="991"/>
  </w:num>
  <w:num w:numId="2081">
    <w:abstractNumId w:val="991"/>
  </w:num>
  <w:num w:numId="2082">
    <w:abstractNumId w:val="991"/>
  </w:num>
  <w:num w:numId="2083">
    <w:abstractNumId w:val="991"/>
  </w:num>
  <w:num w:numId="2084">
    <w:abstractNumId w:val="991"/>
  </w:num>
  <w:num w:numId="2085">
    <w:abstractNumId w:val="991"/>
  </w:num>
  <w:num w:numId="2086">
    <w:abstractNumId w:val="991"/>
  </w:num>
  <w:num w:numId="2087">
    <w:abstractNumId w:val="991"/>
  </w:num>
  <w:num w:numId="2088">
    <w:abstractNumId w:val="991"/>
  </w:num>
  <w:num w:numId="2089">
    <w:abstractNumId w:val="991"/>
  </w:num>
  <w:num w:numId="2090">
    <w:abstractNumId w:val="991"/>
  </w:num>
  <w:num w:numId="2091">
    <w:abstractNumId w:val="991"/>
  </w:num>
  <w:num w:numId="2092">
    <w:abstractNumId w:val="991"/>
  </w:num>
  <w:num w:numId="2093">
    <w:abstractNumId w:val="991"/>
  </w:num>
  <w:num w:numId="2094">
    <w:abstractNumId w:val="991"/>
  </w:num>
  <w:num w:numId="2095">
    <w:abstractNumId w:val="991"/>
  </w:num>
  <w:num w:numId="2096">
    <w:abstractNumId w:val="991"/>
  </w:num>
  <w:num w:numId="2097">
    <w:abstractNumId w:val="991"/>
  </w:num>
  <w:num w:numId="2098">
    <w:abstractNumId w:val="991"/>
  </w:num>
  <w:num w:numId="2099">
    <w:abstractNumId w:val="991"/>
  </w:num>
  <w:num w:numId="2100">
    <w:abstractNumId w:val="991"/>
  </w:num>
  <w:num w:numId="2101">
    <w:abstractNumId w:val="991"/>
  </w:num>
  <w:num w:numId="2102">
    <w:abstractNumId w:val="991"/>
  </w:num>
  <w:num w:numId="2103">
    <w:abstractNumId w:val="991"/>
  </w:num>
  <w:num w:numId="2104">
    <w:abstractNumId w:val="991"/>
  </w:num>
  <w:num w:numId="2105">
    <w:abstractNumId w:val="991"/>
  </w:num>
  <w:num w:numId="2106">
    <w:abstractNumId w:val="991"/>
  </w:num>
  <w:num w:numId="2107">
    <w:abstractNumId w:val="991"/>
  </w:num>
  <w:num w:numId="2108">
    <w:abstractNumId w:val="991"/>
  </w:num>
  <w:num w:numId="2109">
    <w:abstractNumId w:val="991"/>
  </w:num>
  <w:num w:numId="2110">
    <w:abstractNumId w:val="991"/>
  </w:num>
  <w:num w:numId="2111">
    <w:abstractNumId w:val="991"/>
  </w:num>
  <w:num w:numId="2112">
    <w:abstractNumId w:val="991"/>
  </w:num>
  <w:num w:numId="2113">
    <w:abstractNumId w:val="991"/>
  </w:num>
  <w:num w:numId="2114">
    <w:abstractNumId w:val="991"/>
  </w:num>
  <w:num w:numId="2115">
    <w:abstractNumId w:val="991"/>
  </w:num>
  <w:num w:numId="2116">
    <w:abstractNumId w:val="991"/>
  </w:num>
  <w:num w:numId="2117">
    <w:abstractNumId w:val="991"/>
  </w:num>
  <w:num w:numId="2118">
    <w:abstractNumId w:val="991"/>
  </w:num>
  <w:num w:numId="2119">
    <w:abstractNumId w:val="991"/>
  </w:num>
  <w:num w:numId="2120">
    <w:abstractNumId w:val="991"/>
  </w:num>
  <w:num w:numId="2121">
    <w:abstractNumId w:val="991"/>
  </w:num>
  <w:num w:numId="2122">
    <w:abstractNumId w:val="991"/>
  </w:num>
  <w:num w:numId="2123">
    <w:abstractNumId w:val="991"/>
  </w:num>
  <w:num w:numId="2124">
    <w:abstractNumId w:val="991"/>
  </w:num>
  <w:num w:numId="2125">
    <w:abstractNumId w:val="991"/>
  </w:num>
  <w:num w:numId="2126">
    <w:abstractNumId w:val="991"/>
  </w:num>
  <w:num w:numId="2127">
    <w:abstractNumId w:val="991"/>
  </w:num>
  <w:num w:numId="2128">
    <w:abstractNumId w:val="991"/>
  </w:num>
  <w:num w:numId="2129">
    <w:abstractNumId w:val="991"/>
  </w:num>
  <w:num w:numId="2130">
    <w:abstractNumId w:val="991"/>
  </w:num>
  <w:num w:numId="2131">
    <w:abstractNumId w:val="991"/>
  </w:num>
  <w:num w:numId="2132">
    <w:abstractNumId w:val="991"/>
  </w:num>
  <w:num w:numId="2133">
    <w:abstractNumId w:val="991"/>
  </w:num>
  <w:num w:numId="2134">
    <w:abstractNumId w:val="991"/>
  </w:num>
  <w:num w:numId="2135">
    <w:abstractNumId w:val="991"/>
  </w:num>
  <w:num w:numId="2136">
    <w:abstractNumId w:val="991"/>
  </w:num>
  <w:num w:numId="2137">
    <w:abstractNumId w:val="991"/>
  </w:num>
  <w:num w:numId="2138">
    <w:abstractNumId w:val="991"/>
  </w:num>
  <w:num w:numId="2139">
    <w:abstractNumId w:val="991"/>
  </w:num>
  <w:num w:numId="2140">
    <w:abstractNumId w:val="991"/>
  </w:num>
  <w:num w:numId="2141">
    <w:abstractNumId w:val="991"/>
  </w:num>
  <w:num w:numId="2142">
    <w:abstractNumId w:val="991"/>
  </w:num>
  <w:num w:numId="2143">
    <w:abstractNumId w:val="991"/>
  </w:num>
  <w:num w:numId="2144">
    <w:abstractNumId w:val="991"/>
  </w:num>
  <w:num w:numId="2145">
    <w:abstractNumId w:val="991"/>
  </w:num>
  <w:num w:numId="2146">
    <w:abstractNumId w:val="991"/>
  </w:num>
  <w:num w:numId="2147">
    <w:abstractNumId w:val="991"/>
  </w:num>
  <w:num w:numId="2148">
    <w:abstractNumId w:val="991"/>
  </w:num>
  <w:num w:numId="2149">
    <w:abstractNumId w:val="991"/>
  </w:num>
  <w:num w:numId="2150">
    <w:abstractNumId w:val="991"/>
  </w:num>
  <w:num w:numId="2151">
    <w:abstractNumId w:val="991"/>
  </w:num>
  <w:num w:numId="2152">
    <w:abstractNumId w:val="991"/>
  </w:num>
  <w:num w:numId="2153">
    <w:abstractNumId w:val="991"/>
  </w:num>
  <w:num w:numId="2154">
    <w:abstractNumId w:val="991"/>
  </w:num>
  <w:num w:numId="2155">
    <w:abstractNumId w:val="991"/>
  </w:num>
  <w:num w:numId="2156">
    <w:abstractNumId w:val="991"/>
  </w:num>
  <w:num w:numId="2157">
    <w:abstractNumId w:val="991"/>
  </w:num>
  <w:num w:numId="2158">
    <w:abstractNumId w:val="991"/>
  </w:num>
  <w:num w:numId="2159">
    <w:abstractNumId w:val="991"/>
  </w:num>
  <w:num w:numId="2160">
    <w:abstractNumId w:val="991"/>
  </w:num>
  <w:num w:numId="2161">
    <w:abstractNumId w:val="991"/>
  </w:num>
  <w:num w:numId="2162">
    <w:abstractNumId w:val="991"/>
  </w:num>
  <w:num w:numId="2163">
    <w:abstractNumId w:val="991"/>
  </w:num>
  <w:num w:numId="2164">
    <w:abstractNumId w:val="991"/>
  </w:num>
  <w:num w:numId="2165">
    <w:abstractNumId w:val="991"/>
  </w:num>
  <w:num w:numId="2166">
    <w:abstractNumId w:val="991"/>
  </w:num>
  <w:num w:numId="2167">
    <w:abstractNumId w:val="991"/>
  </w:num>
  <w:num w:numId="2168">
    <w:abstractNumId w:val="991"/>
  </w:num>
  <w:num w:numId="2169">
    <w:abstractNumId w:val="991"/>
  </w:num>
  <w:num w:numId="2170">
    <w:abstractNumId w:val="991"/>
  </w:num>
  <w:num w:numId="2171">
    <w:abstractNumId w:val="991"/>
  </w:num>
  <w:num w:numId="2172">
    <w:abstractNumId w:val="991"/>
  </w:num>
  <w:num w:numId="2173">
    <w:abstractNumId w:val="991"/>
  </w:num>
  <w:num w:numId="2174">
    <w:abstractNumId w:val="991"/>
  </w:num>
  <w:num w:numId="2175">
    <w:abstractNumId w:val="991"/>
  </w:num>
  <w:num w:numId="2176">
    <w:abstractNumId w:val="991"/>
  </w:num>
  <w:num w:numId="2177">
    <w:abstractNumId w:val="991"/>
  </w:num>
  <w:num w:numId="2178">
    <w:abstractNumId w:val="991"/>
  </w:num>
  <w:num w:numId="2179">
    <w:abstractNumId w:val="991"/>
  </w:num>
  <w:num w:numId="2180">
    <w:abstractNumId w:val="991"/>
  </w:num>
  <w:num w:numId="2181">
    <w:abstractNumId w:val="991"/>
  </w:num>
  <w:num w:numId="2182">
    <w:abstractNumId w:val="991"/>
  </w:num>
  <w:num w:numId="2183">
    <w:abstractNumId w:val="991"/>
  </w:num>
  <w:num w:numId="2184">
    <w:abstractNumId w:val="991"/>
  </w:num>
  <w:num w:numId="2185">
    <w:abstractNumId w:val="991"/>
  </w:num>
  <w:num w:numId="2186">
    <w:abstractNumId w:val="991"/>
  </w:num>
  <w:num w:numId="2187">
    <w:abstractNumId w:val="991"/>
  </w:num>
  <w:num w:numId="2188">
    <w:abstractNumId w:val="991"/>
  </w:num>
  <w:num w:numId="2189">
    <w:abstractNumId w:val="991"/>
  </w:num>
  <w:num w:numId="2190">
    <w:abstractNumId w:val="991"/>
  </w:num>
  <w:num w:numId="2191">
    <w:abstractNumId w:val="991"/>
  </w:num>
  <w:num w:numId="2192">
    <w:abstractNumId w:val="991"/>
  </w:num>
  <w:num w:numId="2193">
    <w:abstractNumId w:val="991"/>
  </w:num>
  <w:num w:numId="2194">
    <w:abstractNumId w:val="991"/>
  </w:num>
  <w:num w:numId="2195">
    <w:abstractNumId w:val="991"/>
  </w:num>
  <w:num w:numId="2196">
    <w:abstractNumId w:val="991"/>
  </w:num>
  <w:num w:numId="2197">
    <w:abstractNumId w:val="991"/>
  </w:num>
  <w:num w:numId="2198">
    <w:abstractNumId w:val="991"/>
  </w:num>
  <w:num w:numId="2199">
    <w:abstractNumId w:val="991"/>
  </w:num>
  <w:num w:numId="2200">
    <w:abstractNumId w:val="991"/>
  </w:num>
  <w:num w:numId="2201">
    <w:abstractNumId w:val="991"/>
  </w:num>
  <w:num w:numId="2202">
    <w:abstractNumId w:val="991"/>
  </w:num>
  <w:num w:numId="2203">
    <w:abstractNumId w:val="991"/>
  </w:num>
  <w:num w:numId="2204">
    <w:abstractNumId w:val="991"/>
  </w:num>
  <w:num w:numId="2205">
    <w:abstractNumId w:val="991"/>
  </w:num>
  <w:num w:numId="2206">
    <w:abstractNumId w:val="991"/>
  </w:num>
  <w:num w:numId="2207">
    <w:abstractNumId w:val="991"/>
  </w:num>
  <w:num w:numId="2208">
    <w:abstractNumId w:val="991"/>
  </w:num>
  <w:num w:numId="2209">
    <w:abstractNumId w:val="991"/>
  </w:num>
  <w:num w:numId="2210">
    <w:abstractNumId w:val="991"/>
  </w:num>
  <w:num w:numId="2211">
    <w:abstractNumId w:val="991"/>
  </w:num>
  <w:num w:numId="2212">
    <w:abstractNumId w:val="991"/>
  </w:num>
  <w:num w:numId="2213">
    <w:abstractNumId w:val="991"/>
  </w:num>
  <w:num w:numId="2214">
    <w:abstractNumId w:val="991"/>
  </w:num>
  <w:num w:numId="2215">
    <w:abstractNumId w:val="991"/>
  </w:num>
  <w:num w:numId="2216">
    <w:abstractNumId w:val="991"/>
  </w:num>
  <w:num w:numId="2217">
    <w:abstractNumId w:val="991"/>
  </w:num>
  <w:num w:numId="2218">
    <w:abstractNumId w:val="991"/>
  </w:num>
  <w:num w:numId="2219">
    <w:abstractNumId w:val="991"/>
  </w:num>
  <w:num w:numId="2220">
    <w:abstractNumId w:val="991"/>
  </w:num>
  <w:num w:numId="2221">
    <w:abstractNumId w:val="991"/>
  </w:num>
  <w:num w:numId="2222">
    <w:abstractNumId w:val="991"/>
  </w:num>
  <w:num w:numId="2223">
    <w:abstractNumId w:val="991"/>
  </w:num>
  <w:num w:numId="2224">
    <w:abstractNumId w:val="991"/>
  </w:num>
  <w:num w:numId="2225">
    <w:abstractNumId w:val="991"/>
  </w:num>
  <w:num w:numId="2226">
    <w:abstractNumId w:val="991"/>
  </w:num>
  <w:num w:numId="2227">
    <w:abstractNumId w:val="991"/>
  </w:num>
  <w:num w:numId="2228">
    <w:abstractNumId w:val="991"/>
  </w:num>
  <w:num w:numId="2229">
    <w:abstractNumId w:val="991"/>
  </w:num>
  <w:num w:numId="2230">
    <w:abstractNumId w:val="991"/>
  </w:num>
  <w:num w:numId="2231">
    <w:abstractNumId w:val="991"/>
  </w:num>
  <w:num w:numId="2232">
    <w:abstractNumId w:val="991"/>
  </w:num>
  <w:num w:numId="2233">
    <w:abstractNumId w:val="991"/>
  </w:num>
  <w:num w:numId="2234">
    <w:abstractNumId w:val="991"/>
  </w:num>
  <w:num w:numId="2235">
    <w:abstractNumId w:val="991"/>
  </w:num>
  <w:num w:numId="2236">
    <w:abstractNumId w:val="991"/>
  </w:num>
  <w:num w:numId="2237">
    <w:abstractNumId w:val="991"/>
  </w:num>
  <w:num w:numId="2238">
    <w:abstractNumId w:val="991"/>
  </w:num>
  <w:num w:numId="2239">
    <w:abstractNumId w:val="991"/>
  </w:num>
  <w:num w:numId="2240">
    <w:abstractNumId w:val="991"/>
  </w:num>
  <w:num w:numId="2241">
    <w:abstractNumId w:val="991"/>
  </w:num>
  <w:num w:numId="2242">
    <w:abstractNumId w:val="991"/>
  </w:num>
  <w:num w:numId="2243">
    <w:abstractNumId w:val="991"/>
  </w:num>
  <w:num w:numId="2244">
    <w:abstractNumId w:val="991"/>
  </w:num>
  <w:num w:numId="2245">
    <w:abstractNumId w:val="991"/>
  </w:num>
  <w:num w:numId="2246">
    <w:abstractNumId w:val="991"/>
  </w:num>
  <w:num w:numId="2247">
    <w:abstractNumId w:val="991"/>
  </w:num>
  <w:num w:numId="2248">
    <w:abstractNumId w:val="991"/>
  </w:num>
  <w:num w:numId="2249">
    <w:abstractNumId w:val="991"/>
  </w:num>
  <w:num w:numId="2250">
    <w:abstractNumId w:val="991"/>
  </w:num>
  <w:num w:numId="2251">
    <w:abstractNumId w:val="991"/>
  </w:num>
  <w:num w:numId="2252">
    <w:abstractNumId w:val="991"/>
  </w:num>
  <w:num w:numId="2253">
    <w:abstractNumId w:val="991"/>
  </w:num>
  <w:num w:numId="2254">
    <w:abstractNumId w:val="991"/>
  </w:num>
  <w:num w:numId="2255">
    <w:abstractNumId w:val="991"/>
  </w:num>
  <w:num w:numId="2256">
    <w:abstractNumId w:val="991"/>
  </w:num>
  <w:num w:numId="2257">
    <w:abstractNumId w:val="991"/>
  </w:num>
  <w:num w:numId="2258">
    <w:abstractNumId w:val="991"/>
  </w:num>
  <w:num w:numId="2259">
    <w:abstractNumId w:val="991"/>
  </w:num>
  <w:num w:numId="2260">
    <w:abstractNumId w:val="991"/>
  </w:num>
  <w:num w:numId="2261">
    <w:abstractNumId w:val="991"/>
  </w:num>
  <w:num w:numId="2262">
    <w:abstractNumId w:val="991"/>
  </w:num>
  <w:num w:numId="2263">
    <w:abstractNumId w:val="991"/>
  </w:num>
  <w:num w:numId="2264">
    <w:abstractNumId w:val="991"/>
  </w:num>
  <w:num w:numId="2265">
    <w:abstractNumId w:val="991"/>
  </w:num>
  <w:num w:numId="2266">
    <w:abstractNumId w:val="991"/>
  </w:num>
  <w:num w:numId="2267">
    <w:abstractNumId w:val="991"/>
  </w:num>
  <w:num w:numId="2268">
    <w:abstractNumId w:val="991"/>
  </w:num>
  <w:num w:numId="2269">
    <w:abstractNumId w:val="991"/>
  </w:num>
  <w:num w:numId="2270">
    <w:abstractNumId w:val="991"/>
  </w:num>
  <w:num w:numId="2271">
    <w:abstractNumId w:val="991"/>
  </w:num>
  <w:num w:numId="2272">
    <w:abstractNumId w:val="991"/>
  </w:num>
  <w:num w:numId="2273">
    <w:abstractNumId w:val="991"/>
  </w:num>
  <w:num w:numId="2274">
    <w:abstractNumId w:val="991"/>
  </w:num>
  <w:num w:numId="2275">
    <w:abstractNumId w:val="991"/>
  </w:num>
  <w:num w:numId="2276">
    <w:abstractNumId w:val="991"/>
  </w:num>
  <w:num w:numId="2277">
    <w:abstractNumId w:val="991"/>
  </w:num>
  <w:num w:numId="2278">
    <w:abstractNumId w:val="991"/>
  </w:num>
  <w:num w:numId="2279">
    <w:abstractNumId w:val="991"/>
  </w:num>
  <w:num w:numId="2280">
    <w:abstractNumId w:val="991"/>
  </w:num>
  <w:num w:numId="2281">
    <w:abstractNumId w:val="991"/>
  </w:num>
  <w:num w:numId="2282">
    <w:abstractNumId w:val="991"/>
  </w:num>
  <w:num w:numId="2283">
    <w:abstractNumId w:val="991"/>
  </w:num>
  <w:num w:numId="2284">
    <w:abstractNumId w:val="991"/>
  </w:num>
  <w:num w:numId="2285">
    <w:abstractNumId w:val="991"/>
  </w:num>
  <w:num w:numId="2286">
    <w:abstractNumId w:val="991"/>
  </w:num>
  <w:num w:numId="2287">
    <w:abstractNumId w:val="991"/>
  </w:num>
  <w:num w:numId="2288">
    <w:abstractNumId w:val="991"/>
  </w:num>
  <w:num w:numId="2289">
    <w:abstractNumId w:val="991"/>
  </w:num>
  <w:num w:numId="2290">
    <w:abstractNumId w:val="991"/>
  </w:num>
  <w:num w:numId="2291">
    <w:abstractNumId w:val="991"/>
  </w:num>
  <w:num w:numId="2292">
    <w:abstractNumId w:val="991"/>
  </w:num>
  <w:num w:numId="2293">
    <w:abstractNumId w:val="991"/>
  </w:num>
  <w:num w:numId="2294">
    <w:abstractNumId w:val="991"/>
  </w:num>
  <w:num w:numId="2295">
    <w:abstractNumId w:val="991"/>
  </w:num>
  <w:num w:numId="2296">
    <w:abstractNumId w:val="991"/>
  </w:num>
  <w:num w:numId="2297">
    <w:abstractNumId w:val="991"/>
  </w:num>
  <w:num w:numId="2298">
    <w:abstractNumId w:val="991"/>
  </w:num>
  <w:num w:numId="2299">
    <w:abstractNumId w:val="991"/>
  </w:num>
  <w:num w:numId="2300">
    <w:abstractNumId w:val="991"/>
  </w:num>
  <w:num w:numId="2301">
    <w:abstractNumId w:val="991"/>
  </w:num>
  <w:num w:numId="2302">
    <w:abstractNumId w:val="991"/>
  </w:num>
  <w:num w:numId="2303">
    <w:abstractNumId w:val="991"/>
  </w:num>
  <w:num w:numId="2304">
    <w:abstractNumId w:val="991"/>
  </w:num>
  <w:num w:numId="2305">
    <w:abstractNumId w:val="991"/>
  </w:num>
  <w:num w:numId="2306">
    <w:abstractNumId w:val="991"/>
  </w:num>
  <w:num w:numId="2307">
    <w:abstractNumId w:val="991"/>
  </w:num>
  <w:num w:numId="2308">
    <w:abstractNumId w:val="991"/>
  </w:num>
  <w:num w:numId="2309">
    <w:abstractNumId w:val="991"/>
  </w:num>
  <w:num w:numId="2310">
    <w:abstractNumId w:val="991"/>
  </w:num>
  <w:num w:numId="2311">
    <w:abstractNumId w:val="991"/>
  </w:num>
  <w:num w:numId="2312">
    <w:abstractNumId w:val="991"/>
  </w:num>
  <w:num w:numId="2313">
    <w:abstractNumId w:val="991"/>
  </w:num>
  <w:num w:numId="2314">
    <w:abstractNumId w:val="991"/>
  </w:num>
  <w:num w:numId="2315">
    <w:abstractNumId w:val="991"/>
  </w:num>
  <w:num w:numId="2316">
    <w:abstractNumId w:val="991"/>
  </w:num>
  <w:num w:numId="2317">
    <w:abstractNumId w:val="991"/>
  </w:num>
  <w:num w:numId="2318">
    <w:abstractNumId w:val="991"/>
  </w:num>
  <w:num w:numId="2319">
    <w:abstractNumId w:val="991"/>
  </w:num>
  <w:num w:numId="2320">
    <w:abstractNumId w:val="991"/>
  </w:num>
  <w:num w:numId="2321">
    <w:abstractNumId w:val="991"/>
  </w:num>
  <w:num w:numId="2322">
    <w:abstractNumId w:val="991"/>
  </w:num>
  <w:num w:numId="2323">
    <w:abstractNumId w:val="991"/>
  </w:num>
  <w:num w:numId="2324">
    <w:abstractNumId w:val="991"/>
  </w:num>
  <w:num w:numId="2325">
    <w:abstractNumId w:val="991"/>
  </w:num>
  <w:num w:numId="2326">
    <w:abstractNumId w:val="991"/>
  </w:num>
  <w:num w:numId="2327">
    <w:abstractNumId w:val="991"/>
  </w:num>
  <w:num w:numId="2328">
    <w:abstractNumId w:val="991"/>
  </w:num>
  <w:num w:numId="2329">
    <w:abstractNumId w:val="991"/>
  </w:num>
  <w:num w:numId="2330">
    <w:abstractNumId w:val="991"/>
  </w:num>
  <w:num w:numId="2331">
    <w:abstractNumId w:val="991"/>
  </w:num>
  <w:num w:numId="2332">
    <w:abstractNumId w:val="991"/>
  </w:num>
  <w:num w:numId="2333">
    <w:abstractNumId w:val="991"/>
  </w:num>
  <w:num w:numId="2334">
    <w:abstractNumId w:val="991"/>
  </w:num>
  <w:num w:numId="2335">
    <w:abstractNumId w:val="991"/>
  </w:num>
  <w:num w:numId="2336">
    <w:abstractNumId w:val="991"/>
  </w:num>
  <w:num w:numId="2337">
    <w:abstractNumId w:val="991"/>
  </w:num>
  <w:num w:numId="2338">
    <w:abstractNumId w:val="991"/>
  </w:num>
  <w:num w:numId="2339">
    <w:abstractNumId w:val="991"/>
  </w:num>
  <w:num w:numId="2340">
    <w:abstractNumId w:val="991"/>
  </w:num>
  <w:num w:numId="2341">
    <w:abstractNumId w:val="991"/>
  </w:num>
  <w:num w:numId="2342">
    <w:abstractNumId w:val="991"/>
  </w:num>
  <w:num w:numId="2343">
    <w:abstractNumId w:val="991"/>
  </w:num>
  <w:num w:numId="2344">
    <w:abstractNumId w:val="991"/>
  </w:num>
  <w:num w:numId="2345">
    <w:abstractNumId w:val="991"/>
  </w:num>
  <w:num w:numId="2346">
    <w:abstractNumId w:val="991"/>
  </w:num>
  <w:num w:numId="2347">
    <w:abstractNumId w:val="991"/>
  </w:num>
  <w:num w:numId="2348">
    <w:abstractNumId w:val="991"/>
  </w:num>
  <w:num w:numId="2349">
    <w:abstractNumId w:val="991"/>
  </w:num>
  <w:num w:numId="2350">
    <w:abstractNumId w:val="991"/>
  </w:num>
  <w:num w:numId="2351">
    <w:abstractNumId w:val="991"/>
  </w:num>
  <w:num w:numId="2352">
    <w:abstractNumId w:val="991"/>
  </w:num>
  <w:num w:numId="2353">
    <w:abstractNumId w:val="991"/>
  </w:num>
  <w:num w:numId="2354">
    <w:abstractNumId w:val="991"/>
  </w:num>
  <w:num w:numId="2355">
    <w:abstractNumId w:val="991"/>
  </w:num>
  <w:num w:numId="2356">
    <w:abstractNumId w:val="991"/>
  </w:num>
  <w:num w:numId="2357">
    <w:abstractNumId w:val="991"/>
  </w:num>
  <w:num w:numId="2358">
    <w:abstractNumId w:val="991"/>
  </w:num>
  <w:num w:numId="2359">
    <w:abstractNumId w:val="991"/>
  </w:num>
  <w:num w:numId="2360">
    <w:abstractNumId w:val="991"/>
  </w:num>
  <w:num w:numId="2361">
    <w:abstractNumId w:val="991"/>
  </w:num>
  <w:num w:numId="2362">
    <w:abstractNumId w:val="991"/>
  </w:num>
  <w:num w:numId="2363">
    <w:abstractNumId w:val="991"/>
  </w:num>
  <w:num w:numId="2364">
    <w:abstractNumId w:val="991"/>
  </w:num>
  <w:num w:numId="2365">
    <w:abstractNumId w:val="991"/>
  </w:num>
  <w:num w:numId="2366">
    <w:abstractNumId w:val="991"/>
  </w:num>
  <w:num w:numId="2367">
    <w:abstractNumId w:val="991"/>
  </w:num>
  <w:num w:numId="2368">
    <w:abstractNumId w:val="991"/>
  </w:num>
  <w:num w:numId="2369">
    <w:abstractNumId w:val="991"/>
  </w:num>
  <w:num w:numId="2370">
    <w:abstractNumId w:val="991"/>
  </w:num>
  <w:num w:numId="2371">
    <w:abstractNumId w:val="991"/>
  </w:num>
  <w:num w:numId="2372">
    <w:abstractNumId w:val="991"/>
  </w:num>
  <w:num w:numId="2373">
    <w:abstractNumId w:val="991"/>
  </w:num>
  <w:num w:numId="2374">
    <w:abstractNumId w:val="991"/>
  </w:num>
  <w:num w:numId="2375">
    <w:abstractNumId w:val="991"/>
  </w:num>
  <w:num w:numId="2376">
    <w:abstractNumId w:val="991"/>
  </w:num>
  <w:num w:numId="2377">
    <w:abstractNumId w:val="991"/>
  </w:num>
  <w:num w:numId="2378">
    <w:abstractNumId w:val="991"/>
  </w:num>
  <w:num w:numId="2379">
    <w:abstractNumId w:val="991"/>
  </w:num>
  <w:num w:numId="2380">
    <w:abstractNumId w:val="991"/>
  </w:num>
  <w:num w:numId="2381">
    <w:abstractNumId w:val="991"/>
  </w:num>
  <w:num w:numId="2382">
    <w:abstractNumId w:val="991"/>
  </w:num>
  <w:num w:numId="2383">
    <w:abstractNumId w:val="991"/>
  </w:num>
  <w:num w:numId="2384">
    <w:abstractNumId w:val="991"/>
  </w:num>
  <w:num w:numId="2385">
    <w:abstractNumId w:val="991"/>
  </w:num>
  <w:num w:numId="2386">
    <w:abstractNumId w:val="991"/>
  </w:num>
  <w:num w:numId="2387">
    <w:abstractNumId w:val="991"/>
  </w:num>
  <w:num w:numId="2388">
    <w:abstractNumId w:val="991"/>
  </w:num>
  <w:num w:numId="2389">
    <w:abstractNumId w:val="991"/>
  </w:num>
  <w:num w:numId="2390">
    <w:abstractNumId w:val="991"/>
  </w:num>
  <w:num w:numId="2391">
    <w:abstractNumId w:val="991"/>
  </w:num>
  <w:num w:numId="2392">
    <w:abstractNumId w:val="991"/>
  </w:num>
  <w:num w:numId="2393">
    <w:abstractNumId w:val="991"/>
  </w:num>
  <w:num w:numId="2394">
    <w:abstractNumId w:val="991"/>
  </w:num>
  <w:num w:numId="2395">
    <w:abstractNumId w:val="991"/>
  </w:num>
  <w:num w:numId="2396">
    <w:abstractNumId w:val="991"/>
  </w:num>
  <w:num w:numId="2397">
    <w:abstractNumId w:val="991"/>
  </w:num>
  <w:num w:numId="2398">
    <w:abstractNumId w:val="991"/>
  </w:num>
  <w:num w:numId="2399">
    <w:abstractNumId w:val="991"/>
  </w:num>
  <w:num w:numId="2400">
    <w:abstractNumId w:val="991"/>
  </w:num>
  <w:num w:numId="2401">
    <w:abstractNumId w:val="991"/>
  </w:num>
  <w:num w:numId="2402">
    <w:abstractNumId w:val="991"/>
  </w:num>
  <w:num w:numId="2403">
    <w:abstractNumId w:val="991"/>
  </w:num>
  <w:num w:numId="2404">
    <w:abstractNumId w:val="991"/>
  </w:num>
  <w:num w:numId="2405">
    <w:abstractNumId w:val="991"/>
  </w:num>
  <w:num w:numId="2406">
    <w:abstractNumId w:val="991"/>
  </w:num>
  <w:num w:numId="2407">
    <w:abstractNumId w:val="991"/>
  </w:num>
  <w:num w:numId="2408">
    <w:abstractNumId w:val="991"/>
  </w:num>
  <w:num w:numId="2409">
    <w:abstractNumId w:val="991"/>
  </w:num>
  <w:num w:numId="2410">
    <w:abstractNumId w:val="991"/>
  </w:num>
  <w:num w:numId="2411">
    <w:abstractNumId w:val="991"/>
  </w:num>
  <w:num w:numId="2412">
    <w:abstractNumId w:val="991"/>
  </w:num>
  <w:num w:numId="2413">
    <w:abstractNumId w:val="991"/>
  </w:num>
  <w:num w:numId="2414">
    <w:abstractNumId w:val="991"/>
  </w:num>
  <w:num w:numId="2415">
    <w:abstractNumId w:val="991"/>
  </w:num>
  <w:num w:numId="2416">
    <w:abstractNumId w:val="991"/>
  </w:num>
  <w:num w:numId="2417">
    <w:abstractNumId w:val="991"/>
  </w:num>
  <w:num w:numId="2418">
    <w:abstractNumId w:val="991"/>
  </w:num>
  <w:num w:numId="2419">
    <w:abstractNumId w:val="991"/>
  </w:num>
  <w:num w:numId="2420">
    <w:abstractNumId w:val="991"/>
  </w:num>
  <w:num w:numId="2421">
    <w:abstractNumId w:val="991"/>
  </w:num>
  <w:num w:numId="2422">
    <w:abstractNumId w:val="991"/>
  </w:num>
  <w:num w:numId="2423">
    <w:abstractNumId w:val="991"/>
  </w:num>
  <w:num w:numId="2424">
    <w:abstractNumId w:val="991"/>
  </w:num>
  <w:num w:numId="2425">
    <w:abstractNumId w:val="991"/>
  </w:num>
  <w:num w:numId="2426">
    <w:abstractNumId w:val="991"/>
  </w:num>
  <w:num w:numId="2427">
    <w:abstractNumId w:val="991"/>
  </w:num>
  <w:num w:numId="2428">
    <w:abstractNumId w:val="991"/>
  </w:num>
  <w:num w:numId="2429">
    <w:abstractNumId w:val="991"/>
  </w:num>
  <w:num w:numId="2430">
    <w:abstractNumId w:val="991"/>
  </w:num>
  <w:num w:numId="2431">
    <w:abstractNumId w:val="991"/>
  </w:num>
  <w:num w:numId="2432">
    <w:abstractNumId w:val="991"/>
  </w:num>
  <w:num w:numId="2433">
    <w:abstractNumId w:val="991"/>
  </w:num>
  <w:num w:numId="2434">
    <w:abstractNumId w:val="991"/>
  </w:num>
  <w:num w:numId="2435">
    <w:abstractNumId w:val="991"/>
  </w:num>
  <w:num w:numId="2436">
    <w:abstractNumId w:val="991"/>
  </w:num>
  <w:num w:numId="2437">
    <w:abstractNumId w:val="991"/>
  </w:num>
  <w:num w:numId="2438">
    <w:abstractNumId w:val="991"/>
  </w:num>
  <w:num w:numId="2439">
    <w:abstractNumId w:val="991"/>
  </w:num>
  <w:num w:numId="2440">
    <w:abstractNumId w:val="991"/>
  </w:num>
  <w:num w:numId="2441">
    <w:abstractNumId w:val="991"/>
  </w:num>
  <w:num w:numId="2442">
    <w:abstractNumId w:val="991"/>
  </w:num>
  <w:num w:numId="2443">
    <w:abstractNumId w:val="991"/>
  </w:num>
  <w:num w:numId="2444">
    <w:abstractNumId w:val="991"/>
  </w:num>
  <w:num w:numId="2445">
    <w:abstractNumId w:val="991"/>
  </w:num>
  <w:num w:numId="2446">
    <w:abstractNumId w:val="991"/>
  </w:num>
  <w:num w:numId="2447">
    <w:abstractNumId w:val="991"/>
  </w:num>
  <w:num w:numId="2448">
    <w:abstractNumId w:val="991"/>
  </w:num>
  <w:num w:numId="2449">
    <w:abstractNumId w:val="991"/>
  </w:num>
  <w:num w:numId="2450">
    <w:abstractNumId w:val="991"/>
  </w:num>
  <w:num w:numId="2451">
    <w:abstractNumId w:val="991"/>
  </w:num>
  <w:num w:numId="2452">
    <w:abstractNumId w:val="991"/>
  </w:num>
  <w:num w:numId="2453">
    <w:abstractNumId w:val="991"/>
  </w:num>
  <w:num w:numId="2454">
    <w:abstractNumId w:val="991"/>
  </w:num>
  <w:num w:numId="2455">
    <w:abstractNumId w:val="991"/>
  </w:num>
  <w:num w:numId="2456">
    <w:abstractNumId w:val="991"/>
  </w:num>
  <w:num w:numId="2457">
    <w:abstractNumId w:val="991"/>
  </w:num>
  <w:num w:numId="2458">
    <w:abstractNumId w:val="991"/>
  </w:num>
  <w:num w:numId="2459">
    <w:abstractNumId w:val="991"/>
  </w:num>
  <w:num w:numId="2460">
    <w:abstractNumId w:val="991"/>
  </w:num>
  <w:num w:numId="2461">
    <w:abstractNumId w:val="991"/>
  </w:num>
  <w:num w:numId="2462">
    <w:abstractNumId w:val="991"/>
  </w:num>
  <w:num w:numId="2463">
    <w:abstractNumId w:val="991"/>
  </w:num>
  <w:num w:numId="2464">
    <w:abstractNumId w:val="991"/>
  </w:num>
  <w:num w:numId="2465">
    <w:abstractNumId w:val="991"/>
  </w:num>
  <w:num w:numId="2466">
    <w:abstractNumId w:val="991"/>
  </w:num>
  <w:num w:numId="2467">
    <w:abstractNumId w:val="991"/>
  </w:num>
  <w:num w:numId="2468">
    <w:abstractNumId w:val="991"/>
  </w:num>
  <w:num w:numId="2469">
    <w:abstractNumId w:val="991"/>
  </w:num>
  <w:num w:numId="2470">
    <w:abstractNumId w:val="991"/>
  </w:num>
  <w:num w:numId="2471">
    <w:abstractNumId w:val="991"/>
  </w:num>
  <w:num w:numId="2472">
    <w:abstractNumId w:val="991"/>
  </w:num>
  <w:num w:numId="2473">
    <w:abstractNumId w:val="991"/>
  </w:num>
  <w:num w:numId="2474">
    <w:abstractNumId w:val="991"/>
  </w:num>
  <w:num w:numId="2475">
    <w:abstractNumId w:val="991"/>
  </w:num>
  <w:num w:numId="2476">
    <w:abstractNumId w:val="991"/>
  </w:num>
  <w:num w:numId="2477">
    <w:abstractNumId w:val="991"/>
  </w:num>
  <w:num w:numId="2478">
    <w:abstractNumId w:val="991"/>
  </w:num>
  <w:num w:numId="2479">
    <w:abstractNumId w:val="991"/>
  </w:num>
  <w:num w:numId="2480">
    <w:abstractNumId w:val="991"/>
  </w:num>
  <w:num w:numId="2481">
    <w:abstractNumId w:val="991"/>
  </w:num>
  <w:num w:numId="2482">
    <w:abstractNumId w:val="991"/>
  </w:num>
  <w:num w:numId="2483">
    <w:abstractNumId w:val="991"/>
  </w:num>
  <w:num w:numId="2484">
    <w:abstractNumId w:val="991"/>
  </w:num>
  <w:num w:numId="2485">
    <w:abstractNumId w:val="991"/>
  </w:num>
  <w:num w:numId="2486">
    <w:abstractNumId w:val="991"/>
  </w:num>
  <w:num w:numId="2487">
    <w:abstractNumId w:val="991"/>
  </w:num>
  <w:num w:numId="2488">
    <w:abstractNumId w:val="991"/>
  </w:num>
  <w:num w:numId="2489">
    <w:abstractNumId w:val="991"/>
  </w:num>
  <w:num w:numId="2490">
    <w:abstractNumId w:val="991"/>
  </w:num>
  <w:num w:numId="2491">
    <w:abstractNumId w:val="991"/>
  </w:num>
  <w:num w:numId="2492">
    <w:abstractNumId w:val="991"/>
  </w:num>
  <w:num w:numId="2493">
    <w:abstractNumId w:val="991"/>
  </w:num>
  <w:num w:numId="2494">
    <w:abstractNumId w:val="991"/>
  </w:num>
  <w:num w:numId="2495">
    <w:abstractNumId w:val="991"/>
  </w:num>
  <w:num w:numId="2496">
    <w:abstractNumId w:val="991"/>
  </w:num>
  <w:num w:numId="2497">
    <w:abstractNumId w:val="991"/>
  </w:num>
  <w:num w:numId="2498">
    <w:abstractNumId w:val="991"/>
  </w:num>
  <w:num w:numId="2499">
    <w:abstractNumId w:val="991"/>
  </w:num>
  <w:num w:numId="2500">
    <w:abstractNumId w:val="991"/>
  </w:num>
  <w:num w:numId="2501">
    <w:abstractNumId w:val="991"/>
  </w:num>
  <w:num w:numId="2502">
    <w:abstractNumId w:val="991"/>
  </w:num>
  <w:num w:numId="2503">
    <w:abstractNumId w:val="991"/>
  </w:num>
  <w:num w:numId="2504">
    <w:abstractNumId w:val="991"/>
  </w:num>
  <w:num w:numId="2505">
    <w:abstractNumId w:val="991"/>
  </w:num>
  <w:num w:numId="2506">
    <w:abstractNumId w:val="991"/>
  </w:num>
  <w:num w:numId="2507">
    <w:abstractNumId w:val="991"/>
  </w:num>
  <w:num w:numId="2508">
    <w:abstractNumId w:val="991"/>
  </w:num>
  <w:num w:numId="2509">
    <w:abstractNumId w:val="991"/>
  </w:num>
  <w:num w:numId="2510">
    <w:abstractNumId w:val="991"/>
  </w:num>
  <w:num w:numId="2511">
    <w:abstractNumId w:val="991"/>
  </w:num>
  <w:num w:numId="2512">
    <w:abstractNumId w:val="991"/>
  </w:num>
  <w:num w:numId="2513">
    <w:abstractNumId w:val="991"/>
  </w:num>
  <w:num w:numId="2514">
    <w:abstractNumId w:val="991"/>
  </w:num>
  <w:num w:numId="2515">
    <w:abstractNumId w:val="991"/>
  </w:num>
  <w:num w:numId="2516">
    <w:abstractNumId w:val="991"/>
  </w:num>
  <w:num w:numId="2517">
    <w:abstractNumId w:val="991"/>
  </w:num>
  <w:num w:numId="2518">
    <w:abstractNumId w:val="991"/>
  </w:num>
  <w:num w:numId="2519">
    <w:abstractNumId w:val="991"/>
  </w:num>
  <w:num w:numId="2520">
    <w:abstractNumId w:val="991"/>
  </w:num>
  <w:num w:numId="2521">
    <w:abstractNumId w:val="991"/>
  </w:num>
  <w:num w:numId="2522">
    <w:abstractNumId w:val="991"/>
  </w:num>
  <w:num w:numId="2523">
    <w:abstractNumId w:val="991"/>
  </w:num>
  <w:num w:numId="2524">
    <w:abstractNumId w:val="991"/>
  </w:num>
  <w:num w:numId="2525">
    <w:abstractNumId w:val="991"/>
  </w:num>
  <w:num w:numId="2526">
    <w:abstractNumId w:val="991"/>
  </w:num>
  <w:num w:numId="2527">
    <w:abstractNumId w:val="991"/>
  </w:num>
  <w:num w:numId="2528">
    <w:abstractNumId w:val="991"/>
  </w:num>
  <w:num w:numId="2529">
    <w:abstractNumId w:val="991"/>
  </w:num>
  <w:num w:numId="2530">
    <w:abstractNumId w:val="991"/>
  </w:num>
  <w:num w:numId="2531">
    <w:abstractNumId w:val="991"/>
  </w:num>
  <w:num w:numId="2532">
    <w:abstractNumId w:val="991"/>
  </w:num>
  <w:num w:numId="2533">
    <w:abstractNumId w:val="991"/>
  </w:num>
  <w:num w:numId="2534">
    <w:abstractNumId w:val="991"/>
  </w:num>
  <w:num w:numId="2535">
    <w:abstractNumId w:val="991"/>
  </w:num>
  <w:num w:numId="2536">
    <w:abstractNumId w:val="991"/>
  </w:num>
  <w:num w:numId="2537">
    <w:abstractNumId w:val="991"/>
  </w:num>
  <w:num w:numId="2538">
    <w:abstractNumId w:val="991"/>
  </w:num>
  <w:num w:numId="2539">
    <w:abstractNumId w:val="991"/>
  </w:num>
  <w:num w:numId="2540">
    <w:abstractNumId w:val="991"/>
  </w:num>
  <w:num w:numId="2541">
    <w:abstractNumId w:val="991"/>
  </w:num>
  <w:num w:numId="2542">
    <w:abstractNumId w:val="991"/>
  </w:num>
  <w:num w:numId="2543">
    <w:abstractNumId w:val="991"/>
  </w:num>
  <w:num w:numId="2544">
    <w:abstractNumId w:val="991"/>
  </w:num>
  <w:num w:numId="2545">
    <w:abstractNumId w:val="991"/>
  </w:num>
  <w:num w:numId="2546">
    <w:abstractNumId w:val="991"/>
  </w:num>
  <w:num w:numId="2547">
    <w:abstractNumId w:val="991"/>
  </w:num>
  <w:num w:numId="2548">
    <w:abstractNumId w:val="991"/>
  </w:num>
  <w:num w:numId="2549">
    <w:abstractNumId w:val="991"/>
  </w:num>
  <w:num w:numId="2550">
    <w:abstractNumId w:val="991"/>
  </w:num>
  <w:num w:numId="2551">
    <w:abstractNumId w:val="991"/>
  </w:num>
  <w:num w:numId="2552">
    <w:abstractNumId w:val="991"/>
  </w:num>
  <w:num w:numId="2553">
    <w:abstractNumId w:val="991"/>
  </w:num>
  <w:num w:numId="2554">
    <w:abstractNumId w:val="991"/>
  </w:num>
  <w:num w:numId="2555">
    <w:abstractNumId w:val="991"/>
  </w:num>
  <w:num w:numId="2556">
    <w:abstractNumId w:val="991"/>
  </w:num>
  <w:num w:numId="2557">
    <w:abstractNumId w:val="991"/>
  </w:num>
  <w:num w:numId="2558">
    <w:abstractNumId w:val="991"/>
  </w:num>
  <w:num w:numId="2559">
    <w:abstractNumId w:val="991"/>
  </w:num>
  <w:num w:numId="2560">
    <w:abstractNumId w:val="991"/>
  </w:num>
  <w:num w:numId="2561">
    <w:abstractNumId w:val="991"/>
  </w:num>
  <w:num w:numId="2562">
    <w:abstractNumId w:val="991"/>
  </w:num>
  <w:num w:numId="2563">
    <w:abstractNumId w:val="991"/>
  </w:num>
  <w:num w:numId="2564">
    <w:abstractNumId w:val="991"/>
  </w:num>
  <w:num w:numId="2565">
    <w:abstractNumId w:val="991"/>
  </w:num>
  <w:num w:numId="2566">
    <w:abstractNumId w:val="991"/>
  </w:num>
  <w:num w:numId="2567">
    <w:abstractNumId w:val="991"/>
  </w:num>
  <w:num w:numId="2568">
    <w:abstractNumId w:val="991"/>
  </w:num>
  <w:num w:numId="2569">
    <w:abstractNumId w:val="991"/>
  </w:num>
  <w:num w:numId="2570">
    <w:abstractNumId w:val="991"/>
  </w:num>
  <w:num w:numId="2571">
    <w:abstractNumId w:val="991"/>
  </w:num>
  <w:num w:numId="2572">
    <w:abstractNumId w:val="991"/>
  </w:num>
  <w:num w:numId="2573">
    <w:abstractNumId w:val="991"/>
  </w:num>
  <w:num w:numId="2574">
    <w:abstractNumId w:val="991"/>
  </w:num>
  <w:num w:numId="2575">
    <w:abstractNumId w:val="991"/>
  </w:num>
  <w:num w:numId="2576">
    <w:abstractNumId w:val="991"/>
  </w:num>
  <w:num w:numId="2577">
    <w:abstractNumId w:val="991"/>
  </w:num>
  <w:num w:numId="2578">
    <w:abstractNumId w:val="991"/>
  </w:num>
  <w:num w:numId="2579">
    <w:abstractNumId w:val="991"/>
  </w:num>
  <w:num w:numId="2580">
    <w:abstractNumId w:val="991"/>
  </w:num>
  <w:num w:numId="2581">
    <w:abstractNumId w:val="991"/>
  </w:num>
  <w:num w:numId="2582">
    <w:abstractNumId w:val="991"/>
  </w:num>
  <w:num w:numId="2583">
    <w:abstractNumId w:val="991"/>
  </w:num>
  <w:num w:numId="2584">
    <w:abstractNumId w:val="991"/>
  </w:num>
  <w:num w:numId="2585">
    <w:abstractNumId w:val="991"/>
  </w:num>
  <w:num w:numId="2586">
    <w:abstractNumId w:val="991"/>
  </w:num>
  <w:num w:numId="2587">
    <w:abstractNumId w:val="991"/>
  </w:num>
  <w:num w:numId="2588">
    <w:abstractNumId w:val="991"/>
  </w:num>
  <w:num w:numId="2589">
    <w:abstractNumId w:val="991"/>
  </w:num>
  <w:num w:numId="2590">
    <w:abstractNumId w:val="991"/>
  </w:num>
  <w:num w:numId="2591">
    <w:abstractNumId w:val="991"/>
  </w:num>
  <w:num w:numId="2592">
    <w:abstractNumId w:val="991"/>
  </w:num>
  <w:num w:numId="2593">
    <w:abstractNumId w:val="991"/>
  </w:num>
  <w:num w:numId="2594">
    <w:abstractNumId w:val="991"/>
  </w:num>
  <w:num w:numId="2595">
    <w:abstractNumId w:val="991"/>
  </w:num>
  <w:num w:numId="2596">
    <w:abstractNumId w:val="991"/>
  </w:num>
  <w:num w:numId="2597">
    <w:abstractNumId w:val="991"/>
  </w:num>
  <w:num w:numId="2598">
    <w:abstractNumId w:val="991"/>
  </w:num>
  <w:num w:numId="2599">
    <w:abstractNumId w:val="991"/>
  </w:num>
  <w:num w:numId="2600">
    <w:abstractNumId w:val="991"/>
  </w:num>
  <w:num w:numId="2601">
    <w:abstractNumId w:val="991"/>
  </w:num>
  <w:num w:numId="2602">
    <w:abstractNumId w:val="991"/>
  </w:num>
  <w:num w:numId="2603">
    <w:abstractNumId w:val="991"/>
  </w:num>
  <w:num w:numId="2604">
    <w:abstractNumId w:val="991"/>
  </w:num>
  <w:num w:numId="2605">
    <w:abstractNumId w:val="991"/>
  </w:num>
  <w:num w:numId="2606">
    <w:abstractNumId w:val="991"/>
  </w:num>
  <w:num w:numId="2607">
    <w:abstractNumId w:val="991"/>
  </w:num>
  <w:num w:numId="2608">
    <w:abstractNumId w:val="991"/>
  </w:num>
  <w:num w:numId="2609">
    <w:abstractNumId w:val="991"/>
  </w:num>
  <w:num w:numId="2610">
    <w:abstractNumId w:val="991"/>
  </w:num>
  <w:num w:numId="2611">
    <w:abstractNumId w:val="991"/>
  </w:num>
  <w:num w:numId="2612">
    <w:abstractNumId w:val="991"/>
  </w:num>
  <w:num w:numId="2613">
    <w:abstractNumId w:val="991"/>
  </w:num>
  <w:num w:numId="2614">
    <w:abstractNumId w:val="991"/>
  </w:num>
  <w:num w:numId="2615">
    <w:abstractNumId w:val="991"/>
  </w:num>
  <w:num w:numId="2616">
    <w:abstractNumId w:val="991"/>
  </w:num>
  <w:num w:numId="2617">
    <w:abstractNumId w:val="991"/>
  </w:num>
  <w:num w:numId="2618">
    <w:abstractNumId w:val="991"/>
  </w:num>
  <w:num w:numId="2619">
    <w:abstractNumId w:val="991"/>
  </w:num>
  <w:num w:numId="2620">
    <w:abstractNumId w:val="991"/>
  </w:num>
  <w:num w:numId="2621">
    <w:abstractNumId w:val="991"/>
  </w:num>
  <w:num w:numId="2622">
    <w:abstractNumId w:val="991"/>
  </w:num>
  <w:num w:numId="2623">
    <w:abstractNumId w:val="991"/>
  </w:num>
  <w:num w:numId="2624">
    <w:abstractNumId w:val="991"/>
  </w:num>
  <w:num w:numId="2625">
    <w:abstractNumId w:val="991"/>
  </w:num>
  <w:num w:numId="2626">
    <w:abstractNumId w:val="991"/>
  </w:num>
  <w:num w:numId="2627">
    <w:abstractNumId w:val="991"/>
  </w:num>
  <w:num w:numId="2628">
    <w:abstractNumId w:val="991"/>
  </w:num>
  <w:num w:numId="2629">
    <w:abstractNumId w:val="991"/>
  </w:num>
  <w:num w:numId="2630">
    <w:abstractNumId w:val="991"/>
  </w:num>
  <w:num w:numId="2631">
    <w:abstractNumId w:val="991"/>
  </w:num>
  <w:num w:numId="2632">
    <w:abstractNumId w:val="991"/>
  </w:num>
  <w:num w:numId="2633">
    <w:abstractNumId w:val="991"/>
  </w:num>
  <w:num w:numId="2634">
    <w:abstractNumId w:val="991"/>
  </w:num>
  <w:num w:numId="2635">
    <w:abstractNumId w:val="991"/>
  </w:num>
  <w:num w:numId="2636">
    <w:abstractNumId w:val="991"/>
  </w:num>
  <w:num w:numId="2637">
    <w:abstractNumId w:val="991"/>
  </w:num>
  <w:num w:numId="2638">
    <w:abstractNumId w:val="991"/>
  </w:num>
  <w:num w:numId="2639">
    <w:abstractNumId w:val="991"/>
  </w:num>
  <w:num w:numId="2640">
    <w:abstractNumId w:val="991"/>
  </w:num>
  <w:num w:numId="2641">
    <w:abstractNumId w:val="991"/>
  </w:num>
  <w:num w:numId="2642">
    <w:abstractNumId w:val="991"/>
  </w:num>
  <w:num w:numId="2643">
    <w:abstractNumId w:val="991"/>
  </w:num>
  <w:num w:numId="2644">
    <w:abstractNumId w:val="991"/>
  </w:num>
  <w:num w:numId="2645">
    <w:abstractNumId w:val="991"/>
  </w:num>
  <w:num w:numId="2646">
    <w:abstractNumId w:val="991"/>
  </w:num>
  <w:num w:numId="2647">
    <w:abstractNumId w:val="991"/>
  </w:num>
  <w:num w:numId="2648">
    <w:abstractNumId w:val="991"/>
  </w:num>
  <w:num w:numId="2649">
    <w:abstractNumId w:val="991"/>
  </w:num>
  <w:num w:numId="2650">
    <w:abstractNumId w:val="991"/>
  </w:num>
  <w:num w:numId="2651">
    <w:abstractNumId w:val="991"/>
  </w:num>
  <w:num w:numId="2652">
    <w:abstractNumId w:val="991"/>
  </w:num>
  <w:num w:numId="2653">
    <w:abstractNumId w:val="991"/>
  </w:num>
  <w:num w:numId="2654">
    <w:abstractNumId w:val="991"/>
  </w:num>
  <w:num w:numId="2655">
    <w:abstractNumId w:val="991"/>
  </w:num>
  <w:num w:numId="2656">
    <w:abstractNumId w:val="991"/>
  </w:num>
  <w:num w:numId="2657">
    <w:abstractNumId w:val="991"/>
  </w:num>
  <w:num w:numId="2658">
    <w:abstractNumId w:val="991"/>
  </w:num>
  <w:num w:numId="2659">
    <w:abstractNumId w:val="991"/>
  </w:num>
  <w:num w:numId="2660">
    <w:abstractNumId w:val="991"/>
  </w:num>
  <w:num w:numId="2661">
    <w:abstractNumId w:val="991"/>
  </w:num>
  <w:num w:numId="2662">
    <w:abstractNumId w:val="991"/>
  </w:num>
  <w:num w:numId="2663">
    <w:abstractNumId w:val="991"/>
  </w:num>
  <w:num w:numId="2664">
    <w:abstractNumId w:val="991"/>
  </w:num>
  <w:num w:numId="2665">
    <w:abstractNumId w:val="991"/>
  </w:num>
  <w:num w:numId="2666">
    <w:abstractNumId w:val="991"/>
  </w:num>
  <w:num w:numId="2667">
    <w:abstractNumId w:val="991"/>
  </w:num>
  <w:num w:numId="2668">
    <w:abstractNumId w:val="991"/>
  </w:num>
  <w:num w:numId="2669">
    <w:abstractNumId w:val="991"/>
  </w:num>
  <w:num w:numId="2670">
    <w:abstractNumId w:val="991"/>
  </w:num>
  <w:num w:numId="2671">
    <w:abstractNumId w:val="991"/>
  </w:num>
  <w:num w:numId="2672">
    <w:abstractNumId w:val="991"/>
  </w:num>
  <w:num w:numId="2673">
    <w:abstractNumId w:val="991"/>
  </w:num>
  <w:num w:numId="2674">
    <w:abstractNumId w:val="991"/>
  </w:num>
  <w:num w:numId="2675">
    <w:abstractNumId w:val="991"/>
  </w:num>
  <w:num w:numId="2676">
    <w:abstractNumId w:val="991"/>
  </w:num>
  <w:num w:numId="2677">
    <w:abstractNumId w:val="991"/>
  </w:num>
  <w:num w:numId="2678">
    <w:abstractNumId w:val="991"/>
  </w:num>
  <w:num w:numId="2679">
    <w:abstractNumId w:val="991"/>
  </w:num>
  <w:num w:numId="2680">
    <w:abstractNumId w:val="991"/>
  </w:num>
  <w:num w:numId="2681">
    <w:abstractNumId w:val="991"/>
  </w:num>
  <w:num w:numId="2682">
    <w:abstractNumId w:val="991"/>
  </w:num>
  <w:num w:numId="2683">
    <w:abstractNumId w:val="991"/>
  </w:num>
  <w:num w:numId="2684">
    <w:abstractNumId w:val="991"/>
  </w:num>
  <w:num w:numId="2685">
    <w:abstractNumId w:val="991"/>
  </w:num>
  <w:num w:numId="2686">
    <w:abstractNumId w:val="991"/>
  </w:num>
  <w:num w:numId="2687">
    <w:abstractNumId w:val="991"/>
  </w:num>
  <w:num w:numId="2688">
    <w:abstractNumId w:val="991"/>
  </w:num>
  <w:num w:numId="2689">
    <w:abstractNumId w:val="991"/>
  </w:num>
  <w:num w:numId="2690">
    <w:abstractNumId w:val="991"/>
  </w:num>
  <w:num w:numId="2691">
    <w:abstractNumId w:val="991"/>
  </w:num>
  <w:num w:numId="2692">
    <w:abstractNumId w:val="991"/>
  </w:num>
  <w:num w:numId="2693">
    <w:abstractNumId w:val="991"/>
  </w:num>
  <w:num w:numId="2694">
    <w:abstractNumId w:val="991"/>
  </w:num>
  <w:num w:numId="2695">
    <w:abstractNumId w:val="991"/>
  </w:num>
  <w:num w:numId="2696">
    <w:abstractNumId w:val="991"/>
  </w:num>
  <w:num w:numId="2697">
    <w:abstractNumId w:val="991"/>
  </w:num>
  <w:num w:numId="2698">
    <w:abstractNumId w:val="991"/>
  </w:num>
  <w:num w:numId="2699">
    <w:abstractNumId w:val="991"/>
  </w:num>
  <w:num w:numId="2700">
    <w:abstractNumId w:val="991"/>
  </w:num>
  <w:num w:numId="2701">
    <w:abstractNumId w:val="991"/>
  </w:num>
  <w:num w:numId="2702">
    <w:abstractNumId w:val="991"/>
  </w:num>
  <w:num w:numId="2703">
    <w:abstractNumId w:val="991"/>
  </w:num>
  <w:num w:numId="2704">
    <w:abstractNumId w:val="991"/>
  </w:num>
  <w:num w:numId="2705">
    <w:abstractNumId w:val="991"/>
  </w:num>
  <w:num w:numId="2706">
    <w:abstractNumId w:val="991"/>
  </w:num>
  <w:num w:numId="2707">
    <w:abstractNumId w:val="991"/>
  </w:num>
  <w:num w:numId="2708">
    <w:abstractNumId w:val="991"/>
  </w:num>
  <w:num w:numId="2709">
    <w:abstractNumId w:val="991"/>
  </w:num>
  <w:num w:numId="2710">
    <w:abstractNumId w:val="991"/>
  </w:num>
  <w:num w:numId="2711">
    <w:abstractNumId w:val="991"/>
  </w:num>
  <w:num w:numId="2712">
    <w:abstractNumId w:val="991"/>
  </w:num>
  <w:num w:numId="2713">
    <w:abstractNumId w:val="991"/>
  </w:num>
  <w:num w:numId="2714">
    <w:abstractNumId w:val="991"/>
  </w:num>
  <w:num w:numId="2715">
    <w:abstractNumId w:val="991"/>
  </w:num>
  <w:num w:numId="2716">
    <w:abstractNumId w:val="991"/>
  </w:num>
  <w:num w:numId="2717">
    <w:abstractNumId w:val="991"/>
  </w:num>
  <w:num w:numId="2718">
    <w:abstractNumId w:val="991"/>
  </w:num>
  <w:num w:numId="2719">
    <w:abstractNumId w:val="991"/>
  </w:num>
  <w:num w:numId="2720">
    <w:abstractNumId w:val="991"/>
  </w:num>
  <w:num w:numId="2721">
    <w:abstractNumId w:val="991"/>
  </w:num>
  <w:num w:numId="2722">
    <w:abstractNumId w:val="991"/>
  </w:num>
  <w:num w:numId="2723">
    <w:abstractNumId w:val="991"/>
  </w:num>
  <w:num w:numId="2724">
    <w:abstractNumId w:val="991"/>
  </w:num>
  <w:num w:numId="2725">
    <w:abstractNumId w:val="991"/>
  </w:num>
  <w:num w:numId="2726">
    <w:abstractNumId w:val="991"/>
  </w:num>
  <w:num w:numId="2727">
    <w:abstractNumId w:val="991"/>
  </w:num>
  <w:num w:numId="2728">
    <w:abstractNumId w:val="991"/>
  </w:num>
  <w:num w:numId="2729">
    <w:abstractNumId w:val="991"/>
  </w:num>
  <w:num w:numId="2730">
    <w:abstractNumId w:val="991"/>
  </w:num>
  <w:num w:numId="2731">
    <w:abstractNumId w:val="991"/>
  </w:num>
  <w:num w:numId="2732">
    <w:abstractNumId w:val="991"/>
  </w:num>
  <w:num w:numId="2733">
    <w:abstractNumId w:val="991"/>
  </w:num>
  <w:num w:numId="2734">
    <w:abstractNumId w:val="991"/>
  </w:num>
  <w:num w:numId="2735">
    <w:abstractNumId w:val="991"/>
  </w:num>
  <w:num w:numId="2736">
    <w:abstractNumId w:val="991"/>
  </w:num>
  <w:num w:numId="2737">
    <w:abstractNumId w:val="991"/>
  </w:num>
  <w:num w:numId="2738">
    <w:abstractNumId w:val="991"/>
  </w:num>
  <w:num w:numId="2739">
    <w:abstractNumId w:val="991"/>
  </w:num>
  <w:num w:numId="2740">
    <w:abstractNumId w:val="991"/>
  </w:num>
  <w:num w:numId="2741">
    <w:abstractNumId w:val="991"/>
  </w:num>
  <w:num w:numId="2742">
    <w:abstractNumId w:val="991"/>
  </w:num>
  <w:num w:numId="2743">
    <w:abstractNumId w:val="991"/>
  </w:num>
  <w:num w:numId="2744">
    <w:abstractNumId w:val="991"/>
  </w:num>
  <w:num w:numId="2745">
    <w:abstractNumId w:val="991"/>
  </w:num>
  <w:num w:numId="2746">
    <w:abstractNumId w:val="991"/>
  </w:num>
  <w:num w:numId="2747">
    <w:abstractNumId w:val="991"/>
  </w:num>
  <w:num w:numId="2748">
    <w:abstractNumId w:val="991"/>
  </w:num>
  <w:num w:numId="2749">
    <w:abstractNumId w:val="991"/>
  </w:num>
  <w:num w:numId="2750">
    <w:abstractNumId w:val="991"/>
  </w:num>
  <w:num w:numId="2751">
    <w:abstractNumId w:val="991"/>
  </w:num>
  <w:num w:numId="2752">
    <w:abstractNumId w:val="991"/>
  </w:num>
  <w:num w:numId="2753">
    <w:abstractNumId w:val="991"/>
  </w:num>
  <w:num w:numId="2754">
    <w:abstractNumId w:val="991"/>
  </w:num>
  <w:num w:numId="2755">
    <w:abstractNumId w:val="991"/>
  </w:num>
  <w:num w:numId="2756">
    <w:abstractNumId w:val="991"/>
  </w:num>
  <w:num w:numId="2757">
    <w:abstractNumId w:val="991"/>
  </w:num>
  <w:num w:numId="2758">
    <w:abstractNumId w:val="991"/>
  </w:num>
  <w:num w:numId="2759">
    <w:abstractNumId w:val="991"/>
  </w:num>
  <w:num w:numId="2760">
    <w:abstractNumId w:val="991"/>
  </w:num>
  <w:num w:numId="2761">
    <w:abstractNumId w:val="991"/>
  </w:num>
  <w:num w:numId="2762">
    <w:abstractNumId w:val="991"/>
  </w:num>
  <w:num w:numId="2763">
    <w:abstractNumId w:val="991"/>
  </w:num>
  <w:num w:numId="2764">
    <w:abstractNumId w:val="991"/>
  </w:num>
  <w:num w:numId="2765">
    <w:abstractNumId w:val="991"/>
  </w:num>
  <w:num w:numId="2766">
    <w:abstractNumId w:val="991"/>
  </w:num>
  <w:num w:numId="2767">
    <w:abstractNumId w:val="991"/>
  </w:num>
  <w:num w:numId="2768">
    <w:abstractNumId w:val="991"/>
  </w:num>
  <w:num w:numId="2769">
    <w:abstractNumId w:val="991"/>
  </w:num>
  <w:num w:numId="2770">
    <w:abstractNumId w:val="991"/>
  </w:num>
  <w:num w:numId="2771">
    <w:abstractNumId w:val="991"/>
  </w:num>
  <w:num w:numId="2772">
    <w:abstractNumId w:val="991"/>
  </w:num>
  <w:num w:numId="2773">
    <w:abstractNumId w:val="991"/>
  </w:num>
  <w:num w:numId="2774">
    <w:abstractNumId w:val="991"/>
  </w:num>
  <w:num w:numId="2775">
    <w:abstractNumId w:val="991"/>
  </w:num>
  <w:num w:numId="2776">
    <w:abstractNumId w:val="991"/>
  </w:num>
  <w:num w:numId="2777">
    <w:abstractNumId w:val="991"/>
  </w:num>
  <w:num w:numId="2778">
    <w:abstractNumId w:val="991"/>
  </w:num>
  <w:num w:numId="2779">
    <w:abstractNumId w:val="991"/>
  </w:num>
  <w:num w:numId="2780">
    <w:abstractNumId w:val="991"/>
  </w:num>
  <w:num w:numId="2781">
    <w:abstractNumId w:val="991"/>
  </w:num>
  <w:num w:numId="2782">
    <w:abstractNumId w:val="991"/>
  </w:num>
  <w:num w:numId="2783">
    <w:abstractNumId w:val="991"/>
  </w:num>
  <w:num w:numId="2784">
    <w:abstractNumId w:val="991"/>
  </w:num>
  <w:num w:numId="2785">
    <w:abstractNumId w:val="991"/>
  </w:num>
  <w:num w:numId="2786">
    <w:abstractNumId w:val="991"/>
  </w:num>
  <w:num w:numId="2787">
    <w:abstractNumId w:val="991"/>
  </w:num>
  <w:num w:numId="2788">
    <w:abstractNumId w:val="991"/>
  </w:num>
  <w:num w:numId="2789">
    <w:abstractNumId w:val="991"/>
  </w:num>
  <w:num w:numId="2790">
    <w:abstractNumId w:val="991"/>
  </w:num>
  <w:num w:numId="2791">
    <w:abstractNumId w:val="991"/>
  </w:num>
  <w:num w:numId="2792">
    <w:abstractNumId w:val="991"/>
  </w:num>
  <w:num w:numId="2793">
    <w:abstractNumId w:val="991"/>
  </w:num>
  <w:num w:numId="2794">
    <w:abstractNumId w:val="991"/>
  </w:num>
  <w:num w:numId="2795">
    <w:abstractNumId w:val="991"/>
  </w:num>
  <w:num w:numId="2796">
    <w:abstractNumId w:val="991"/>
  </w:num>
  <w:num w:numId="2797">
    <w:abstractNumId w:val="991"/>
  </w:num>
  <w:num w:numId="2798">
    <w:abstractNumId w:val="991"/>
  </w:num>
  <w:num w:numId="2799">
    <w:abstractNumId w:val="991"/>
  </w:num>
  <w:num w:numId="2800">
    <w:abstractNumId w:val="991"/>
  </w:num>
  <w:num w:numId="2801">
    <w:abstractNumId w:val="991"/>
  </w:num>
  <w:num w:numId="2802">
    <w:abstractNumId w:val="991"/>
  </w:num>
  <w:num w:numId="2803">
    <w:abstractNumId w:val="991"/>
  </w:num>
  <w:num w:numId="2804">
    <w:abstractNumId w:val="991"/>
  </w:num>
  <w:num w:numId="2805">
    <w:abstractNumId w:val="991"/>
  </w:num>
  <w:num w:numId="2806">
    <w:abstractNumId w:val="991"/>
  </w:num>
  <w:num w:numId="2807">
    <w:abstractNumId w:val="991"/>
  </w:num>
  <w:num w:numId="2808">
    <w:abstractNumId w:val="991"/>
  </w:num>
  <w:num w:numId="2809">
    <w:abstractNumId w:val="991"/>
  </w:num>
  <w:num w:numId="2810">
    <w:abstractNumId w:val="991"/>
  </w:num>
  <w:num w:numId="2811">
    <w:abstractNumId w:val="991"/>
  </w:num>
  <w:num w:numId="2812">
    <w:abstractNumId w:val="991"/>
  </w:num>
  <w:num w:numId="2813">
    <w:abstractNumId w:val="991"/>
  </w:num>
  <w:num w:numId="2814">
    <w:abstractNumId w:val="991"/>
  </w:num>
  <w:num w:numId="2815">
    <w:abstractNumId w:val="991"/>
  </w:num>
  <w:num w:numId="2816">
    <w:abstractNumId w:val="991"/>
  </w:num>
  <w:num w:numId="2817">
    <w:abstractNumId w:val="991"/>
  </w:num>
  <w:num w:numId="2818">
    <w:abstractNumId w:val="991"/>
  </w:num>
  <w:num w:numId="2819">
    <w:abstractNumId w:val="991"/>
  </w:num>
  <w:num w:numId="2820">
    <w:abstractNumId w:val="991"/>
  </w:num>
  <w:num w:numId="2821">
    <w:abstractNumId w:val="991"/>
  </w:num>
  <w:num w:numId="2822">
    <w:abstractNumId w:val="991"/>
  </w:num>
  <w:num w:numId="2823">
    <w:abstractNumId w:val="991"/>
  </w:num>
  <w:num w:numId="2824">
    <w:abstractNumId w:val="991"/>
  </w:num>
  <w:num w:numId="2825">
    <w:abstractNumId w:val="991"/>
  </w:num>
  <w:num w:numId="2826">
    <w:abstractNumId w:val="991"/>
  </w:num>
  <w:num w:numId="2827">
    <w:abstractNumId w:val="991"/>
  </w:num>
  <w:num w:numId="2828">
    <w:abstractNumId w:val="991"/>
  </w:num>
  <w:num w:numId="2829">
    <w:abstractNumId w:val="991"/>
  </w:num>
  <w:num w:numId="2830">
    <w:abstractNumId w:val="991"/>
  </w:num>
  <w:num w:numId="2831">
    <w:abstractNumId w:val="991"/>
  </w:num>
  <w:num w:numId="2832">
    <w:abstractNumId w:val="991"/>
  </w:num>
  <w:num w:numId="2833">
    <w:abstractNumId w:val="991"/>
  </w:num>
  <w:num w:numId="2834">
    <w:abstractNumId w:val="991"/>
  </w:num>
  <w:num w:numId="2835">
    <w:abstractNumId w:val="991"/>
  </w:num>
  <w:num w:numId="2836">
    <w:abstractNumId w:val="991"/>
  </w:num>
  <w:num w:numId="2837">
    <w:abstractNumId w:val="991"/>
  </w:num>
  <w:num w:numId="2838">
    <w:abstractNumId w:val="991"/>
  </w:num>
  <w:num w:numId="2839">
    <w:abstractNumId w:val="991"/>
  </w:num>
  <w:num w:numId="2840">
    <w:abstractNumId w:val="991"/>
  </w:num>
  <w:num w:numId="2841">
    <w:abstractNumId w:val="991"/>
  </w:num>
  <w:num w:numId="2842">
    <w:abstractNumId w:val="991"/>
  </w:num>
  <w:num w:numId="2843">
    <w:abstractNumId w:val="991"/>
  </w:num>
  <w:num w:numId="2844">
    <w:abstractNumId w:val="991"/>
  </w:num>
  <w:num w:numId="2845">
    <w:abstractNumId w:val="991"/>
  </w:num>
  <w:num w:numId="2846">
    <w:abstractNumId w:val="991"/>
  </w:num>
  <w:num w:numId="2847">
    <w:abstractNumId w:val="991"/>
  </w:num>
  <w:num w:numId="2848">
    <w:abstractNumId w:val="991"/>
  </w:num>
  <w:num w:numId="2849">
    <w:abstractNumId w:val="991"/>
  </w:num>
  <w:num w:numId="2850">
    <w:abstractNumId w:val="991"/>
  </w:num>
  <w:num w:numId="2851">
    <w:abstractNumId w:val="991"/>
  </w:num>
  <w:num w:numId="2852">
    <w:abstractNumId w:val="991"/>
  </w:num>
  <w:num w:numId="2853">
    <w:abstractNumId w:val="991"/>
  </w:num>
  <w:num w:numId="2854">
    <w:abstractNumId w:val="991"/>
  </w:num>
  <w:num w:numId="2855">
    <w:abstractNumId w:val="991"/>
  </w:num>
  <w:num w:numId="2856">
    <w:abstractNumId w:val="991"/>
  </w:num>
  <w:num w:numId="2857">
    <w:abstractNumId w:val="991"/>
  </w:num>
  <w:num w:numId="2858">
    <w:abstractNumId w:val="991"/>
  </w:num>
  <w:num w:numId="2859">
    <w:abstractNumId w:val="991"/>
  </w:num>
  <w:num w:numId="2860">
    <w:abstractNumId w:val="991"/>
  </w:num>
  <w:num w:numId="2861">
    <w:abstractNumId w:val="991"/>
  </w:num>
  <w:num w:numId="2862">
    <w:abstractNumId w:val="991"/>
  </w:num>
  <w:num w:numId="2863">
    <w:abstractNumId w:val="991"/>
  </w:num>
  <w:num w:numId="2864">
    <w:abstractNumId w:val="991"/>
  </w:num>
  <w:num w:numId="2865">
    <w:abstractNumId w:val="991"/>
  </w:num>
  <w:num w:numId="2866">
    <w:abstractNumId w:val="991"/>
  </w:num>
  <w:num w:numId="2867">
    <w:abstractNumId w:val="991"/>
  </w:num>
  <w:num w:numId="2868">
    <w:abstractNumId w:val="991"/>
  </w:num>
  <w:num w:numId="2869">
    <w:abstractNumId w:val="991"/>
  </w:num>
  <w:num w:numId="2870">
    <w:abstractNumId w:val="991"/>
  </w:num>
  <w:num w:numId="2871">
    <w:abstractNumId w:val="991"/>
  </w:num>
  <w:num w:numId="2872">
    <w:abstractNumId w:val="991"/>
  </w:num>
  <w:num w:numId="2873">
    <w:abstractNumId w:val="991"/>
  </w:num>
  <w:num w:numId="2874">
    <w:abstractNumId w:val="991"/>
  </w:num>
  <w:num w:numId="2875">
    <w:abstractNumId w:val="991"/>
  </w:num>
  <w:num w:numId="2876">
    <w:abstractNumId w:val="991"/>
  </w:num>
  <w:num w:numId="2877">
    <w:abstractNumId w:val="991"/>
  </w:num>
  <w:num w:numId="2878">
    <w:abstractNumId w:val="991"/>
  </w:num>
  <w:num w:numId="2879">
    <w:abstractNumId w:val="991"/>
  </w:num>
  <w:num w:numId="2880">
    <w:abstractNumId w:val="991"/>
  </w:num>
  <w:num w:numId="2881">
    <w:abstractNumId w:val="991"/>
  </w:num>
  <w:num w:numId="2882">
    <w:abstractNumId w:val="991"/>
  </w:num>
  <w:num w:numId="2883">
    <w:abstractNumId w:val="991"/>
  </w:num>
  <w:num w:numId="2884">
    <w:abstractNumId w:val="991"/>
  </w:num>
  <w:num w:numId="2885">
    <w:abstractNumId w:val="991"/>
  </w:num>
  <w:num w:numId="2886">
    <w:abstractNumId w:val="991"/>
  </w:num>
  <w:num w:numId="2887">
    <w:abstractNumId w:val="991"/>
  </w:num>
  <w:num w:numId="2888">
    <w:abstractNumId w:val="991"/>
  </w:num>
  <w:num w:numId="2889">
    <w:abstractNumId w:val="991"/>
  </w:num>
  <w:num w:numId="2890">
    <w:abstractNumId w:val="991"/>
  </w:num>
  <w:num w:numId="2891">
    <w:abstractNumId w:val="991"/>
  </w:num>
  <w:num w:numId="2892">
    <w:abstractNumId w:val="991"/>
  </w:num>
  <w:num w:numId="2893">
    <w:abstractNumId w:val="991"/>
  </w:num>
  <w:num w:numId="2894">
    <w:abstractNumId w:val="991"/>
  </w:num>
  <w:num w:numId="2895">
    <w:abstractNumId w:val="991"/>
  </w:num>
  <w:num w:numId="2896">
    <w:abstractNumId w:val="991"/>
  </w:num>
  <w:num w:numId="2897">
    <w:abstractNumId w:val="991"/>
  </w:num>
  <w:num w:numId="2898">
    <w:abstractNumId w:val="991"/>
  </w:num>
  <w:num w:numId="2899">
    <w:abstractNumId w:val="991"/>
  </w:num>
  <w:num w:numId="2900">
    <w:abstractNumId w:val="991"/>
  </w:num>
  <w:num w:numId="2901">
    <w:abstractNumId w:val="991"/>
  </w:num>
  <w:num w:numId="2902">
    <w:abstractNumId w:val="991"/>
  </w:num>
  <w:num w:numId="2903">
    <w:abstractNumId w:val="991"/>
  </w:num>
  <w:num w:numId="2904">
    <w:abstractNumId w:val="991"/>
  </w:num>
  <w:num w:numId="2905">
    <w:abstractNumId w:val="991"/>
  </w:num>
  <w:num w:numId="2906">
    <w:abstractNumId w:val="991"/>
  </w:num>
  <w:num w:numId="2907">
    <w:abstractNumId w:val="991"/>
  </w:num>
  <w:num w:numId="2908">
    <w:abstractNumId w:val="991"/>
  </w:num>
  <w:num w:numId="2909">
    <w:abstractNumId w:val="991"/>
  </w:num>
  <w:num w:numId="2910">
    <w:abstractNumId w:val="991"/>
  </w:num>
  <w:num w:numId="2911">
    <w:abstractNumId w:val="991"/>
  </w:num>
  <w:num w:numId="2912">
    <w:abstractNumId w:val="991"/>
  </w:num>
  <w:num w:numId="2913">
    <w:abstractNumId w:val="991"/>
  </w:num>
  <w:num w:numId="2914">
    <w:abstractNumId w:val="991"/>
  </w:num>
  <w:num w:numId="2915">
    <w:abstractNumId w:val="991"/>
  </w:num>
  <w:num w:numId="2916">
    <w:abstractNumId w:val="991"/>
  </w:num>
  <w:num w:numId="2917">
    <w:abstractNumId w:val="991"/>
  </w:num>
  <w:num w:numId="2918">
    <w:abstractNumId w:val="991"/>
  </w:num>
  <w:num w:numId="2919">
    <w:abstractNumId w:val="991"/>
  </w:num>
  <w:num w:numId="2920">
    <w:abstractNumId w:val="991"/>
  </w:num>
  <w:num w:numId="2921">
    <w:abstractNumId w:val="991"/>
  </w:num>
  <w:num w:numId="2922">
    <w:abstractNumId w:val="991"/>
  </w:num>
  <w:num w:numId="2923">
    <w:abstractNumId w:val="991"/>
  </w:num>
  <w:num w:numId="2924">
    <w:abstractNumId w:val="991"/>
  </w:num>
  <w:num w:numId="2925">
    <w:abstractNumId w:val="991"/>
  </w:num>
  <w:num w:numId="2926">
    <w:abstractNumId w:val="991"/>
  </w:num>
  <w:num w:numId="2927">
    <w:abstractNumId w:val="991"/>
  </w:num>
  <w:num w:numId="2928">
    <w:abstractNumId w:val="991"/>
  </w:num>
  <w:num w:numId="2929">
    <w:abstractNumId w:val="991"/>
  </w:num>
  <w:num w:numId="2930">
    <w:abstractNumId w:val="991"/>
  </w:num>
  <w:num w:numId="2931">
    <w:abstractNumId w:val="991"/>
  </w:num>
  <w:num w:numId="2932">
    <w:abstractNumId w:val="991"/>
  </w:num>
  <w:num w:numId="2933">
    <w:abstractNumId w:val="991"/>
  </w:num>
  <w:num w:numId="2934">
    <w:abstractNumId w:val="991"/>
  </w:num>
  <w:num w:numId="2935">
    <w:abstractNumId w:val="991"/>
  </w:num>
  <w:num w:numId="2936">
    <w:abstractNumId w:val="991"/>
  </w:num>
  <w:num w:numId="2937">
    <w:abstractNumId w:val="991"/>
  </w:num>
  <w:num w:numId="2938">
    <w:abstractNumId w:val="991"/>
  </w:num>
  <w:num w:numId="2939">
    <w:abstractNumId w:val="991"/>
  </w:num>
  <w:num w:numId="2940">
    <w:abstractNumId w:val="991"/>
  </w:num>
  <w:num w:numId="2941">
    <w:abstractNumId w:val="991"/>
  </w:num>
  <w:num w:numId="2942">
    <w:abstractNumId w:val="991"/>
  </w:num>
  <w:num w:numId="2943">
    <w:abstractNumId w:val="991"/>
  </w:num>
  <w:num w:numId="2944">
    <w:abstractNumId w:val="991"/>
  </w:num>
  <w:num w:numId="2945">
    <w:abstractNumId w:val="991"/>
  </w:num>
  <w:num w:numId="2946">
    <w:abstractNumId w:val="991"/>
  </w:num>
  <w:num w:numId="2947">
    <w:abstractNumId w:val="991"/>
  </w:num>
  <w:num w:numId="2948">
    <w:abstractNumId w:val="991"/>
  </w:num>
  <w:num w:numId="2949">
    <w:abstractNumId w:val="991"/>
  </w:num>
  <w:num w:numId="2950">
    <w:abstractNumId w:val="991"/>
  </w:num>
  <w:num w:numId="2951">
    <w:abstractNumId w:val="991"/>
  </w:num>
  <w:num w:numId="2952">
    <w:abstractNumId w:val="991"/>
  </w:num>
  <w:num w:numId="2953">
    <w:abstractNumId w:val="991"/>
  </w:num>
  <w:num w:numId="2954">
    <w:abstractNumId w:val="991"/>
  </w:num>
  <w:num w:numId="2955">
    <w:abstractNumId w:val="991"/>
  </w:num>
  <w:num w:numId="2956">
    <w:abstractNumId w:val="991"/>
  </w:num>
  <w:num w:numId="2957">
    <w:abstractNumId w:val="991"/>
  </w:num>
  <w:num w:numId="2958">
    <w:abstractNumId w:val="991"/>
  </w:num>
  <w:num w:numId="2959">
    <w:abstractNumId w:val="991"/>
  </w:num>
  <w:num w:numId="2960">
    <w:abstractNumId w:val="991"/>
  </w:num>
  <w:num w:numId="2961">
    <w:abstractNumId w:val="991"/>
  </w:num>
  <w:num w:numId="2962">
    <w:abstractNumId w:val="991"/>
  </w:num>
  <w:num w:numId="2963">
    <w:abstractNumId w:val="991"/>
  </w:num>
  <w:num w:numId="2964">
    <w:abstractNumId w:val="991"/>
  </w:num>
  <w:num w:numId="2965">
    <w:abstractNumId w:val="991"/>
  </w:num>
  <w:num w:numId="2966">
    <w:abstractNumId w:val="991"/>
  </w:num>
  <w:num w:numId="2967">
    <w:abstractNumId w:val="991"/>
  </w:num>
  <w:num w:numId="2968">
    <w:abstractNumId w:val="991"/>
  </w:num>
  <w:num w:numId="2969">
    <w:abstractNumId w:val="991"/>
  </w:num>
  <w:num w:numId="2970">
    <w:abstractNumId w:val="991"/>
  </w:num>
  <w:num w:numId="2971">
    <w:abstractNumId w:val="991"/>
  </w:num>
  <w:num w:numId="2972">
    <w:abstractNumId w:val="991"/>
  </w:num>
  <w:num w:numId="2973">
    <w:abstractNumId w:val="991"/>
  </w:num>
  <w:num w:numId="2974">
    <w:abstractNumId w:val="991"/>
  </w:num>
  <w:num w:numId="2975">
    <w:abstractNumId w:val="991"/>
  </w:num>
  <w:num w:numId="2976">
    <w:abstractNumId w:val="991"/>
  </w:num>
  <w:num w:numId="2977">
    <w:abstractNumId w:val="991"/>
  </w:num>
  <w:num w:numId="2978">
    <w:abstractNumId w:val="991"/>
  </w:num>
  <w:num w:numId="2979">
    <w:abstractNumId w:val="991"/>
  </w:num>
  <w:num w:numId="2980">
    <w:abstractNumId w:val="991"/>
  </w:num>
  <w:num w:numId="2981">
    <w:abstractNumId w:val="991"/>
  </w:num>
  <w:num w:numId="2982">
    <w:abstractNumId w:val="991"/>
  </w:num>
  <w:num w:numId="2983">
    <w:abstractNumId w:val="991"/>
  </w:num>
  <w:num w:numId="2984">
    <w:abstractNumId w:val="991"/>
  </w:num>
  <w:num w:numId="2985">
    <w:abstractNumId w:val="991"/>
  </w:num>
  <w:num w:numId="2986">
    <w:abstractNumId w:val="991"/>
  </w:num>
  <w:num w:numId="2987">
    <w:abstractNumId w:val="991"/>
  </w:num>
  <w:num w:numId="2988">
    <w:abstractNumId w:val="991"/>
  </w:num>
  <w:num w:numId="2989">
    <w:abstractNumId w:val="991"/>
  </w:num>
  <w:num w:numId="2990">
    <w:abstractNumId w:val="991"/>
  </w:num>
  <w:num w:numId="2991">
    <w:abstractNumId w:val="991"/>
  </w:num>
  <w:num w:numId="2992">
    <w:abstractNumId w:val="991"/>
  </w:num>
  <w:num w:numId="2993">
    <w:abstractNumId w:val="991"/>
  </w:num>
  <w:num w:numId="2994">
    <w:abstractNumId w:val="991"/>
  </w:num>
  <w:num w:numId="2995">
    <w:abstractNumId w:val="991"/>
  </w:num>
  <w:num w:numId="2996">
    <w:abstractNumId w:val="991"/>
  </w:num>
  <w:num w:numId="2997">
    <w:abstractNumId w:val="991"/>
  </w:num>
  <w:num w:numId="2998">
    <w:abstractNumId w:val="991"/>
  </w:num>
  <w:num w:numId="2999">
    <w:abstractNumId w:val="991"/>
  </w:num>
  <w:num w:numId="3000">
    <w:abstractNumId w:val="991"/>
  </w:num>
  <w:num w:numId="3001">
    <w:abstractNumId w:val="991"/>
  </w:num>
  <w:num w:numId="3002">
    <w:abstractNumId w:val="991"/>
  </w:num>
  <w:num w:numId="3003">
    <w:abstractNumId w:val="991"/>
  </w:num>
  <w:num w:numId="3004">
    <w:abstractNumId w:val="991"/>
  </w:num>
  <w:num w:numId="3005">
    <w:abstractNumId w:val="991"/>
  </w:num>
  <w:num w:numId="3006">
    <w:abstractNumId w:val="991"/>
  </w:num>
  <w:num w:numId="3007">
    <w:abstractNumId w:val="991"/>
  </w:num>
  <w:num w:numId="3008">
    <w:abstractNumId w:val="991"/>
  </w:num>
  <w:num w:numId="3009">
    <w:abstractNumId w:val="991"/>
  </w:num>
  <w:num w:numId="3010">
    <w:abstractNumId w:val="991"/>
  </w:num>
  <w:num w:numId="3011">
    <w:abstractNumId w:val="991"/>
  </w:num>
  <w:num w:numId="3012">
    <w:abstractNumId w:val="991"/>
  </w:num>
  <w:num w:numId="3013">
    <w:abstractNumId w:val="991"/>
  </w:num>
  <w:num w:numId="3014">
    <w:abstractNumId w:val="991"/>
  </w:num>
  <w:num w:numId="3015">
    <w:abstractNumId w:val="991"/>
  </w:num>
  <w:num w:numId="3016">
    <w:abstractNumId w:val="991"/>
  </w:num>
  <w:num w:numId="3017">
    <w:abstractNumId w:val="991"/>
  </w:num>
  <w:num w:numId="3018">
    <w:abstractNumId w:val="991"/>
  </w:num>
  <w:num w:numId="3019">
    <w:abstractNumId w:val="991"/>
  </w:num>
  <w:num w:numId="3020">
    <w:abstractNumId w:val="991"/>
  </w:num>
  <w:num w:numId="3021">
    <w:abstractNumId w:val="991"/>
  </w:num>
  <w:num w:numId="3022">
    <w:abstractNumId w:val="991"/>
  </w:num>
  <w:num w:numId="3023">
    <w:abstractNumId w:val="991"/>
  </w:num>
  <w:num w:numId="3024">
    <w:abstractNumId w:val="991"/>
  </w:num>
  <w:num w:numId="3025">
    <w:abstractNumId w:val="991"/>
  </w:num>
  <w:num w:numId="3026">
    <w:abstractNumId w:val="991"/>
  </w:num>
  <w:num w:numId="3027">
    <w:abstractNumId w:val="991"/>
  </w:num>
  <w:num w:numId="3028">
    <w:abstractNumId w:val="991"/>
  </w:num>
  <w:num w:numId="3029">
    <w:abstractNumId w:val="991"/>
  </w:num>
  <w:num w:numId="3030">
    <w:abstractNumId w:val="991"/>
  </w:num>
  <w:num w:numId="3031">
    <w:abstractNumId w:val="991"/>
  </w:num>
  <w:num w:numId="3032">
    <w:abstractNumId w:val="991"/>
  </w:num>
  <w:num w:numId="3033">
    <w:abstractNumId w:val="991"/>
  </w:num>
  <w:num w:numId="3034">
    <w:abstractNumId w:val="991"/>
  </w:num>
  <w:num w:numId="3035">
    <w:abstractNumId w:val="991"/>
  </w:num>
  <w:num w:numId="3036">
    <w:abstractNumId w:val="991"/>
  </w:num>
  <w:num w:numId="3037">
    <w:abstractNumId w:val="991"/>
  </w:num>
  <w:num w:numId="3038">
    <w:abstractNumId w:val="991"/>
  </w:num>
  <w:num w:numId="3039">
    <w:abstractNumId w:val="991"/>
  </w:num>
  <w:num w:numId="3040">
    <w:abstractNumId w:val="991"/>
  </w:num>
  <w:num w:numId="3041">
    <w:abstractNumId w:val="991"/>
  </w:num>
  <w:num w:numId="3042">
    <w:abstractNumId w:val="991"/>
  </w:num>
  <w:num w:numId="3043">
    <w:abstractNumId w:val="991"/>
  </w:num>
  <w:num w:numId="3044">
    <w:abstractNumId w:val="991"/>
  </w:num>
  <w:num w:numId="3045">
    <w:abstractNumId w:val="991"/>
  </w:num>
  <w:num w:numId="3046">
    <w:abstractNumId w:val="991"/>
  </w:num>
  <w:num w:numId="3047">
    <w:abstractNumId w:val="991"/>
  </w:num>
  <w:num w:numId="3048">
    <w:abstractNumId w:val="991"/>
  </w:num>
  <w:num w:numId="3049">
    <w:abstractNumId w:val="991"/>
  </w:num>
  <w:num w:numId="3050">
    <w:abstractNumId w:val="991"/>
  </w:num>
  <w:num w:numId="3051">
    <w:abstractNumId w:val="991"/>
  </w:num>
  <w:num w:numId="3052">
    <w:abstractNumId w:val="991"/>
  </w:num>
  <w:num w:numId="3053">
    <w:abstractNumId w:val="991"/>
  </w:num>
  <w:num w:numId="3054">
    <w:abstractNumId w:val="991"/>
  </w:num>
  <w:num w:numId="3055">
    <w:abstractNumId w:val="991"/>
  </w:num>
  <w:num w:numId="3056">
    <w:abstractNumId w:val="991"/>
  </w:num>
  <w:num w:numId="3057">
    <w:abstractNumId w:val="991"/>
  </w:num>
  <w:num w:numId="3058">
    <w:abstractNumId w:val="991"/>
  </w:num>
  <w:num w:numId="3059">
    <w:abstractNumId w:val="991"/>
  </w:num>
  <w:num w:numId="3060">
    <w:abstractNumId w:val="991"/>
  </w:num>
  <w:num w:numId="3061">
    <w:abstractNumId w:val="991"/>
  </w:num>
  <w:num w:numId="3062">
    <w:abstractNumId w:val="991"/>
  </w:num>
  <w:num w:numId="3063">
    <w:abstractNumId w:val="991"/>
  </w:num>
  <w:num w:numId="3064">
    <w:abstractNumId w:val="991"/>
  </w:num>
  <w:num w:numId="3065">
    <w:abstractNumId w:val="991"/>
  </w:num>
  <w:num w:numId="3066">
    <w:abstractNumId w:val="991"/>
  </w:num>
  <w:num w:numId="3067">
    <w:abstractNumId w:val="991"/>
  </w:num>
  <w:num w:numId="3068">
    <w:abstractNumId w:val="991"/>
  </w:num>
  <w:num w:numId="3069">
    <w:abstractNumId w:val="991"/>
  </w:num>
  <w:num w:numId="3070">
    <w:abstractNumId w:val="991"/>
  </w:num>
  <w:num w:numId="3071">
    <w:abstractNumId w:val="991"/>
  </w:num>
  <w:num w:numId="3072">
    <w:abstractNumId w:val="991"/>
  </w:num>
  <w:num w:numId="3073">
    <w:abstractNumId w:val="991"/>
  </w:num>
  <w:num w:numId="3074">
    <w:abstractNumId w:val="991"/>
  </w:num>
  <w:num w:numId="3075">
    <w:abstractNumId w:val="991"/>
  </w:num>
  <w:num w:numId="3076">
    <w:abstractNumId w:val="991"/>
  </w:num>
  <w:num w:numId="3077">
    <w:abstractNumId w:val="991"/>
  </w:num>
  <w:num w:numId="3078">
    <w:abstractNumId w:val="991"/>
  </w:num>
  <w:num w:numId="3079">
    <w:abstractNumId w:val="991"/>
  </w:num>
  <w:num w:numId="3080">
    <w:abstractNumId w:val="991"/>
  </w:num>
  <w:num w:numId="3081">
    <w:abstractNumId w:val="991"/>
  </w:num>
  <w:num w:numId="3082">
    <w:abstractNumId w:val="991"/>
  </w:num>
  <w:num w:numId="3083">
    <w:abstractNumId w:val="991"/>
  </w:num>
  <w:num w:numId="3084">
    <w:abstractNumId w:val="991"/>
  </w:num>
  <w:num w:numId="3085">
    <w:abstractNumId w:val="991"/>
  </w:num>
  <w:num w:numId="3086">
    <w:abstractNumId w:val="991"/>
  </w:num>
  <w:num w:numId="3087">
    <w:abstractNumId w:val="991"/>
  </w:num>
  <w:num w:numId="3088">
    <w:abstractNumId w:val="991"/>
  </w:num>
  <w:num w:numId="3089">
    <w:abstractNumId w:val="991"/>
  </w:num>
  <w:num w:numId="3090">
    <w:abstractNumId w:val="991"/>
  </w:num>
  <w:num w:numId="3091">
    <w:abstractNumId w:val="991"/>
  </w:num>
  <w:num w:numId="3092">
    <w:abstractNumId w:val="991"/>
  </w:num>
  <w:num w:numId="3093">
    <w:abstractNumId w:val="991"/>
  </w:num>
  <w:num w:numId="3094">
    <w:abstractNumId w:val="991"/>
  </w:num>
  <w:num w:numId="3095">
    <w:abstractNumId w:val="991"/>
  </w:num>
  <w:num w:numId="3096">
    <w:abstractNumId w:val="991"/>
  </w:num>
  <w:num w:numId="3097">
    <w:abstractNumId w:val="991"/>
  </w:num>
  <w:num w:numId="3098">
    <w:abstractNumId w:val="991"/>
  </w:num>
  <w:num w:numId="3099">
    <w:abstractNumId w:val="991"/>
  </w:num>
  <w:num w:numId="3100">
    <w:abstractNumId w:val="991"/>
  </w:num>
  <w:num w:numId="3101">
    <w:abstractNumId w:val="991"/>
  </w:num>
  <w:num w:numId="3102">
    <w:abstractNumId w:val="991"/>
  </w:num>
  <w:num w:numId="3103">
    <w:abstractNumId w:val="991"/>
  </w:num>
  <w:num w:numId="3104">
    <w:abstractNumId w:val="991"/>
  </w:num>
  <w:num w:numId="3105">
    <w:abstractNumId w:val="991"/>
  </w:num>
  <w:num w:numId="3106">
    <w:abstractNumId w:val="991"/>
  </w:num>
  <w:num w:numId="3107">
    <w:abstractNumId w:val="991"/>
  </w:num>
  <w:num w:numId="3108">
    <w:abstractNumId w:val="991"/>
  </w:num>
  <w:num w:numId="3109">
    <w:abstractNumId w:val="991"/>
  </w:num>
  <w:num w:numId="3110">
    <w:abstractNumId w:val="991"/>
  </w:num>
  <w:num w:numId="3111">
    <w:abstractNumId w:val="991"/>
  </w:num>
  <w:num w:numId="3112">
    <w:abstractNumId w:val="991"/>
  </w:num>
  <w:num w:numId="3113">
    <w:abstractNumId w:val="991"/>
  </w:num>
  <w:num w:numId="3114">
    <w:abstractNumId w:val="991"/>
  </w:num>
  <w:num w:numId="3115">
    <w:abstractNumId w:val="991"/>
  </w:num>
  <w:num w:numId="3116">
    <w:abstractNumId w:val="991"/>
  </w:num>
  <w:num w:numId="3117">
    <w:abstractNumId w:val="991"/>
  </w:num>
  <w:num w:numId="3118">
    <w:abstractNumId w:val="991"/>
  </w:num>
  <w:num w:numId="3119">
    <w:abstractNumId w:val="991"/>
  </w:num>
  <w:num w:numId="3120">
    <w:abstractNumId w:val="991"/>
  </w:num>
  <w:num w:numId="3121">
    <w:abstractNumId w:val="991"/>
  </w:num>
  <w:num w:numId="3122">
    <w:abstractNumId w:val="991"/>
  </w:num>
  <w:num w:numId="3123">
    <w:abstractNumId w:val="991"/>
  </w:num>
  <w:num w:numId="3124">
    <w:abstractNumId w:val="991"/>
  </w:num>
  <w:num w:numId="3125">
    <w:abstractNumId w:val="991"/>
  </w:num>
  <w:num w:numId="3126">
    <w:abstractNumId w:val="991"/>
  </w:num>
  <w:num w:numId="3127">
    <w:abstractNumId w:val="991"/>
  </w:num>
  <w:num w:numId="3128">
    <w:abstractNumId w:val="991"/>
  </w:num>
  <w:num w:numId="3129">
    <w:abstractNumId w:val="991"/>
  </w:num>
  <w:num w:numId="3130">
    <w:abstractNumId w:val="991"/>
  </w:num>
  <w:num w:numId="3131">
    <w:abstractNumId w:val="991"/>
  </w:num>
  <w:num w:numId="3132">
    <w:abstractNumId w:val="991"/>
  </w:num>
  <w:num w:numId="3133">
    <w:abstractNumId w:val="991"/>
  </w:num>
  <w:num w:numId="3134">
    <w:abstractNumId w:val="991"/>
  </w:num>
  <w:num w:numId="3135">
    <w:abstractNumId w:val="991"/>
  </w:num>
  <w:num w:numId="3136">
    <w:abstractNumId w:val="991"/>
  </w:num>
  <w:num w:numId="3137">
    <w:abstractNumId w:val="991"/>
  </w:num>
  <w:num w:numId="3138">
    <w:abstractNumId w:val="991"/>
  </w:num>
  <w:num w:numId="3139">
    <w:abstractNumId w:val="991"/>
  </w:num>
  <w:num w:numId="3140">
    <w:abstractNumId w:val="991"/>
  </w:num>
  <w:num w:numId="3141">
    <w:abstractNumId w:val="991"/>
  </w:num>
  <w:num w:numId="3142">
    <w:abstractNumId w:val="991"/>
  </w:num>
  <w:num w:numId="3143">
    <w:abstractNumId w:val="991"/>
  </w:num>
  <w:num w:numId="3144">
    <w:abstractNumId w:val="991"/>
  </w:num>
  <w:num w:numId="3145">
    <w:abstractNumId w:val="991"/>
  </w:num>
  <w:num w:numId="3146">
    <w:abstractNumId w:val="991"/>
  </w:num>
  <w:num w:numId="3147">
    <w:abstractNumId w:val="991"/>
  </w:num>
  <w:num w:numId="3148">
    <w:abstractNumId w:val="991"/>
  </w:num>
  <w:num w:numId="3149">
    <w:abstractNumId w:val="991"/>
  </w:num>
  <w:num w:numId="3150">
    <w:abstractNumId w:val="991"/>
  </w:num>
  <w:num w:numId="3151">
    <w:abstractNumId w:val="991"/>
  </w:num>
  <w:num w:numId="3152">
    <w:abstractNumId w:val="991"/>
  </w:num>
  <w:num w:numId="3153">
    <w:abstractNumId w:val="991"/>
  </w:num>
  <w:num w:numId="3154">
    <w:abstractNumId w:val="991"/>
  </w:num>
  <w:num w:numId="3155">
    <w:abstractNumId w:val="991"/>
  </w:num>
  <w:num w:numId="3156">
    <w:abstractNumId w:val="991"/>
  </w:num>
  <w:num w:numId="3157">
    <w:abstractNumId w:val="991"/>
  </w:num>
  <w:num w:numId="3158">
    <w:abstractNumId w:val="991"/>
  </w:num>
  <w:num w:numId="3159">
    <w:abstractNumId w:val="991"/>
  </w:num>
  <w:num w:numId="3160">
    <w:abstractNumId w:val="991"/>
  </w:num>
  <w:num w:numId="3161">
    <w:abstractNumId w:val="991"/>
  </w:num>
  <w:num w:numId="3162">
    <w:abstractNumId w:val="991"/>
  </w:num>
  <w:num w:numId="3163">
    <w:abstractNumId w:val="991"/>
  </w:num>
  <w:num w:numId="3164">
    <w:abstractNumId w:val="991"/>
  </w:num>
  <w:num w:numId="3165">
    <w:abstractNumId w:val="991"/>
  </w:num>
  <w:num w:numId="3166">
    <w:abstractNumId w:val="991"/>
  </w:num>
  <w:num w:numId="3167">
    <w:abstractNumId w:val="991"/>
  </w:num>
  <w:num w:numId="3168">
    <w:abstractNumId w:val="991"/>
  </w:num>
  <w:num w:numId="3169">
    <w:abstractNumId w:val="991"/>
  </w:num>
  <w:num w:numId="3170">
    <w:abstractNumId w:val="991"/>
  </w:num>
  <w:num w:numId="3171">
    <w:abstractNumId w:val="991"/>
  </w:num>
  <w:num w:numId="3172">
    <w:abstractNumId w:val="991"/>
  </w:num>
  <w:num w:numId="3173">
    <w:abstractNumId w:val="991"/>
  </w:num>
  <w:num w:numId="3174">
    <w:abstractNumId w:val="991"/>
  </w:num>
  <w:num w:numId="3175">
    <w:abstractNumId w:val="991"/>
  </w:num>
  <w:num w:numId="3176">
    <w:abstractNumId w:val="991"/>
  </w:num>
  <w:num w:numId="3177">
    <w:abstractNumId w:val="991"/>
  </w:num>
  <w:num w:numId="3178">
    <w:abstractNumId w:val="991"/>
  </w:num>
  <w:num w:numId="3179">
    <w:abstractNumId w:val="991"/>
  </w:num>
  <w:num w:numId="3180">
    <w:abstractNumId w:val="991"/>
  </w:num>
  <w:num w:numId="3181">
    <w:abstractNumId w:val="991"/>
  </w:num>
  <w:num w:numId="3182">
    <w:abstractNumId w:val="991"/>
  </w:num>
  <w:num w:numId="3183">
    <w:abstractNumId w:val="991"/>
  </w:num>
  <w:num w:numId="3184">
    <w:abstractNumId w:val="991"/>
  </w:num>
  <w:num w:numId="3185">
    <w:abstractNumId w:val="991"/>
  </w:num>
  <w:num w:numId="3186">
    <w:abstractNumId w:val="991"/>
  </w:num>
  <w:num w:numId="3187">
    <w:abstractNumId w:val="991"/>
  </w:num>
  <w:num w:numId="3188">
    <w:abstractNumId w:val="991"/>
  </w:num>
  <w:num w:numId="3189">
    <w:abstractNumId w:val="991"/>
  </w:num>
  <w:num w:numId="3190">
    <w:abstractNumId w:val="991"/>
  </w:num>
  <w:num w:numId="3191">
    <w:abstractNumId w:val="991"/>
  </w:num>
  <w:num w:numId="3192">
    <w:abstractNumId w:val="991"/>
  </w:num>
  <w:num w:numId="3193">
    <w:abstractNumId w:val="991"/>
  </w:num>
  <w:num w:numId="3194">
    <w:abstractNumId w:val="991"/>
  </w:num>
  <w:num w:numId="3195">
    <w:abstractNumId w:val="991"/>
  </w:num>
  <w:num w:numId="3196">
    <w:abstractNumId w:val="991"/>
  </w:num>
  <w:num w:numId="3197">
    <w:abstractNumId w:val="991"/>
  </w:num>
  <w:num w:numId="3198">
    <w:abstractNumId w:val="991"/>
  </w:num>
  <w:num w:numId="3199">
    <w:abstractNumId w:val="991"/>
  </w:num>
  <w:num w:numId="3200">
    <w:abstractNumId w:val="991"/>
  </w:num>
  <w:num w:numId="3201">
    <w:abstractNumId w:val="991"/>
  </w:num>
  <w:num w:numId="3202">
    <w:abstractNumId w:val="991"/>
  </w:num>
  <w:num w:numId="3203">
    <w:abstractNumId w:val="991"/>
  </w:num>
  <w:num w:numId="3204">
    <w:abstractNumId w:val="991"/>
  </w:num>
  <w:num w:numId="3205">
    <w:abstractNumId w:val="991"/>
  </w:num>
  <w:num w:numId="3206">
    <w:abstractNumId w:val="991"/>
  </w:num>
  <w:num w:numId="3207">
    <w:abstractNumId w:val="991"/>
  </w:num>
  <w:num w:numId="3208">
    <w:abstractNumId w:val="991"/>
  </w:num>
  <w:num w:numId="3209">
    <w:abstractNumId w:val="991"/>
  </w:num>
  <w:num w:numId="3210">
    <w:abstractNumId w:val="991"/>
  </w:num>
  <w:num w:numId="3211">
    <w:abstractNumId w:val="991"/>
  </w:num>
  <w:num w:numId="3212">
    <w:abstractNumId w:val="991"/>
  </w:num>
  <w:num w:numId="3213">
    <w:abstractNumId w:val="991"/>
  </w:num>
  <w:num w:numId="3214">
    <w:abstractNumId w:val="991"/>
  </w:num>
  <w:num w:numId="3215">
    <w:abstractNumId w:val="991"/>
  </w:num>
  <w:num w:numId="3216">
    <w:abstractNumId w:val="991"/>
  </w:num>
  <w:num w:numId="3217">
    <w:abstractNumId w:val="991"/>
  </w:num>
  <w:num w:numId="3218">
    <w:abstractNumId w:val="991"/>
  </w:num>
  <w:num w:numId="3219">
    <w:abstractNumId w:val="991"/>
  </w:num>
  <w:num w:numId="3220">
    <w:abstractNumId w:val="991"/>
  </w:num>
  <w:num w:numId="3221">
    <w:abstractNumId w:val="991"/>
  </w:num>
  <w:num w:numId="3222">
    <w:abstractNumId w:val="991"/>
  </w:num>
  <w:num w:numId="3223">
    <w:abstractNumId w:val="991"/>
  </w:num>
  <w:num w:numId="3224">
    <w:abstractNumId w:val="991"/>
  </w:num>
  <w:num w:numId="3225">
    <w:abstractNumId w:val="991"/>
  </w:num>
  <w:num w:numId="3226">
    <w:abstractNumId w:val="991"/>
  </w:num>
  <w:num w:numId="3227">
    <w:abstractNumId w:val="991"/>
  </w:num>
  <w:num w:numId="3228">
    <w:abstractNumId w:val="991"/>
  </w:num>
  <w:num w:numId="3229">
    <w:abstractNumId w:val="991"/>
  </w:num>
  <w:num w:numId="3230">
    <w:abstractNumId w:val="991"/>
  </w:num>
  <w:num w:numId="3231">
    <w:abstractNumId w:val="991"/>
  </w:num>
  <w:num w:numId="3232">
    <w:abstractNumId w:val="991"/>
  </w:num>
  <w:num w:numId="3233">
    <w:abstractNumId w:val="991"/>
  </w:num>
  <w:num w:numId="323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North Smithfield</dc:creator>
  <cp:keywords>Town of North Smithfield, RI, Zoning Ordinance, zoning, municipal ordinance</cp:keywords>
  <dcterms:created xsi:type="dcterms:W3CDTF">2026-09-10T22:52:30Z</dcterms:created>
  <dcterms:modified xsi:type="dcterms:W3CDTF">2026-09-10T22:52:30Z</dcterms:modified>
  <dc:subject>Adopted Ordinance</dc:subject>
  <cp:lastModifiedBy>Town of North Smithfield</cp:lastModifiedBy>
</cp:coreProperties>
</file>

<file path=docProps/custom.xml><?xml version="1.0" encoding="utf-8"?>
<Properties xmlns="http://schemas.openxmlformats.org/officeDocument/2006/custom-properties" xmlns:vt="http://schemas.openxmlformats.org/officeDocument/2006/docPropsVTypes"/>
</file>