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city-of-providence"/>
    <w:p>
      <w:pPr>
        <w:pStyle w:val="Heading1"/>
      </w:pPr>
      <w:r>
        <w:t xml:space="preserve">City of Providence</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title-purpose-and-applicability"/>
    <w:p>
      <w:pPr>
        <w:pStyle w:val="Heading1"/>
      </w:pPr>
      <w:r>
        <w:t xml:space="preserve">§ 1. TITLE, PURPOSE, AND APPLICABILITY</w:t>
      </w:r>
    </w:p>
    <w:p>
      <w:pPr>
        <w:pStyle w:val="FirstParagraph"/>
      </w:pPr>
      <w:r>
        <w:t xml:space="preserve">ARTICLE 1. TITLE, PURPOSE, AND APPLICABILITY 100 TITLE 101 PURPOSE 102 APPLICABILITY 103 TRANSITION RULES 104 SEVERABILITY</w:t>
      </w:r>
    </w:p>
    <w:bookmarkEnd w:id="22"/>
    <w:bookmarkStart w:id="23" w:name="title"/>
    <w:p>
      <w:pPr>
        <w:pStyle w:val="Heading2"/>
      </w:pPr>
      <w:r>
        <w:t xml:space="preserve">§ 100. TITLE</w:t>
      </w:r>
    </w:p>
    <w:p>
      <w:pPr>
        <w:pStyle w:val="FirstParagraph"/>
      </w:pPr>
      <w:r>
        <w:t xml:space="preserve">100 TITLE This Ordinance, which incorporates the City of Providence Zoning Map, is known, cited, and referred to as the “City of Providence Zoning Ordinance,” “Zoning Ordinance,” or “Ordinance.”</w:t>
      </w:r>
    </w:p>
    <w:bookmarkEnd w:id="23"/>
    <w:bookmarkStart w:id="24" w:name="purpose"/>
    <w:p>
      <w:pPr>
        <w:pStyle w:val="Heading2"/>
      </w:pPr>
      <w:r>
        <w:t xml:space="preserve">§ 101. PURPOSE</w:t>
      </w:r>
    </w:p>
    <w:p>
      <w:pPr>
        <w:pStyle w:val="FirstParagraph"/>
      </w:pPr>
      <w:r>
        <w:t xml:space="preserve">101 PURPOSE The intent of this document is to establish land use regulations to serve the City of Providence, also cited as the “City” in this Ordinance. The districts and regulations set forth in this Ordinance are in compliance with the Comprehensive Plan. The purposes of this Ordinance include:</w:t>
      </w:r>
    </w:p>
    <w:p>
      <w:pPr>
        <w:numPr>
          <w:ilvl w:val="0"/>
          <w:numId w:val="1001"/>
        </w:numPr>
      </w:pPr>
      <w:r>
        <w:t xml:space="preserve">A. Promoting the public health, safety, and general welfare.</w:t>
      </w:r>
    </w:p>
    <w:p>
      <w:pPr>
        <w:numPr>
          <w:ilvl w:val="0"/>
          <w:numId w:val="1002"/>
        </w:numPr>
      </w:pPr>
      <w:r>
        <w:t xml:space="preserve">B. Providing for a range of uses and intensities of use appropriate to the character of the city and reflecting current and expected future needs.</w:t>
      </w:r>
    </w:p>
    <w:p>
      <w:pPr>
        <w:numPr>
          <w:ilvl w:val="0"/>
          <w:numId w:val="1003"/>
        </w:numPr>
      </w:pPr>
      <w:r>
        <w:t xml:space="preserve">C. Providing for orderly growth and development which recognizes:</w:t>
      </w:r>
    </w:p>
    <w:p>
      <w:pPr>
        <w:numPr>
          <w:ilvl w:val="0"/>
          <w:numId w:val="1004"/>
        </w:numPr>
      </w:pPr>
      <w:r>
        <w:t xml:space="preserve">1. The goals and patterns of land use contained in the Comprehensive Plan.</w:t>
      </w:r>
    </w:p>
    <w:p>
      <w:pPr>
        <w:numPr>
          <w:ilvl w:val="0"/>
          <w:numId w:val="1005"/>
        </w:numPr>
      </w:pPr>
      <w:r>
        <w:t xml:space="preserve">2. The natural characteristics of the land, including its suitability for use based on soil characteristics, topography, and susceptibility to surface or groundwater pollution.</w:t>
      </w:r>
    </w:p>
    <w:p>
      <w:pPr>
        <w:numPr>
          <w:ilvl w:val="0"/>
          <w:numId w:val="1006"/>
        </w:numPr>
      </w:pPr>
      <w:r>
        <w:t xml:space="preserve">3. The values and dynamic nature of coastal and freshwater ponds, the shoreline, and freshwater and coastal wetlands.</w:t>
      </w:r>
    </w:p>
    <w:p>
      <w:pPr>
        <w:numPr>
          <w:ilvl w:val="0"/>
          <w:numId w:val="1007"/>
        </w:numPr>
      </w:pPr>
      <w:r>
        <w:t xml:space="preserve">4. The values of unique or valuable natural resources and features.</w:t>
      </w:r>
    </w:p>
    <w:p>
      <w:pPr>
        <w:numPr>
          <w:ilvl w:val="0"/>
          <w:numId w:val="1008"/>
        </w:numPr>
      </w:pPr>
      <w:r>
        <w:t xml:space="preserve">5. The availability and capacity of existing and planned public and/or private services and facilities.</w:t>
      </w:r>
    </w:p>
    <w:p>
      <w:pPr>
        <w:numPr>
          <w:ilvl w:val="0"/>
          <w:numId w:val="1009"/>
        </w:numPr>
      </w:pPr>
      <w:r>
        <w:t xml:space="preserve">6. The need to shape and balance urban and rural development.</w:t>
      </w:r>
    </w:p>
    <w:p>
      <w:pPr>
        <w:numPr>
          <w:ilvl w:val="0"/>
          <w:numId w:val="1010"/>
        </w:numPr>
      </w:pPr>
      <w:r>
        <w:t xml:space="preserve">7. The use of innovative development regulations and techniques.</w:t>
      </w:r>
    </w:p>
    <w:p>
      <w:pPr>
        <w:pStyle w:val="Compact"/>
        <w:numPr>
          <w:ilvl w:val="0"/>
          <w:numId w:val="1011"/>
        </w:numPr>
      </w:pPr>
    </w:p>
    <w:p>
      <w:pPr>
        <w:numPr>
          <w:ilvl w:val="1"/>
          <w:numId w:val="1012"/>
        </w:numPr>
      </w:pPr>
      <w:r>
        <w:t xml:space="preserve">D. Providing for the control, protection, and/or abatement of air, water, groundwater, and noise pollution, and soil erosion and sedimentation.</w:t>
      </w:r>
    </w:p>
    <w:p>
      <w:pPr>
        <w:pStyle w:val="Compact"/>
        <w:numPr>
          <w:ilvl w:val="0"/>
          <w:numId w:val="1013"/>
        </w:numPr>
      </w:pPr>
    </w:p>
    <w:p>
      <w:pPr>
        <w:numPr>
          <w:ilvl w:val="1"/>
          <w:numId w:val="1014"/>
        </w:numPr>
      </w:pPr>
      <w:r>
        <w:t xml:space="preserve">E. Providing for the protection of the natural, historic, cultural, and scenic character of the city or areas in the municipality.</w:t>
      </w:r>
    </w:p>
    <w:p>
      <w:pPr>
        <w:pStyle w:val="Compact"/>
        <w:numPr>
          <w:ilvl w:val="0"/>
          <w:numId w:val="1015"/>
        </w:numPr>
      </w:pPr>
    </w:p>
    <w:p>
      <w:pPr>
        <w:numPr>
          <w:ilvl w:val="1"/>
          <w:numId w:val="1016"/>
        </w:numPr>
      </w:pPr>
      <w:r>
        <w:t xml:space="preserve">F. Providing for the preservation and promotion of agricultural production, forest, silviculture, aquaculture, timber resources, and open space.</w:t>
      </w:r>
    </w:p>
    <w:p>
      <w:pPr>
        <w:pStyle w:val="Compact"/>
        <w:numPr>
          <w:ilvl w:val="0"/>
          <w:numId w:val="1017"/>
        </w:numPr>
      </w:pPr>
    </w:p>
    <w:p>
      <w:pPr>
        <w:numPr>
          <w:ilvl w:val="1"/>
          <w:numId w:val="1018"/>
        </w:numPr>
      </w:pPr>
      <w:r>
        <w:t xml:space="preserve">G. Providing for the protection of public investment in transportation, water, stormwater management systems, sewage treatment and disposal, solid waste treatment and disposal, schools, recreation, public facilities, open space, and other public requirements.</w:t>
      </w:r>
    </w:p>
    <w:p>
      <w:pPr>
        <w:pStyle w:val="Compact"/>
        <w:numPr>
          <w:ilvl w:val="0"/>
          <w:numId w:val="1019"/>
        </w:numPr>
      </w:pPr>
    </w:p>
    <w:p>
      <w:pPr>
        <w:numPr>
          <w:ilvl w:val="1"/>
          <w:numId w:val="1020"/>
        </w:numPr>
      </w:pPr>
      <w:r>
        <w:t xml:space="preserve">H. Promoting a balance of housing choices, for all income levels and groups, to assure the health, safety, and welfare of all citizens and their rights to affordable, accessible, safe, and sanitary housing.</w:t>
      </w:r>
    </w:p>
    <w:p>
      <w:pPr>
        <w:pStyle w:val="Compact"/>
        <w:numPr>
          <w:ilvl w:val="0"/>
          <w:numId w:val="1021"/>
        </w:numPr>
      </w:pPr>
    </w:p>
    <w:p>
      <w:pPr>
        <w:numPr>
          <w:ilvl w:val="1"/>
          <w:numId w:val="1022"/>
        </w:numPr>
      </w:pPr>
      <w:r>
        <w:t xml:space="preserve">I. Providing opportunities for the establishment of low and moderate income housing.</w:t>
      </w:r>
    </w:p>
    <w:p>
      <w:pPr>
        <w:pStyle w:val="Compact"/>
        <w:numPr>
          <w:ilvl w:val="0"/>
          <w:numId w:val="1023"/>
        </w:numPr>
      </w:pPr>
    </w:p>
    <w:p>
      <w:pPr>
        <w:numPr>
          <w:ilvl w:val="1"/>
          <w:numId w:val="1024"/>
        </w:numPr>
      </w:pPr>
      <w:r>
        <w:t xml:space="preserve">J. Promoting safety from fire, flood, and other natural or unnatural disasters.</w:t>
      </w:r>
    </w:p>
    <w:p>
      <w:pPr>
        <w:pStyle w:val="Compact"/>
        <w:numPr>
          <w:ilvl w:val="0"/>
          <w:numId w:val="1025"/>
        </w:numPr>
      </w:pPr>
    </w:p>
    <w:p>
      <w:pPr>
        <w:numPr>
          <w:ilvl w:val="1"/>
          <w:numId w:val="1026"/>
        </w:numPr>
      </w:pPr>
      <w:r>
        <w:t xml:space="preserve">K. Promoting a high level of quality in design in the development of private and public facilities.</w:t>
      </w:r>
    </w:p>
    <w:p>
      <w:pPr>
        <w:pStyle w:val="Compact"/>
        <w:numPr>
          <w:ilvl w:val="0"/>
          <w:numId w:val="1027"/>
        </w:numPr>
      </w:pPr>
    </w:p>
    <w:p>
      <w:pPr>
        <w:numPr>
          <w:ilvl w:val="1"/>
          <w:numId w:val="1028"/>
        </w:numPr>
      </w:pPr>
      <w:r>
        <w:t xml:space="preserve">L. Promoting implementation of the Comprehensive Plan.</w:t>
      </w:r>
    </w:p>
    <w:p>
      <w:pPr>
        <w:pStyle w:val="Compact"/>
        <w:numPr>
          <w:ilvl w:val="0"/>
          <w:numId w:val="1029"/>
        </w:numPr>
      </w:pPr>
    </w:p>
    <w:p>
      <w:pPr>
        <w:numPr>
          <w:ilvl w:val="1"/>
          <w:numId w:val="1030"/>
        </w:numPr>
      </w:pPr>
      <w:r>
        <w:t xml:space="preserve">M. Providing for coordination of land uses with contiguous municipalities, other municipalities, the state, and other agencies, as appropriate, especially with regard to resources and facilities that extend beyond municipal boundaries or have a direct impact on that municipality.</w:t>
      </w:r>
    </w:p>
    <w:p>
      <w:pPr>
        <w:pStyle w:val="Compact"/>
        <w:numPr>
          <w:ilvl w:val="0"/>
          <w:numId w:val="1031"/>
        </w:numPr>
      </w:pPr>
    </w:p>
    <w:p>
      <w:pPr>
        <w:numPr>
          <w:ilvl w:val="1"/>
          <w:numId w:val="1032"/>
        </w:numPr>
      </w:pPr>
      <w:r>
        <w:t xml:space="preserve">N. Providing for efficient review of development proposals, to clarify and expedite the zoning approval process.</w:t>
      </w:r>
    </w:p>
    <w:p>
      <w:pPr>
        <w:pStyle w:val="Compact"/>
        <w:numPr>
          <w:ilvl w:val="0"/>
          <w:numId w:val="1033"/>
        </w:numPr>
      </w:pPr>
    </w:p>
    <w:p>
      <w:pPr>
        <w:numPr>
          <w:ilvl w:val="1"/>
          <w:numId w:val="1034"/>
        </w:numPr>
      </w:pPr>
      <w:r>
        <w:t xml:space="preserve">O. Providing for procedures for the administration of the zoning ordinance, including, but not limited to, variances, special use permits, and, where adopted, procedures for modifications.</w:t>
      </w:r>
    </w:p>
    <w:p>
      <w:pPr>
        <w:pStyle w:val="Compact"/>
        <w:numPr>
          <w:ilvl w:val="0"/>
          <w:numId w:val="1035"/>
        </w:numPr>
      </w:pPr>
    </w:p>
    <w:p>
      <w:pPr>
        <w:numPr>
          <w:ilvl w:val="1"/>
          <w:numId w:val="1036"/>
        </w:numPr>
      </w:pPr>
      <w:r>
        <w:t xml:space="preserve">P. Providing opportunities for reasonable accommodations in order to comply with the Rhode Island Fair Housing Practices Act, chapter 37 of title 34, the United States Fair Housing Amendments Act of 1988 (FHAA), the Rhode Island Civil Rights of Persons with Disabilities Act, chapter 87 of title 42, and the Americans with Disabilities Act of 1990 (ADA), 42 U.S.C. §12101 et seq.</w:t>
      </w:r>
    </w:p>
    <w:bookmarkEnd w:id="24"/>
    <w:bookmarkStart w:id="25" w:name="applicability"/>
    <w:p>
      <w:pPr>
        <w:pStyle w:val="Heading2"/>
      </w:pPr>
      <w:r>
        <w:t xml:space="preserve">§ 102. APPLICABILITY</w:t>
      </w:r>
    </w:p>
    <w:p>
      <w:pPr>
        <w:pStyle w:val="FirstParagraph"/>
      </w:pPr>
      <w:r>
        <w:t xml:space="preserve">102 APPLICABILITY</w:t>
      </w:r>
    </w:p>
    <w:p>
      <w:pPr>
        <w:numPr>
          <w:ilvl w:val="0"/>
          <w:numId w:val="1037"/>
        </w:numPr>
      </w:pPr>
      <w:r>
        <w:t xml:space="preserve">A. Territorial Application This Ordinance applies to all land, uses, and structures within the corporate limits of the City of Providence. This Ordinance does not apply to land, uses, and structures located within the public rightof-way, with the exception of certain permitted encroachments into the right-of-way per Section 302.</w:t>
      </w:r>
    </w:p>
    <w:p>
      <w:pPr>
        <w:numPr>
          <w:ilvl w:val="0"/>
          <w:numId w:val="1038"/>
        </w:numPr>
      </w:pPr>
      <w:r>
        <w:t xml:space="preserve">B. General Application In their interpretation and application, the provisions of this Ordinance are held to be the minimum requirements for the promotion and protection of the public health, safety, and welfare.</w:t>
      </w:r>
    </w:p>
    <w:p>
      <w:pPr>
        <w:numPr>
          <w:ilvl w:val="0"/>
          <w:numId w:val="1039"/>
        </w:numPr>
      </w:pPr>
      <w:r>
        <w:t xml:space="preserve">C. Required Conformance Any portion or whole of a structure shall be erected, constructed, reconstructed, moved, or enlarged in conformance with the requirements of this Ordinance. Any structure or land shall be used and occupied in conformance with the requirements of this Ordinance.</w:t>
      </w:r>
    </w:p>
    <w:p>
      <w:pPr>
        <w:numPr>
          <w:ilvl w:val="0"/>
          <w:numId w:val="1040"/>
        </w:numPr>
      </w:pPr>
      <w:r>
        <w:t xml:space="preserve">D. Relation to Private Agreements This Ordinance does not nullify any private agreement or covenant. However, where this Ordinance is more restrictive than a private agreement or covenant, this Ordinance controls. The City does not enforce any private agreement.</w:t>
      </w:r>
    </w:p>
    <w:p>
      <w:pPr>
        <w:numPr>
          <w:ilvl w:val="0"/>
          <w:numId w:val="1041"/>
        </w:numPr>
      </w:pPr>
      <w:r>
        <w:t xml:space="preserve">E. Relation to Other Laws and Regulations Unless otherwise specifically provided, this Ordinance controls over less restrictive City statutes, ordinances, or regulations, and more restrictive City statutes, ordinances, or regulations control over the provisions of this Ordinance. Compliance with this Ordinance does not imply compliance with any other statutes, ordinances, or regulations, including the Rhode Island Building Code.</w:t>
      </w:r>
    </w:p>
    <w:p>
      <w:pPr>
        <w:numPr>
          <w:ilvl w:val="0"/>
          <w:numId w:val="1042"/>
        </w:numPr>
      </w:pPr>
      <w:r>
        <w:t xml:space="preserve">F. Rules of Construction This Ordinance contains illustrations, photos, and graphics to assist the reader in understanding and applying the Ordinance. If there is any inconsistency between the text of the Ordinance and any such illustration, photo, and/or graphic, the text controls unless specifically stated otherwise.</w:t>
      </w:r>
    </w:p>
    <w:bookmarkEnd w:id="25"/>
    <w:bookmarkStart w:id="26" w:name="transition-rules"/>
    <w:p>
      <w:pPr>
        <w:pStyle w:val="Heading2"/>
      </w:pPr>
      <w:r>
        <w:t xml:space="preserve">§ 103. TRANSITION RULES</w:t>
      </w:r>
    </w:p>
    <w:p>
      <w:pPr>
        <w:pStyle w:val="FirstParagraph"/>
      </w:pPr>
      <w:r>
        <w:t xml:space="preserve">103 TRANSITION RULES</w:t>
      </w:r>
    </w:p>
    <w:p>
      <w:pPr>
        <w:numPr>
          <w:ilvl w:val="0"/>
          <w:numId w:val="1043"/>
        </w:numPr>
      </w:pPr>
      <w:r>
        <w:t xml:space="preserve">A. Existing Illegal Structures and Uses A structure or use that is illegal at the time of the adoption of, but is made legal by the provisions of this Ordinance, is deemed lawful as of the effective date of this Ordinance. However, if that structure or use does not conform to every requirement of this Ordinance, then that structure or use remains illegal.</w:t>
      </w:r>
    </w:p>
    <w:p>
      <w:pPr>
        <w:numPr>
          <w:ilvl w:val="0"/>
          <w:numId w:val="1044"/>
        </w:numPr>
      </w:pPr>
      <w:r>
        <w:t xml:space="preserve">B. Existing Uses</w:t>
      </w:r>
    </w:p>
    <w:p>
      <w:pPr>
        <w:numPr>
          <w:ilvl w:val="0"/>
          <w:numId w:val="1000"/>
        </w:numPr>
      </w:pPr>
      <w:r>
        <w:t xml:space="preserve">1. If a structure or land is used in a manner that was classified as a permitted use prior to the effective date of this Ordinance, and now that use is classified as a special use as of the effective date of this Ordinance, that use is deemed a lawful special use. Any subsequent addition, enlargement, or expansion of that use shall conform to the procedural and substantive requirements of this Ordinance for special uses.</w:t>
      </w:r>
    </w:p>
    <w:p>
      <w:pPr>
        <w:numPr>
          <w:ilvl w:val="0"/>
          <w:numId w:val="1045"/>
        </w:numPr>
      </w:pPr>
      <w:r>
        <w:t xml:space="preserve">2. If a structure or land is used in a manner that was classified as a special use prior to the effective date of this Ordinance, and that use is now classified as a permitted use as of the effective date of this Ordinance, that use is deemed a lawful permitted use. Any subsequent addition, enlargement, or expansion of that use shall conform to any Ordinance requirements for such permitted use and is no longer subject to the special use ordinance under which it was originally approved.</w:t>
      </w:r>
    </w:p>
    <w:p>
      <w:pPr>
        <w:numPr>
          <w:ilvl w:val="0"/>
          <w:numId w:val="1046"/>
        </w:numPr>
      </w:pPr>
      <w:r>
        <w:t xml:space="preserve">3. If a structure or land is used in a manner that was classified as either a permitted or special use prior to the effective date of this Ordinance, but this Ordinance no longer classifies that use as either a permitted or special use in the zoning district in which it is located, that use is deemed a nonconforming use and is controlled by the provisions of Article 20.</w:t>
      </w:r>
    </w:p>
    <w:p>
      <w:pPr>
        <w:pStyle w:val="Compact"/>
        <w:numPr>
          <w:ilvl w:val="0"/>
          <w:numId w:val="1047"/>
        </w:numPr>
      </w:pPr>
    </w:p>
    <w:p>
      <w:pPr>
        <w:numPr>
          <w:ilvl w:val="1"/>
          <w:numId w:val="1048"/>
        </w:numPr>
      </w:pPr>
      <w:r>
        <w:t xml:space="preserve">C. Structures Rendered Nonconforming If a structure existing on the effective date of this Ordinance was a conforming structure before the effective date of this Ordinance, but such structure does not meet all standards set forth in this Ordinance in the zoning district in which it is located, that structure is deemed a nonconforming structure and is controlled by the provisions of Article 20.</w:t>
      </w:r>
    </w:p>
    <w:p>
      <w:pPr>
        <w:pStyle w:val="Compact"/>
        <w:numPr>
          <w:ilvl w:val="0"/>
          <w:numId w:val="1049"/>
        </w:numPr>
      </w:pPr>
    </w:p>
    <w:p>
      <w:pPr>
        <w:numPr>
          <w:ilvl w:val="1"/>
          <w:numId w:val="1050"/>
        </w:numPr>
      </w:pPr>
      <w:r>
        <w:t xml:space="preserve">D. Lots Rendered Nonconforming If a lot existing on the effective date of this Ordinance was a conforming lot before the effective date of this Ordinance, but such lot does not meet all standards set forth in this Ordinance in the zoning district in which it is located, that lot is deemed a nonconforming lot and is controlled by the provisions of Article 20.</w:t>
      </w:r>
    </w:p>
    <w:p>
      <w:pPr>
        <w:pStyle w:val="Compact"/>
        <w:numPr>
          <w:ilvl w:val="0"/>
          <w:numId w:val="1051"/>
        </w:numPr>
      </w:pPr>
    </w:p>
    <w:p>
      <w:pPr>
        <w:numPr>
          <w:ilvl w:val="1"/>
          <w:numId w:val="1052"/>
        </w:numPr>
      </w:pPr>
      <w:r>
        <w:t xml:space="preserve">E. Site Elements Rendered Nonconforming If a site element existing on the effective date of this Ordinance was conforming before the effective date of this Ordinance, but such site element does not meet all standards set forth in this Ordinance in the zoning district in which it is located, that site element is deemed a nonconforming site element and is controlled by the provisions of Article 20.</w:t>
      </w:r>
    </w:p>
    <w:p>
      <w:pPr>
        <w:pStyle w:val="Compact"/>
        <w:numPr>
          <w:ilvl w:val="0"/>
          <w:numId w:val="1053"/>
        </w:numPr>
      </w:pPr>
    </w:p>
    <w:p>
      <w:pPr>
        <w:numPr>
          <w:ilvl w:val="1"/>
          <w:numId w:val="1054"/>
        </w:numPr>
      </w:pPr>
      <w:r>
        <w:t xml:space="preserve">F. Previously Issued Building Permits If a building permit for a structure was lawfully issued prior to the effective date of this Ordinance, and if construction has begun within 180 days of the issuance of that permit with any additional extensions granted by the Building Official, the structure may be completed in accordance with the plans on the basis of which the building permit was issued and may, upon completion, be occupied under an occupancy permit for the use originally intended.</w:t>
      </w:r>
    </w:p>
    <w:p>
      <w:pPr>
        <w:pStyle w:val="Compact"/>
        <w:numPr>
          <w:ilvl w:val="0"/>
          <w:numId w:val="1055"/>
        </w:numPr>
      </w:pPr>
    </w:p>
    <w:p>
      <w:pPr>
        <w:numPr>
          <w:ilvl w:val="1"/>
          <w:numId w:val="1056"/>
        </w:numPr>
      </w:pPr>
      <w:r>
        <w:t xml:space="preserve">G. Previously Granted Variances All variance approvals granted prior to the effective date of this Ordinance remain in full force and effect. The recipient of the variance may proceed to develop the property in accordance with the approved plans and all applicable conditions. However, if the recipient has failed to act on the variance before the approval expires, including any periods of extension granted, the provisions of this Ordinance control.</w:t>
      </w:r>
    </w:p>
    <w:p>
      <w:pPr>
        <w:pStyle w:val="Compact"/>
        <w:numPr>
          <w:ilvl w:val="0"/>
          <w:numId w:val="1057"/>
        </w:numPr>
      </w:pPr>
    </w:p>
    <w:p>
      <w:pPr>
        <w:numPr>
          <w:ilvl w:val="1"/>
          <w:numId w:val="1058"/>
        </w:numPr>
      </w:pPr>
      <w:r>
        <w:t xml:space="preserve">H. Pending Applications An application that has been submitted and deemed complete is subject to the Ordinance requirements in effect on the date the application was deemed complete.</w:t>
      </w:r>
    </w:p>
    <w:bookmarkEnd w:id="26"/>
    <w:bookmarkStart w:id="27" w:name="severability"/>
    <w:p>
      <w:pPr>
        <w:pStyle w:val="Heading2"/>
      </w:pPr>
      <w:r>
        <w:t xml:space="preserve">§ 104. SEVERABILITY</w:t>
      </w:r>
    </w:p>
    <w:p>
      <w:pPr>
        <w:pStyle w:val="FirstParagraph"/>
      </w:pPr>
      <w:r>
        <w:t xml:space="preserve">104 SEVERABILITY If any section, paragraph, subdivision, clause, sentence, or provision of this Ordinance is adjudged by any court of competent jurisdiction to be invalid, that judgment does not affect, impair, invalidate, or nullify the remainder of this Ordinance. The effect of the judgment is confined to the section, paragraph, subdivision, clause, sentence, or provision immediately involved in the controversy in which judgment or decree was rendered.</w:t>
      </w:r>
    </w:p>
    <w:bookmarkEnd w:id="27"/>
    <w:bookmarkStart w:id="28" w:name="definitions-and-rules-of-measurement"/>
    <w:p>
      <w:pPr>
        <w:pStyle w:val="Heading1"/>
      </w:pPr>
      <w:r>
        <w:t xml:space="preserve">§ 2. DEFINITIONS AND RULES OF MEASUREMENT</w:t>
      </w:r>
    </w:p>
    <w:p>
      <w:pPr>
        <w:pStyle w:val="FirstParagraph"/>
      </w:pPr>
      <w:r>
        <w:t xml:space="preserve">ARTICLE 2. DEFINITIONS AND RULES OF MEASUREMENT 200 RULES OF INTERPRETATION 201 DEFINITION OF GENERAL TERMS 202 RULES OF MEASUREMENT</w:t>
      </w:r>
    </w:p>
    <w:bookmarkEnd w:id="28"/>
    <w:bookmarkStart w:id="29" w:name="rules-of-interpretation"/>
    <w:p>
      <w:pPr>
        <w:pStyle w:val="Heading2"/>
      </w:pPr>
      <w:r>
        <w:t xml:space="preserve">§ 200. RULES OF INTERPRETATION</w:t>
      </w:r>
    </w:p>
    <w:p>
      <w:pPr>
        <w:pStyle w:val="FirstParagraph"/>
      </w:pPr>
      <w:r>
        <w:t xml:space="preserve">200 RULES OF INTERPRETATION The terms in the text of this Ordinance shall be interpreted in accordance with the following rules of construction: a. The singular number includes the plural, and the plural the singular.</w:t>
      </w:r>
    </w:p>
    <w:p>
      <w:pPr>
        <w:numPr>
          <w:ilvl w:val="0"/>
          <w:numId w:val="1059"/>
        </w:numPr>
      </w:pPr>
      <w:r>
        <w:t xml:space="preserve">b. The present tense includes the past and future tenses, and the future tense includes the present.</w:t>
      </w:r>
    </w:p>
    <w:p>
      <w:pPr>
        <w:numPr>
          <w:ilvl w:val="0"/>
          <w:numId w:val="1060"/>
        </w:numPr>
      </w:pPr>
      <w:r>
        <w:t xml:space="preserve">c. The word “must,” “shall,” or “will” is mandatory, while the word “may” is permissive.</w:t>
      </w:r>
    </w:p>
    <w:p>
      <w:pPr>
        <w:numPr>
          <w:ilvl w:val="0"/>
          <w:numId w:val="1061"/>
        </w:numPr>
      </w:pPr>
      <w:r>
        <w:t xml:space="preserve">d. The terms “must not,” “shall not,” “will not,” and “may not” are prohibiting.</w:t>
      </w:r>
    </w:p>
    <w:p>
      <w:pPr>
        <w:numPr>
          <w:ilvl w:val="0"/>
          <w:numId w:val="1062"/>
        </w:numPr>
      </w:pPr>
      <w:r>
        <w:t xml:space="preserve">e. The masculine gender includes the feminine and neuter.</w:t>
      </w:r>
    </w:p>
    <w:p>
      <w:pPr>
        <w:numPr>
          <w:ilvl w:val="0"/>
          <w:numId w:val="1063"/>
        </w:numPr>
      </w:pPr>
      <w:r>
        <w:t xml:space="preserve">f. Whenever a defined word or term appears in the text of this Ordinance, its meaning shall be construed as set forth in the definition. Words not defined shall be interpreted in a manner that accomplishes the intent of this ordinance.</w:t>
      </w:r>
    </w:p>
    <w:p>
      <w:pPr>
        <w:numPr>
          <w:ilvl w:val="0"/>
          <w:numId w:val="1064"/>
        </w:numPr>
      </w:pPr>
      <w:r>
        <w:t xml:space="preserve">g. The following abbreviations are used within this Ordinance: i. "GFA" is an abbreviation for “gross floor area.”</w:t>
      </w:r>
    </w:p>
    <w:p>
      <w:pPr>
        <w:numPr>
          <w:ilvl w:val="0"/>
          <w:numId w:val="1065"/>
        </w:numPr>
      </w:pPr>
      <w:r>
        <w:t xml:space="preserve">ii. “ft” is an abbreviation for “feet.”</w:t>
      </w:r>
    </w:p>
    <w:p>
      <w:pPr>
        <w:numPr>
          <w:ilvl w:val="0"/>
          <w:numId w:val="1066"/>
        </w:numPr>
      </w:pPr>
      <w:r>
        <w:t xml:space="preserve">iii. “N/A” is an abbreviation for “not applicable.”</w:t>
      </w:r>
    </w:p>
    <w:p>
      <w:pPr>
        <w:numPr>
          <w:ilvl w:val="0"/>
          <w:numId w:val="1067"/>
        </w:numPr>
      </w:pPr>
      <w:r>
        <w:t xml:space="preserve">iv. "sf" is an abbreviation for “square feet.”</w:t>
      </w:r>
    </w:p>
    <w:p>
      <w:pPr>
        <w:numPr>
          <w:ilvl w:val="0"/>
          <w:numId w:val="1068"/>
        </w:numPr>
      </w:pPr>
      <w:r>
        <w:t xml:space="preserve">v. "SF" is an abbreviation for “single-family.”</w:t>
      </w:r>
    </w:p>
    <w:p>
      <w:pPr>
        <w:numPr>
          <w:ilvl w:val="0"/>
          <w:numId w:val="1069"/>
        </w:numPr>
      </w:pPr>
      <w:r>
        <w:t xml:space="preserve">vi. "2F" is an abbreviation for “two-family.”</w:t>
      </w:r>
    </w:p>
    <w:p>
      <w:pPr>
        <w:numPr>
          <w:ilvl w:val="0"/>
          <w:numId w:val="1070"/>
        </w:numPr>
      </w:pPr>
      <w:r>
        <w:t xml:space="preserve">vii. "3F" is an abbreviation for “three-family.”</w:t>
      </w:r>
    </w:p>
    <w:p>
      <w:pPr>
        <w:numPr>
          <w:ilvl w:val="0"/>
          <w:numId w:val="1071"/>
        </w:numPr>
      </w:pPr>
      <w:r>
        <w:t xml:space="preserve">viii. "RH" is an abbreviation for “rowhouse.”</w:t>
      </w:r>
    </w:p>
    <w:p>
      <w:pPr>
        <w:numPr>
          <w:ilvl w:val="0"/>
          <w:numId w:val="1072"/>
        </w:numPr>
      </w:pPr>
      <w:r>
        <w:t xml:space="preserve">ix. "MF" is an abbreviation for “multi-family.”</w:t>
      </w:r>
    </w:p>
    <w:p>
      <w:pPr>
        <w:numPr>
          <w:ilvl w:val="0"/>
          <w:numId w:val="1073"/>
        </w:numPr>
      </w:pPr>
      <w:r>
        <w:t xml:space="preserve">h. Dimensional regulations include all regulations of the Ordinance, other than those pertaining to the permitted uses, pursuant to § 45-24-31(55)(ii) of the General Laws.</w:t>
      </w:r>
    </w:p>
    <w:p>
      <w:pPr>
        <w:numPr>
          <w:ilvl w:val="0"/>
          <w:numId w:val="1074"/>
        </w:numPr>
      </w:pPr>
      <w:r>
        <w:t xml:space="preserve">i. The captions and section headings contained in this Ordinance are included for convenience of reference and are not intended to affect the interpretation of any provision of this Ordinance.</w:t>
      </w:r>
    </w:p>
    <w:bookmarkEnd w:id="29"/>
    <w:bookmarkStart w:id="30" w:name="definition-of-general-terms"/>
    <w:p>
      <w:pPr>
        <w:pStyle w:val="Heading2"/>
      </w:pPr>
      <w:r>
        <w:t xml:space="preserve">§ 201. DEFINITION OF GENERAL TERMS</w:t>
      </w:r>
    </w:p>
    <w:p>
      <w:pPr>
        <w:pStyle w:val="FirstParagraph"/>
      </w:pPr>
      <w:r>
        <w:t xml:space="preserve">201 DEFINITION OF GENERAL TERMS</w:t>
      </w:r>
    </w:p>
    <w:p>
      <w:pPr>
        <w:pStyle w:val="BodyText"/>
      </w:pPr>
      <w:r>
        <w:t xml:space="preserve">Abut. To share a common wall or lot line without being separated by a street or alley.</w:t>
      </w:r>
    </w:p>
    <w:p>
      <w:pPr>
        <w:pStyle w:val="BodyText"/>
      </w:pPr>
      <w:r>
        <w:t xml:space="preserve">Abutter. One whose property abuts, that is, adjoins at a border, boundary, or point with no intervening land. Accessibility Ramp. A ramp or similar structure that provides wheelchair or similar access to a structure. Accessory Dwelling Unit. A residential living unit on the same lot where the principal use is a legally established single-, two-, three-, or multi-family dwelling. An accessory dwelling unit provides complete independent living facilities for one or more persons. Accessory Structure. A structure located on the same lot as the principal building, which may be detached or attached, that is incidental to the use of the principal building. Accessory Use. A use of land or of a building, or portion thereof, customarily incidental and subordinate to the principal use of the land or building. An accessory use may be restricted to the same lot as the principal use. An accessory use is prohibited without the principal use to which it is related. Adaptive Reuse. The conversion of an existing structure from the use for which it was constructed to a new use by maintaining elements of the structure and adapting such elements to a new use. Addition/Enlargement. Construction that increases the size of a structure in terms of building footprint, height, or floor area. Administrative Officer. The municipal official(s) designated by the development review regulations adopted by the City Plan Commission pursuant to Rhode Island General Laws §45-23 to administer the land development and subdivision regulations, to review and approve qualified applications, and/or to coordinate with local boards and commissions, municipal staff, and state agencies. Aggrieved Party. An aggrieved party, in accordance with Rhode Island General Laws §45-24, is:</w:t>
      </w:r>
    </w:p>
    <w:p>
      <w:pPr>
        <w:numPr>
          <w:ilvl w:val="0"/>
          <w:numId w:val="1075"/>
        </w:numPr>
      </w:pPr>
      <w:r>
        <w:t xml:space="preserve">1. Any person or persons or entity or entities who can demonstrate that their property will be injured by a decision of any officer or agency responsible for administering this Zoning Ordinance; or 2. Anyone requiring notice pursuant to Rhode Island General Laws §45-24. Airport Hazard Area. Any area of land or water upon which an airport hazard might be established if not prevented as provided in Rhode Island General Laws Chapter 1-3. Alley. A public right-of-way that normally affords a secondary means of access to abutting property. Alteration. An action that changes one or more of the exterior architectural features of a structure or its appurtenances, including but not limited to the erection, construction, reconstruction, or removal of any structure or appurtenance. A major alteration is a change in materials, design, dimensions, configuration, texture, and visual appearance, which will permanently affect the integrity or character of a structure. A minor alteration is a reversible change that will not permanently affect the integrity or character of a structure. Amateur (HAM) Radio Equipment. An amateur (HAM) radio station licensed by the Federal Communications Commission (FCC), including equipment such as, but not limited to, a tower or building-mounted structure supporting a radiating antenna platform and other equipment. Apiary. A structure for the keeping of honeybees. Applicant. An owner or authorized agent of the owner submitting an application or appealing an action of any official, board, or agency. Application. The completed form or forms and all accompanying documents, exhibits, and fees required of an applicant by an approving authority for development review, approval, or permitting purposes. Appurtenance. Features other than principal or accessory structures which contribute to the exterior appearance of a property including but not limited to paving, doors, windows, signs, materials, decorative accessories, fences, and landscape features. Aquaculture/Aquaponics. A structure designed for the farming of aquatic organisms such as fish, crustaceans, mollusks, and aquatic plants under controlled conditions Arbor. A freestanding structure to support vines or trained climbing plants. Architectural Feature. A part or projection that contributes to the aesthetics of a structure, exclusive of signs, that is not necessary for the structural integrity of the structure or to make the structure habitable. Areaway. A space below finished grade affording access, air, and light to a basement or cellar. Attention Getting Device. Sails, pennants, and similar devices or ornamentations designed to attract attention. Flags of nations, states, and cities, or fraternal, religious and civic organizations, permanent commercial flags, or temporary holiday decorations are not considered attention getting devices. Certain types of attention getting devices are specifically prohibited by this Ordinance in Section 1605. Attic. For residential dwellings, the space between the ceiling beams of the uppermost story and the roof. If that space has a ceiling height of more than seven feet for over 25% of its area, then it shall count as a story. Awning. A roof like structure typically made of cloth, metal, or other material attached to a frame that extends from and is supported by a building. Awnings are typically erected over a window, doorway, or building front and they may be raised or retracted to a position adjacent to the building. Balcony. A roofed or unroofed platform that projects from the exterior wall of a structure above the ground floor, which is exposed to the open air, has direct access to the interior of the building, and is not supported by posts or columns extending to the ground. Banner. A sign that is printed or displayed upon flexible material with or without frames.</w:t>
      </w:r>
    </w:p>
    <w:p>
      <w:pPr>
        <w:numPr>
          <w:ilvl w:val="0"/>
          <w:numId w:val="1076"/>
        </w:numPr>
      </w:pPr>
      <w:r>
        <w:t xml:space="preserve">Banner</w:t>
      </w:r>
      <w:r>
        <w:br/>
      </w:r>
      <w:r>
        <w:t xml:space="preserve">Exhibition. A sign that is printed or displayed upon flexible material with or without frames in conjunction with a special exhibit for an educational facility, government building, or cultural facility. Basement. That portion of a building included between the upper surface of its floor and the upper surface of the floor next above, having one-half or more of its height above the average elevation of the finished lot grade adjoining the building. Bay Window. A window system that projects outward from the structure, which does not rest on the building foundation or on the ground. Berm. An earthen mound designed to provide visual interest on a site, screen undesirable views, reduce noise, or fulfill other similar purposes. Billboard. A sign advertising products, goods, services, facilities, events or attractions not made, sold, used, served or available on the lot displaying such sign or a sign owned by a person, corporation, or other entity that engages in the business of selling the advertising space on that sign. Block. A tract of land bounded by streets, or a combination of streets and public parks, golf courses, cemeteries, railroad rights-of-way, shorelines of waterways, or municipal boundary lines. Blue Roof. A roof designed to store water and discharge rainfall. Buffer. Land which is maintained in either a natural or landscaped state, and is used to screen and/or mitigate the impacts of development on surrounding areas, properties, or rights-of-way. Buffer Yard. Land area with landscape plantings and other components used to visibly separate one use from another and/or to shield or block noise, lights, or other nuisances. Build-To Line (BTL). Defined in Section 202. Build-To Zone (BTZ). Defined in Section 202. Build-To Percentage. Defined in Section 202. Building. Any structure used or intended for supporting or sheltering any use or occupancy. Building Envelope. The three-dimensional space within which a structure is permitted to be built on a lot and which is defined by regulations governing building setbacks, maximum height, and bulk, by other regulations, and/or by any combination thereof. Building Height. Defined in Section 202. Building Line. A line measured at the building wall of a structure between parallel lot lines. For the purposes of establishing a building line, the building wall does not include permitted encroachments of architectural features, such as bay windows, eaves, and steps and stoops. A front building line is that building line that abuts or is parallel or generally parallel to a front lot line. For the purposes of determining a front setback, if a porch extends the full width of the building, the front of the porch shall be considered the building line. Bulk. A term used to describe the size and relationships of structures as to area, height, coverage, and shape, location of exterior walls in relation to lot lines, the centerline of streets, other walls of the same structure and to other structures, and to all open spaces relating to the structure. Bulk Materials. Any liquid, solid, or granular materials stored in piles, barrels, tanks, bins, crates, or other means. Bulk materials include, but are not limited to, lumber, coal, sand, and flammable and inflammable liquids. Bulkhead. A projecting framework providing access from the exterior of a structure to a stairway leading to a basement or cellar. Business. An occupation, employment, or enterprise that occupies time, attention, labor and materials, where merchandise is exhibited or sold, or where services are offered. Caliper. Defined in Section 202.</w:t>
      </w:r>
    </w:p>
    <w:p>
      <w:pPr>
        <w:numPr>
          <w:ilvl w:val="0"/>
          <w:numId w:val="1077"/>
        </w:numPr>
      </w:pPr>
      <w:r>
        <w:t xml:space="preserve">Canopy</w:t>
      </w:r>
      <w:r>
        <w:br/>
      </w:r>
      <w:r>
        <w:t xml:space="preserve">Non-Structural. A roof-like non-structural cover that projects from the wall of a structure with support posts that extend to the ground.</w:t>
      </w:r>
    </w:p>
    <w:p>
      <w:pPr>
        <w:numPr>
          <w:ilvl w:val="0"/>
          <w:numId w:val="1078"/>
        </w:numPr>
      </w:pPr>
      <w:r>
        <w:t xml:space="preserve">Canopy</w:t>
      </w:r>
      <w:r>
        <w:br/>
      </w:r>
      <w:r>
        <w:t xml:space="preserve">Structural. A permanent structure that serves as an overhanging shelter or shade that forms the structure of a building and is constructed in such a manner as to allow pedestrians or vehicles to pass underneath. Carport. An open-sided roofed vehicle shelter, usually formed by extension of the roof from the side of a building, but may be freestanding. Cellar. That portion of a building included between the upper surface of its floor and the upper surface of the floor next above, having less than one-half its height above the average elevation of the finished lot grade adjoining the building. Chicken Coop. A structure where hens are kept. Chimney. A vertical shaft of reinforced concrete, masonry or other approved material enclosing one or more flues, for the purpose of removing products of combustion from solid, liquid, or gaseous fuel. Coldframe Structure. A transparent roofed enclosure constructed low to the ground used to protect plants from excessively cold or wet weather. It functions similar to a greenhouse to help extend the growing season. College Student. An individual enrolled as an undergraduate or graduate student at any university or college educational institution who commutes to a campus. Co-Location. Placement of wireless telecommunications equipment from more than one service or service provider on a single tower or site. Commercial Message. Any sign, wording, logo, or other representation that directly or indirectly, names, advertises, or calls attention to a business, product, service or other commercial activity. Common Ownership. Ownership by one or more individuals or entities in any form of ownership of two or more contiguous lots, or ownership by any association (ownership may also include a municipality) of one or more lots under specific development techniques. Comprehensive Plan. The City’s Comprehensive Plan adopted and approved pursuant to Rhode Island General Laws Chapter 22.2 of Title 45, and with which any zoning adopted pursuant to Rhode Island General Laws Chapter 45-24 shall be in compliance. Conforming. In compliance with the regulations of the pertinent zoning district and this Ordinance. Contiguous. See abut. Cross-Access. A vehicular and/or pedestrian connection between abutting properties that connects the two sites and allows vehicles and/or pedestrians to travel between sites without having to exit to the street. Curb Cut. A vehicular access point to a lot from the right of way, whether or not the interruption of a curb is required. Cut Off. The point at which all light rays emitted by a lamp, light source or luminaire are generally eliminated (cut off) at a specific angle above the ground, acknowledging that some light trespass may occur. Day. A calendar day. Deck. A roofless outdoor space built as an aboveground platform projecting from the wall of a structure and connected by structural supports at grade or by the structure. Demolition. An act or process that destroys a structure or its appurtenances in part or in whole. Density, Residential. The number of dwelling units per unit of land. Development. The construction, reconstruction, conversion, structural alteration, relocation, or enlargement of any structure, any mining, excavation, landfill or land disturbance, or any change in use, or alteration or extension of the use, of land. Development Plan Review. Design or site plan review of a development of a permitted use as required by this ordinance and the development review regulations adopted by the City Plan Commission pursuant to Rhode Island General Laws §45-23. District. The basic unit in zoning, either mapped or unmapped, to which a uniform set of regulations applies, or a uniform set of regulations for a specified use. Zoning districts include, but are not limited to, agricultural, commercial, industrial, institutional, open space, and residential. Each district may include sub-districts. Districts may be combined. Donation Box. A container used for the purpose of collecting donated items for resale or for use by a charitable organization or institution. Drainage System. A system for the removal of water from land by drains, grading, or other appropriate means. These techniques may include runoff controls to minimize erosion and sedimentation during and after construction or development, the means for preserving surface and groundwaters, and the prevention and/or alleviation of flooding. Driveway. A pathway for motor vehicles from a street to a lot used only for service purposes or for access to the lot. Dwelling. A structure, or portion thereof, designed or used exclusively for human habitation, including single-family dwellings, two-family dwellings, rowhouse dwellings, and multi-family dwellings, but excluding mobile homes and hotels/motels. Dwelling Unit. A structure or portion of a structure providing complete, independent living facilities for one or more persons, including permanent provisions for living, sleeping, eating, cooking, and sanitation, and containing a separate means of ingress and egress. Easement. Land designed by lawful agreement between the owner(s) of the land and a person(s) for a specified use only by such person(s). Eave. The projecting lower edges of a roof overhanging the wall of a structure. Encroachment. The extension or placement of any structure, or a component of such, into a required setback or rightof-way. Erect. To build, construct, attach, hang, place, suspend, or affix. Exterior Lighting. The illumination of an outside area or object by any man-made device that produces light by any means. Exterior Stairwell. One or more flights of stairs, and the necessary landings and platforms connecting them, to form a continuous passage from the entryway of a floor or level to another in a structure located on the exterior of a principal building. Extractive Industry. The extraction of minerals including solids, such as coal and ores, liquids, such as crude petroleum, and gases, such as natural gases. The term also includes quarrying, well operation, milling, such as crushing, screening, washing, and flotation, and other preparation customarily done at the extraction site or as a part of the extractive activity. Façade. The vertical surface of a building that abuts or is parallel or generally parallel to a street lot line. Facade includes all portions of that vertical surface including irregular facades where portions of the facade may not run directly parallel to the street lot line but are part of that façade plane and visible from the street lot line. Family. A person or persons related by blood, marriage, or other legal means. See also household. Fence. A structure used as a boundary, screen, separation, means of privacy, protection or confinement, and is constructed of wood, plastic, metal, wire mesh, masonry, or other similar material and is used as a barrier.</w:t>
      </w:r>
    </w:p>
    <w:p>
      <w:pPr>
        <w:numPr>
          <w:ilvl w:val="0"/>
          <w:numId w:val="1079"/>
        </w:numPr>
      </w:pPr>
      <w:r>
        <w:t xml:space="preserve">Fence</w:t>
      </w:r>
      <w:r>
        <w:br/>
      </w:r>
      <w:r>
        <w:t xml:space="preserve">Solid. A fence that has, over its entirety, no distributed openings. A shadowbox design fence is considered a solid fence. A chain link fence with slats is not considered a solid fence. First Floor. The lowest floor of a building that has more than one-half of its height above the average elevation of the finished lot grade adjoining the building, including the portion of a building contained between the upper surface of its floor and the upper surface of the floor next above. Fixture. The assembly that houses the lamp or lamps, which may include all or some of the following parts: a housing, a mounting bracket or pole socket, a lamp holder, a ballast, a reflector or mirror, and/or a refractor or lens. Freeboard. A factor of safety expressed in feet above the base flood elevation of a flood hazard area for purposes of floodplain management. Freeboard compensates for the many unknown factors that could contribute to flood heights such as wave action, bridge openings, and the hydrological effect of urbanization of the watershed. Garage. A structure, either attached, integral, or detached, used for the parking and storage of vehicles as an accessory use to a residence. Shall not include Parking Structure as defined in Article 12. Gazebo. A freestanding outdoor structure designed for recreational use and not for habitation. Glare. Light emitting from a luminaire with an intensity great enough to reduce a viewers’ ability to see, cause discomfort, and, in extreme cases, cause momentary blindness. Grade. Defined in Section 202. Ground Floor. See first floor. Groundwater. Water found underground which completely fills the open spaces between particles of sand, gravel, clay, silt, and consolidated rock fractures. The zone of materials filled with groundwater is called the zone of saturation. Green Roof. A building roof partially or completely covered with vegetation and a growing medium, planted over a waterproofing membrane. It may also include additional layers such as a root barrier and drainage and irrigation systems. Greenhouse (Accessory). A structure constructed chiefly of glass, glasslike or translucent material, cloth, or lath, which is devoted to the protection or cultivation of flowers or other tender plants. Gross Floor Area (GFA). Defined in Section 202. Hedge. A row of closely planted shrubs, bushes, or any kind of plant forming a boundary. Home Occupation. Any activity customarily carried out for gain by a resident, conducted as an accessory use in the resident's dwelling unit. Hours of Operation. The period of time from one hour prior to opening to one hour after closing of a non-residential establishment. Household. One or more persons living together in a single dwelling unit, with common access to, and common use of, all living and eating areas and all areas and facilities for the preparation and storage of food within the dwelling unit. The term household unit is synonymous with the term dwelling unit for determining the number of such units allowed within any structure on any lot in a zoning district. An individual household shall consist of either of the following:</w:t>
      </w:r>
    </w:p>
    <w:p>
      <w:pPr>
        <w:numPr>
          <w:ilvl w:val="0"/>
          <w:numId w:val="1080"/>
        </w:numPr>
      </w:pPr>
      <w:r>
        <w:t xml:space="preserve">1. A family, which may also include servants and employees living with the family; or 2. A person or group of unrelated persons living together not to exceed three in a dwelling unit with three or fewer bedrooms and not to exceed five in a dwelling unit with more than three bedrooms. Illumination System. The totality of the equipment installed to provide exterior lighting on a developed property. Illumination system includes all structures, canopy, pole, and ground-mounted luminaires, including all wiring, circuitry, and other devices installed to create exterior lighting. Impervious Surface Coverage. Defined in Section 202. Incentive Zoning. The process whereby the local authority may grant additional development capacity in exchange for the developer's provision of a public benefit or amenity as specified in the Zoning Ordinance. Incidental Entertainment. Background music provided at a bar or restaurant. Incidental Entertainment is limited to the following formats: a) live music performance limited to not more than a maximum of three acoustic instruments which shall not be amplified by any means, electronic or otherwise; or b) prerecorded music played from a preselected play list over the permanently installed sound system. If a bar or restaurant includes Incidental Entertainment, it cannot charge a cover charge, shall not allow dancing by patrons of the establishment, cannot employ flashing, laser, or strobe lights, and the maximum volume, irrespective of the format, is limited solely to the boundaries of the premises at all times. Incidental Entertainment – Expanded. Background music provided at a bar or restaurant. Incidental Entertainment – Expanded is limited to the following formats: a) live music performance which may be amplified; or b) trivia and/or karaoke. If a bar or restaurant includes Incidental Entertainment – Expanded, it cannot charge a cover charge, cannot employ flashing, laser, or strobe lights, and the maximum volume, irrespective of the format, is limited solely to the boundaries of the premises at all times. Incidental Entertainment – Expanded shall cease at 9:00 p.m. on Sunday through Thursday and 11:00 p.m. on Friday and Saturday. Infrastructure. Facilities and services needed to sustain residential, commercial, industrial, institutional, and other activities. Intensification. Intensification includes, but is not limited to, increasing hours of operation, increasing the number of dwelling units, increasing the number of parking spaces, reducing total lot area to below that which is required for a new subdivision, or increasing the seating or occupancy capacity of any use. Intensity of Use. Square feet of gross floor area, number of dwelling units, number of employees, or other factor used as a basis for requiring off-street parking or loading facilities. Internal Illumination (Sign). Illumination from a light source that is contained within a sign. Junk Motor Vehicle. An automobile, truck, or other motor vehicle that has extensive damage, including, but not limited to, any of the following: missing wheels, body parts, tires, engine, or transmission, or such a vehicle that does not comply with state, county or Village laws or ordinances. Lamp. The component of a luminaire that produces the actual light. Lamp Wattage. The amount of power of a lamp expressed in watts. Land Development Project. A project in which one or more lots, tracts, or parcels of land are to be developed or redeveloped as a coordinated site for a complex of uses, units, or structures, including, but not limited to, planned development and/or cluster development for residential, commercial, institutional, recreational, open space, and/or mixed uses as may be provided for in this Ordinance. Lighting. Defined in Section 202. Light, Direct. Light emitted directly from the lamp, off a reflector or reflector diffuser, or through the refractor or diffuser lens of a luminaire. Light, Indirect. Direct light that has been reflected or has scattered off of other surfaces. Light Trespass. The shining of light produced by a luminaire beyond the boundaries of the property on which it is located. Limits of Disturbance. The boundary within which all construction, grading, paving or repaving, landscaping, and related activities occur. Loading Berth. A space within a loading facility exclusive of driveways, aisles, maneuvering areas, ramps, columns, landscape, and structures for the temporary parking of a commercial delivery vehicle while loading or unloading goods or materials. Lot. Defined in Section 202. Lot Area. Defined in Section 202. Lot Building Coverage. Defined in Section 202. Lot, Corner. Defined in Section 202. Lot Depth. Defined in Section 202. Lot Frontage. That portion of a lot abutting a street. Lot, Interior. Defined in Section 202. Lot Line. Defined in Section 202. Lot Line, Corner Side. Defined in Section 202. Lot Line, Front. Defined in Section 202. Lot Line, Interior Side. Defined in Section 202. Lot Line, Rear. Defined in Section 202. Lot, Through. Defined in Section 202. Lot Width. Defined in Section 202. Luminaire. A complete lighting unit consisting of a light source and all necessary mechanical, electrical, and decorative parts. Luminaire, Cut-Off Type. A luminaire containing elements such as shields, reflectors, or refractor panels that direct and cut off a direct view of the light source at a cut off angle. Major Alterations and Additions. Changes in materials, design, dimensions, configuration, texture and visual appearance, which will permanently affect the integrity or character of a structure. Examples of projects in this category include: changes to rooflines, cornice lines, and rooftop structures; changes to window and door openings and configurations; creating new openings or blocking up existing ones; installation or removal of bays, oriels, and balconies; changes to storefronts, steps and entryways; cladding exterior walls in a new material; removal or alteration of significant ornamentation; barrier-free access improvements; installation of fire escapes; and large additions (including elevator and stair towers). Marquee. A permanent roof-like structure constructed of durable material extending from the wall of a structure with no supports extending to the ground with a portion of the structure dedicated to sign area that may be changed. Minor Alterations and Additions. Reversible changes which will not permanently affect the integrity or character of a structure. Examples of projects in this category include awnings and canopies, signs, replacement windows and doors, storm windows and doors, skylights, satellite dish antennae, and other mechanical or electrical equipment; also, small additions such as roof decks, elevator and stair headhouses. Mixed-Use. A mixture of land uses within a single development, building, or tract. Multi-Tenant Retail Center. A group of two or more commercial establishments that is planned, owned, and/or managed as a single property. The two main configurations of multi-tenant retail centers are large shopping centers/malls and strip centers. Nit. A unit of visible-light intensity. One nit is equivalent to one candela per square meter. Nonconformance. A building, structure, or parcel of land, or use thereof, lawfully existing at the time of the adoption or amendment of a zoning ordinance and not in conformity with the provisions of that ordinance or amendment. Nonconformance is of only two types: 1. Nonconforming by Use. A lawfully established use of land, building, or structure that is not a permitted use in that zoning district. A building or structure containing more dwelling units than are permitted by the use regulations of the Ordinance is nonconformity by use. 2. Nonconforming by Dimension. A building, structure, or parcel of land not in compliance with the dimensional regulations of the Ordinance. Dimensional regulations include all regulations of the Ordinance, other than those pertaining to the permitted uses. A building or structure containing more dwelling units than are permitted by the use regulations of the Ordinance is nonconforming by use; a building or structure containing a permitted number of dwelling units by the use regulations of the Ordinance, but not meeting the lot area per dwelling unit regulations, is nonconforming by dimension. Nonconformity. See definition of “Nonconformance.” Non-Residential Use. A structure or land arranged, designed, used, or intended to be used for non-residential uses, which includes, but is not limited to, retail, office, entertainment, recreation, public, institutional, and other nonresidential uses. Structures with dwellings above ground floor non-residential uses are considered mixed-use development and considered a non-residential use for the purposes of this Ordinance. Off-Street Parking. The storage space for an automobile on premises other than streets or rights-of-way. Open Space. That portion of land, either landscaped or left unimproved, which is used to meet active or passive recreation or spatial needs, and/or to protect water, air, or plant resources. Outbuilding. An accessory structure used for an office, accessory dwelling unit, or recreation room as an accessory use to a residence. Outdoor Display and Sales Area. Part of a lot used for outdoor sales and/or display of goods accessory to the principal use. Outlot. An area of land set aside within a retail center for a separate principal building that shares a circulation system and may share common parking with the larger shopping center development but is separated from the principal building or buildings, typically along the property line. Overlay District. A district established in the Zoning Ordinance that is superimposed on one or more zoning districts or parts of zoning districts. The standards and requirements associated with an overlay district may be more or less restrictive than those in the underlying districts consistent with other applicable state and federal laws. Owner. A titleholder of record, or if title is held in trust, the beneficiary of the trust or the person or persons who have acquired any interest in the property by contract or purchase or otherwise. Owner-Occupied. A characteristic of a property in which its owner considers it his or her predominant and principal home and spends a majority of the year occupying the property. Parapet. The extension of a false front or wall above a roof-line. Party Wall. A wall starting from the foundation and extending continuously through all stories to or above the roof that separates one building from another, but is in joint use by each building. Patio. A hard surface designed and intended for recreational use by people and not used as a parking space. Performance Standards. A set of criteria or limits relating to elements which a particular use or process shall either meet or may not exceed. Pergola. A freestanding, open structure that forms a partially shaded pedestrian walkway, passageway, or sitting area, and is constructed of a semi-open roof and vertical posts that support cross-beams and a sturdy open lattice. It may also be used as an extension of a building entryway. Permitted Use. A use allowed by right which is specifically authorized in a particular zoning district. Planned Development. A land development project, as defined in Rhode Island General Laws §45-24-31(37), and developed according to plan as a single entity and containing one or more structures and/or uses with appurtenant common areas. Pre-Application Conference. A review meeting of a proposed development held between applicants and reviewing agencies as permitted by law and municipal ordinance, before formal submission of an application for a permit or for development approval. Porch. An architectural feature that projects from the exterior wall of a structure, has direct access to the street level of the building, and is covered by a roof or eaves. A porch includes any occupiable space on its roof. Porch – Enclosed. A porch enclosed by walls, screens, lattice or other material on two or more sides. A screened-in porch is considered an enclosed porch. Porch – Unenclosed. A porch that is open on two or more sides. Property Line. See lot line. Principal Building. A non-accessory structure in which a principal use of the lot on which it is located is conducted. Principal Use. The main use of land or structures as distinguished from an accessory use. Raceway. A mounting bar or similar device that is used to attach channel letters to a building. Raceways often conceal the electrical components of channel letter signs. Railroad Right-of-Way. A strip of land with tracks and auxiliary facilities for track operation, but not including depots, loading platforms, stations, train sheds, warehouses, car shops, car yards, locomotive shops, or water towers. Repairs, Replacement and Restoration. Work intended to remedy damage or deterioration, which will result in a change in the type of materials, dimensions, design, configuration, texture or visual appearance. May include repointing, chemical or mechanical cleaning, sealing, painting and patching of masonry. Also, restoration of altered or missing features to their appearance at a previous point in time, using physical, documentary or historical evidence. Residential Use. A structure arranged, designed, used, or intended to be used for residential occupancy by one or more families or households, which includes, but is not limited to, the following types: single-family, two-family, rowhouse, and multi-family dwellings. Structures with dwellings above ground floor non-residential uses are considered mixed-use development, which are considered a non-residential use for the purposes of this Ordinance. Right-of-Way. A strip of land taken or dedicated for use as a public way. In addition to the roadway, it typically incorporates the curbs, lawn strips, sidewalks, lighting, utilities, and drainage facilities. Roofline. The top edge of a roof or building parapet, whichever is higher, excluding any cupolas, pylons, chimneys or minor projections. Satellite Dish Antenna. A dish antenna designed for transmitting signals to a receiver or receiving station or for receiving television, radio, data, communication or other signals from other antennas, satellites or other services. Security Hours. The period of time from one hour after closing to one hour prior to opening of a non-residential establishment. Setback. Defined in Section 202. Setback, Corner Side. Defined in Section 202. Setback, Front. Defined in Section 202. Setback, Interior Side. Defined in Section 202. Setback, Rear. Defined in Section 202. Shed. An accessory structure, often purchased pre-built or as a kit in pre-fabricated sections, that is not designed to be served by heat or plumbing and does not need to be placed on a permanent foundation. A shed is intended to store lawn, garden, or recreational equipment. Short-Term Rental. The occupancy or use, for a fee, of all or portions of a dwelling unit by anyone other than the owner for a period of fewer than 30 consecutive calendar days. Sign. Any identification, description, illustration, or device illuminated or non-illuminated that is visible to the public from adjoining streets or adjoining properties and that directs attention to a product, service, place, activity, person, institution, business, or solicitation, including any permanently installed or situated merchandise; or any emblem, painting, banner, pennant, placard, temporary sign, lights, balloons or other device designed to attract attention, advertise, identify or convey information. Building details that are an integral part of the overall architectural design of a building or works of art accessory to a building are not considered signs. Sign, Animated. Any sign that uses movement or change of lighting to depict action or create a special effect or scene. Animated signs include video screens, television screens, plasma screens, and holographic displays, but do not include electronic message center signs. Sign Area. Defined in Section 202. Sign, Cabinet Box Projecting. A type of projecting sign in the form of a cabinet or box specifically designed to allow the sign face to be changed repeatedly, which may or may not be internally illuminated. Sign, Cabinet Box Wall. A type of wall sign in the form of a cabinet or box specifically designed to allow the sign face to be changed repeatedly, which may or may not be internally illuminated. Sign, Construction. Any sign identifying individuals or companies involved in design, construction, demolition, financing, or development when placed upon the premises where construction or development is ongoing. Sign, Directional. A sign used to convey directions and other information to direct the public, such as entrance or exit. Sign, Directory. A sign for a multi-tenant development that conveys tenant information to pedestrians and/or motorists who have entered the site. Sign, Electronic Message. A sign or component of a sign that uses LED illumination systems or other similar electronic components to form a message(s) that are electronically programmed or modified by electronic processes. Sign, Flashing. Any illuminated sign that contains an intermittent or flashing light source or that changes light intensity in sudden transitory bursts, but do not include electronic message center signs. Sign, Freestanding. Any sign on a frame, pole, or other support structure that is not attached to any building. (Figure 2-1) Sign, Ghost. A painted wall sign that remains from an earlier time or advertises the use of a building that provides evidence of the history of the use of the building or activities of the community. Sign Height. Defined in Section 202. Sign, Menuboard. A sign displaying goods or services available as part of the drive-through lane of a drive-through facility. (Figure 2-1) Sign, Monument. A freestanding sign where the base of the sign structure is on the ground or no more than six inches above the ground. Typically constructed of brick, wood, stone, or metal, the monument sign base shall be a minimum of 75% of the width of the sign face and no more than 125% of the width of the sign face, and no more than 40% of the overall structure (total area of sign face and sign base). (Figure 2-1) Sign, Moving. Any sign that revolves, rotates, swings, undulates, or otherwise attracts attention by moving parts, whether operated by mechanical equipment or by natural sources, not including flags or banners. Sign, Off-Premise. A sign that directs attention to a profession, business, activity, commodity, service or entertainment other than one conducted, sold, or offered upon the premises where such sign is located. Off-premise signs may be temporary or permanent; permanent off-premise signs are also called billboards. Political/noncommercial signs are not off-premise signs. Sign, Political/Noncommercial. A sign advocating action on a public issue, recommending a candidate for public office, a referendum, or similar voting issue, or a sign for the expression of noncommercial ideas and messages. A political/noncommercial sign does not direct attention to a business, commodity, service, or entertainment that is offered on or off the premises. Sign, Portable. Any sign not permanently attached to the ground, a building, or other structure and is readily movable. Any sign attached to a sign structure with wheels is considered a portable sign. Portable signs do not include those types of temporary signs or non-permanently attached signs that are specifically permitted by this Ordinance, such as banners and A-frame signs. Sign, Projecting. Any sign that is attached to a building or other structure and extends beyond the line of the building or structure or beyond the surface of that portion of the building or structure to which it is attached by more than 15 inches. (Figure 2-1) Sign, Roof. Any sign erected, constructed, and maintained above the parapet on a building with a flat roof or above the fascia board on a building with a pitched roof. (Figure 2-1) Sign, Snipe. A sign painted, pasted or otherwise affixed to any tree, rock, retaining wall, fence, utility pole, hydrant, bridge, sidewalk, curb or street, bench, or trash receptacle. Logos and labels located on mechanical equipment, recycling bins, trash containers or dumpsters, which are part of the equipment as manufactured and/or installed, are not snipe signs. Sign Structure. Any structure that supports a sign, including any decorative cover. Sign, Wall. A single-faced sign attached generally flush or parallel to the wall of a building that projects less than 15 inches. (Figure 2-1) Sign, Window. A sign posted, painted, placed, or affixed in or on a window exposed to public view. A sign that is interior to the building that faces a window exposed to public view that is located within two feet of the window face is a window sign for the purposes of calculating the total area of all window signs. Merchandise used in a window display is not considered a window sign. (Figure 2-1) Site Plan. The development plan for one or more lots on which is shown the existing and/or the proposed conditions of the lot. Special Use. A regulated use that is permitted pursuant to the special use permit issued by the authorized governmental entity. Stacking Space. A space specifically designed and designated as a waiting area for vehicles patronizing a drivethrough facility or service bay. Stoop. An exterior floor typically, constructed of stone, concrete, and/or masonry, with a finished floor elevation higher than the adjacent ground level, often with steps leading up to it, and utilized primarily as an access platform to a structure. A stoop may be roofed and designed with railings, but shall not be enclosed. Street. A public or private right-of-way that affords a primary means of vehicular access to abutting property, but does not include alleys or driveways. Structural Alteration. Any change, other than incidental repairs, which would prolong the life of supporting members of a structure, such as the addition, removal, or alteration of bearing walls, columns, beams, girders or foundations. Structure. A combination of materials to form a construction for use, occupancy, or ornamentation, whether installed on, above, or below, the surface of land or water. Substandard Lot of Record. Any lot lawfully existing at the time of adoption or amendment of this Ordinance and is not in conformance with the dimensional and/or area provisions of this Ordinance for new subdivisions as detailed in Table 4-1. Swimming Pool. A receptacle for water and/or an artificial pool of water over 24 inches in depth, either at a private residence intended only for the use of the individual owner, his family and friends, or at a multi-tenant development intended only for the use of the tenants of the building and their families and friends. Temporary Exterior Lighting. The specific illumination of an outside area or object by any man-made device that produces light by any means, which is not intended to be a permanent installation. Trellis. A lattice frame made of bars of wood or metal, fixed to a wall, to support vines or trained climbing plants. Unified Control. The combination of two or more tracts of land wherein each owner has agreed that his tract of land will be developed under the same development approvals. Unified Development Review. The review and approval, approval with conditions, or denial of requests for variances and special-use permits submitted as part of land development and subdivision applications, pursuant to §45-24-46.4 of the Rhode Island General Laws. Use. The purpose or activity for which the land or structure is designed, arranged, or intended, or for which it is occupied or maintained. Variance. Permission to depart from the literal requirements of the Zoning Ordinance. An authorization for the construction or maintenance of a structure, or for the establishment or maintenance of a use of land that is prohibited by this Ordinance. There are only two categories of variance, a use variance or a dimensional variance.</w:t>
      </w:r>
    </w:p>
    <w:p>
      <w:pPr>
        <w:numPr>
          <w:ilvl w:val="0"/>
          <w:numId w:val="1081"/>
        </w:numPr>
      </w:pPr>
      <w:r>
        <w:t xml:space="preserve">1. Use Variance.</w:t>
      </w:r>
      <w:r>
        <w:br/>
      </w:r>
      <w:r>
        <w:t xml:space="preserve">Permission to depart from the use requirements of this Ordinance under the applicable standards set forth in Rhode Island General Laws §45-24-41.</w:t>
      </w:r>
    </w:p>
    <w:p>
      <w:pPr>
        <w:numPr>
          <w:ilvl w:val="0"/>
          <w:numId w:val="1082"/>
        </w:numPr>
      </w:pPr>
      <w:r>
        <w:t xml:space="preserve">2. Dimensional Variance.</w:t>
      </w:r>
      <w:r>
        <w:br/>
      </w:r>
      <w:r>
        <w:t xml:space="preserve">Permission to depart from the dimensional requirements of this Ordinance under the applicable standards set forth in Rhode Island General Laws §45-24-41. Wall. A constructed solid barrier of concrete, stone, brick, tile, or similar type of material that closes, marks, or borders a field, yard, or lot, and that limits visibility and restricts the flow of air and light. Waters. All surface waters including all waters of the territorial sea, tidewaters, all inland waters of any river, stream, brook, pond, or lake, and wetlands, as well as all groundwaters. Wetland. A marsh, swamp, bog, pond, river, river or stream flood plain or bank; an area subject to flooding or storm flowage; an emergent or submergent plant community in any body of fresh water; or an area within 50 feet of the edge of a bog, marsh, swamp, or pond, as defined in Rhode Island General Laws §2-1-20; or any salt marsh bordering on the tidal waters of this state, whether or not the tidal waters reach the littoral areas through natural or artificial watercourses, and those uplands directly associated and contiguous thereto which are necessary to preserve the integrity of that marsh, and as further defined by the Rhode Island coastal resources management program, as may be amended. White Roof. A roof designed to deliver high solar reflectance, reducing heat transfer to the building and the ability to radiate absorbed, or non-reflected solar energy. Yard. Defined in Section 202. Yard, Corner Side. Defined in Section 202. Yard, Front. Defined in Section 202. Yard, Interior Side. Defined in Section 202. Yard, Rear. Defined in Section 202. Yard Sale. The sale of personal property conducted as accessory to a residential use, held on the seller’s own premises. The term shall include garage sales, lawn sales, rummage sales, or other similar sales. Zoning Certificate. A document signed by the zoning enforcement officer, as required in this Ordinance, which acknowledges that a use, structure or lot either complies with or is legally nonconforming to the provisions of this Ordinance or is an authorized variance or modification therefrom. Zoning Lot. A lot or combination of lots within a single block, which is designated by its owner or developer to be used, developed, or built upon as a unit. A zoning lot may or may not coincide with a lot of record. Zoning Map. The map or maps that are a part of this Ordinance and which delineate the boundaries of all mapped zoning districts within the physical boundary of the City.</w:t>
      </w:r>
    </w:p>
    <w:bookmarkEnd w:id="30"/>
    <w:bookmarkStart w:id="31" w:name="rules-of-measurement"/>
    <w:p>
      <w:pPr>
        <w:pStyle w:val="Heading2"/>
      </w:pPr>
      <w:r>
        <w:t xml:space="preserve">§ 202. RULES OF MEASUREMENT</w:t>
      </w:r>
    </w:p>
    <w:p>
      <w:pPr>
        <w:pStyle w:val="FirstParagraph"/>
      </w:pPr>
      <w:r>
        <w:t xml:space="preserve">202 RULES OF MEASUREMENT This section provides the rules of measurement for the dimensional standards and locational characteristics within the Ordinance.</w:t>
      </w:r>
    </w:p>
    <w:p>
      <w:pPr>
        <w:numPr>
          <w:ilvl w:val="0"/>
          <w:numId w:val="1083"/>
        </w:numPr>
      </w:pPr>
      <w:r>
        <w:t xml:space="preserve">A. Build-To Dimensions 1. A build-to line (BTL) is the set dimension on a lot, measured from the applicable lot line, where a certain percentage of building frontage shall be located. (Figure 2-2)</w:t>
      </w:r>
    </w:p>
    <w:p>
      <w:pPr>
        <w:numPr>
          <w:ilvl w:val="0"/>
          <w:numId w:val="1084"/>
        </w:numPr>
      </w:pPr>
      <w:r>
        <w:t xml:space="preserve">2. A build-to zone (BTZ) is an area on a lot where a certain percentage of the building frontage shall be located, measured as a minimum and maximum range from the applicable lot line. (Figure 2-3)</w:t>
      </w:r>
    </w:p>
    <w:p>
      <w:pPr>
        <w:numPr>
          <w:ilvl w:val="0"/>
          <w:numId w:val="1085"/>
        </w:numPr>
      </w:pPr>
      <w:r>
        <w:t xml:space="preserve">3. A build-to percentage specifies the percentage of the length of the build-to zone that is occupied by a building facade. Facade articulation, such as window or wall recesses and projections, is not counted against the required build-to percentage, so long as the variation does not exceed two feet of depth or projection.</w:t>
      </w:r>
    </w:p>
    <w:p>
      <w:pPr>
        <w:pStyle w:val="Compact"/>
        <w:numPr>
          <w:ilvl w:val="0"/>
          <w:numId w:val="1086"/>
        </w:numPr>
      </w:pPr>
    </w:p>
    <w:p>
      <w:pPr>
        <w:numPr>
          <w:ilvl w:val="1"/>
          <w:numId w:val="1087"/>
        </w:numPr>
      </w:pPr>
      <w:r>
        <w:t xml:space="preserve">B. Building Height 1. For a vacant parcel of land, building height shall be measured from the average, existing-grade elevation where the foundation of the structure is proposed. This method of building height applies to all structures unless specifically exempted by this Ordinance. For an existing structure, building height shall be measured from average grade taken from the outermost four (4) corners of the existing foundation. In all cases, building height shall be measured to the top of the highest point of the existing or proposed roof or structure. This distance shall exclude spires, chimneys, flag poles, and the like, as described in item 2 below. (Figure 2-4). For any property or structure located in a special flood hazard area, as shown on the official FEMA Flood Insurance Rate Maps (FIRMs), building height shall be measured from base flood elevation, and where freeboard, as defined in Section 201, is being utilized or proposed, such freeboard area, not to exceed five feet, shall be excluded from the building height calculation; provided, however, that the Rhode Island Coastal Resources Management Council design elevation maps may be used by an owner or applicant to establish a base flood elevation for a property that is higher than the official FEMA FIRMs.</w:t>
      </w:r>
    </w:p>
    <w:p>
      <w:pPr>
        <w:numPr>
          <w:ilvl w:val="0"/>
          <w:numId w:val="1088"/>
        </w:numPr>
      </w:pPr>
      <w:r>
        <w:t xml:space="preserve">2. The following structures or parts thereof are exempt from maximum height limitations, unless otherwise limited by any height restriction imposed by any airport authority, port authority, or other similar federal, state, or local authority.</w:t>
      </w:r>
    </w:p>
    <w:p>
      <w:pPr>
        <w:pStyle w:val="Compact"/>
        <w:numPr>
          <w:ilvl w:val="0"/>
          <w:numId w:val="1089"/>
        </w:numPr>
      </w:pPr>
    </w:p>
    <w:p>
      <w:pPr>
        <w:numPr>
          <w:ilvl w:val="1"/>
          <w:numId w:val="1090"/>
        </w:numPr>
      </w:pPr>
      <w:r>
        <w:t xml:space="preserve">a. Public utility poles, towers, and wires. This does not include wireless telecommunication towers and wind turbines that are regulated separately by this Ordinance.</w:t>
      </w:r>
    </w:p>
    <w:p>
      <w:pPr>
        <w:pStyle w:val="Compact"/>
        <w:numPr>
          <w:ilvl w:val="0"/>
          <w:numId w:val="1091"/>
        </w:numPr>
      </w:pPr>
    </w:p>
    <w:p>
      <w:pPr>
        <w:numPr>
          <w:ilvl w:val="1"/>
          <w:numId w:val="1092"/>
        </w:numPr>
      </w:pPr>
      <w:r>
        <w:t xml:space="preserve">b. Water tanks and standpipes.</w:t>
      </w:r>
    </w:p>
    <w:p>
      <w:pPr>
        <w:pStyle w:val="Compact"/>
        <w:numPr>
          <w:ilvl w:val="0"/>
          <w:numId w:val="1093"/>
        </w:numPr>
      </w:pPr>
    </w:p>
    <w:p>
      <w:pPr>
        <w:numPr>
          <w:ilvl w:val="1"/>
          <w:numId w:val="1094"/>
        </w:numPr>
      </w:pPr>
      <w:r>
        <w:t xml:space="preserve">c. Building appurtenances such as chimneys, parapet walls, skylights, steeples, flag poles, smokestacks, cooling towers, elevator bulkheads, fire towers, monuments, water towers, stacks, stage towers, or scenery lofts, tanks, ornamental towers and spires, rooftop accessory structures, stair towers, recreational facilities, necessary mechanical appurtenances, or penthouses to house mechanical appurtenances. However, building appurtenances shall be eligible for this exemption only if they meet the following standards: i. The footprint of all building appurtenances shall not exceed 50% of the total floor area of the roof.</w:t>
      </w:r>
    </w:p>
    <w:p>
      <w:pPr>
        <w:pStyle w:val="Compact"/>
        <w:numPr>
          <w:ilvl w:val="0"/>
          <w:numId w:val="1095"/>
        </w:numPr>
      </w:pPr>
    </w:p>
    <w:p>
      <w:pPr>
        <w:numPr>
          <w:ilvl w:val="1"/>
          <w:numId w:val="1096"/>
        </w:numPr>
      </w:pPr>
      <w:r>
        <w:t xml:space="preserve">ii. All mechanical appurtenances or penthouses to house mechanical appurtenances roof equipment shall be set back from the edge of the roof a minimum distance of one foot for every two feet by which the equipment extends above the roof.</w:t>
      </w:r>
    </w:p>
    <w:p>
      <w:pPr>
        <w:pStyle w:val="Compact"/>
        <w:numPr>
          <w:ilvl w:val="0"/>
          <w:numId w:val="1097"/>
        </w:numPr>
      </w:pPr>
    </w:p>
    <w:p>
      <w:pPr>
        <w:numPr>
          <w:ilvl w:val="1"/>
          <w:numId w:val="1098"/>
        </w:numPr>
      </w:pPr>
      <w:r>
        <w:t xml:space="preserve">iii. The Downtown Design Review Committee may waive these regulations pertaining to rooftop mechanical equipment in the D-1 District to permit up to 100% of the roof to be covered by such structures.</w:t>
      </w:r>
    </w:p>
    <w:p>
      <w:pPr>
        <w:numPr>
          <w:ilvl w:val="0"/>
          <w:numId w:val="1099"/>
        </w:numPr>
      </w:pPr>
      <w:r>
        <w:t xml:space="preserve">3. A story is that portion of a building between the upper surface of any floor and the upper surface of the floor next above, including any portion of a building used for human occupancy between the topmost floor and the roof. A basement is counted as a story, but a cellar is not. (Figure 2-5)</w:t>
      </w:r>
    </w:p>
    <w:p>
      <w:pPr>
        <w:pStyle w:val="Compact"/>
        <w:numPr>
          <w:ilvl w:val="0"/>
          <w:numId w:val="1100"/>
        </w:numPr>
      </w:pPr>
    </w:p>
    <w:p>
      <w:pPr>
        <w:numPr>
          <w:ilvl w:val="1"/>
          <w:numId w:val="1101"/>
        </w:numPr>
      </w:pPr>
      <w:r>
        <w:t xml:space="preserve">C. Caliper Tree caliper is the diameter of a tree trunk, measured at six inches above the adjacent ground.</w:t>
      </w:r>
    </w:p>
    <w:p>
      <w:pPr>
        <w:pStyle w:val="Compact"/>
        <w:numPr>
          <w:ilvl w:val="0"/>
          <w:numId w:val="1102"/>
        </w:numPr>
      </w:pPr>
    </w:p>
    <w:p>
      <w:pPr>
        <w:numPr>
          <w:ilvl w:val="1"/>
          <w:numId w:val="1103"/>
        </w:numPr>
      </w:pPr>
      <w:r>
        <w:t xml:space="preserve">D. Grade A reference plane representing the average of finished ground level adjoining the building at all exterior walls. When the finished ground level slopes away from the exterior walls, the reference plane is established by the lowest points within the area between the building and the lot line or, when the lot line is more than six feet from the building, between the building and a point six feet from the building.</w:t>
      </w:r>
    </w:p>
    <w:p>
      <w:pPr>
        <w:pStyle w:val="Compact"/>
        <w:numPr>
          <w:ilvl w:val="0"/>
          <w:numId w:val="1104"/>
        </w:numPr>
      </w:pPr>
    </w:p>
    <w:p>
      <w:pPr>
        <w:numPr>
          <w:ilvl w:val="1"/>
          <w:numId w:val="1105"/>
        </w:numPr>
      </w:pPr>
      <w:r>
        <w:t xml:space="preserve">E. Gross Floor Area (GFA) The sum of the gross horizontal area of the floors of a building measured from the exterior face of exterior walls or from the centerline of walls separating two buildings, but not including interior parking spaces, loading spaces for motor vehicles, or any space where the floor to ceiling height is less than six feet.</w:t>
      </w:r>
    </w:p>
    <w:p>
      <w:pPr>
        <w:pStyle w:val="Compact"/>
        <w:numPr>
          <w:ilvl w:val="0"/>
          <w:numId w:val="1106"/>
        </w:numPr>
      </w:pPr>
    </w:p>
    <w:p>
      <w:pPr>
        <w:numPr>
          <w:ilvl w:val="1"/>
          <w:numId w:val="1107"/>
        </w:numPr>
      </w:pPr>
      <w:r>
        <w:t xml:space="preserve">F. Impervious Surface and Pervious Surface Coverage Impervious surface coverage is a measure of intensity of land use that represents the portion of a site that is occupied by structures, pavement, and other impervious surfaces that do not allow for the absorption of water into the ground. Regardless of the surface treatment, all areas designated or used for parking or access to parking shall be considered impervious surfaces. Pervious surface coverage represents the portion of a site that allows for the absorption of water into the ground.</w:t>
      </w:r>
    </w:p>
    <w:p>
      <w:pPr>
        <w:numPr>
          <w:ilvl w:val="0"/>
          <w:numId w:val="1108"/>
        </w:numPr>
      </w:pPr>
      <w:r>
        <w:t xml:space="preserve">1. Maximum impervious surface of a lot is calculated as the percentage of all impervious surface area of the total area of the lot.</w:t>
      </w:r>
    </w:p>
    <w:p>
      <w:pPr>
        <w:numPr>
          <w:ilvl w:val="0"/>
          <w:numId w:val="1109"/>
        </w:numPr>
      </w:pPr>
      <w:r>
        <w:t xml:space="preserve">2. Maximum impervious surface of a specific yard is calculated as the percentage of all impervious surface area of the total yard area. Yard area is defined in item O below. In the case of front yards only, the roofed area of a porch shall not be counted towards the impervious surface in that area of a lot.</w:t>
      </w:r>
    </w:p>
    <w:p>
      <w:pPr>
        <w:numPr>
          <w:ilvl w:val="0"/>
          <w:numId w:val="1110"/>
        </w:numPr>
      </w:pPr>
      <w:r>
        <w:t xml:space="preserve">3. Minimum pervious surface of a lot is expressed as a minimum square footage, regardless of lot size.</w:t>
      </w:r>
    </w:p>
    <w:p>
      <w:pPr>
        <w:pStyle w:val="Compact"/>
        <w:numPr>
          <w:ilvl w:val="0"/>
          <w:numId w:val="1111"/>
        </w:numPr>
      </w:pPr>
    </w:p>
    <w:p>
      <w:pPr>
        <w:numPr>
          <w:ilvl w:val="1"/>
          <w:numId w:val="1112"/>
        </w:numPr>
      </w:pPr>
      <w:r>
        <w:t xml:space="preserve">G. Lighting 1. Luminaire Height The total height of a luminaire is measured to the top of the pole or luminaire, whichever is higher, from grade. (Figure 2-6)</w:t>
      </w:r>
    </w:p>
    <w:p>
      <w:pPr>
        <w:numPr>
          <w:ilvl w:val="0"/>
          <w:numId w:val="1113"/>
        </w:numPr>
      </w:pPr>
      <w:r>
        <w:t xml:space="preserve">2. Footcandle A footcandle (FC) is a unit of illumination produced on a surface, all points of which are one foot from a uniform point source of one standard candle. Footcandle is measured utilizing a direct reading, portable light meter mounted in a horizontal position.</w:t>
      </w:r>
    </w:p>
    <w:p>
      <w:pPr>
        <w:pStyle w:val="Compact"/>
        <w:numPr>
          <w:ilvl w:val="0"/>
          <w:numId w:val="1114"/>
        </w:numPr>
      </w:pPr>
    </w:p>
    <w:p>
      <w:pPr>
        <w:numPr>
          <w:ilvl w:val="1"/>
          <w:numId w:val="1115"/>
        </w:numPr>
      </w:pPr>
      <w:r>
        <w:t xml:space="preserve">H. Lot A lot is the basic development unit for determination of lot area, depth, and other dimensional regulations; or a parcel of land whose boundaries have been established by some legal instrument such as a recorded deed or recorded map and which is recognized as a separate legal entity for purposes of transfer of title. The following describes the types of lot configurations: (Figure 2-7)</w:t>
      </w:r>
    </w:p>
    <w:p>
      <w:pPr>
        <w:numPr>
          <w:ilvl w:val="0"/>
          <w:numId w:val="1116"/>
        </w:numPr>
      </w:pPr>
      <w:r>
        <w:t xml:space="preserve">1. An interior lot is a lot other than a corner or through lot, bounded by two interior side lot lines.</w:t>
      </w:r>
    </w:p>
    <w:p>
      <w:pPr>
        <w:numPr>
          <w:ilvl w:val="0"/>
          <w:numId w:val="1117"/>
        </w:numPr>
      </w:pPr>
      <w:r>
        <w:t xml:space="preserve">2. A corner lot is a lot situated at the junction of, and abutting on, two or more intersecting streets.</w:t>
      </w:r>
    </w:p>
    <w:p>
      <w:pPr>
        <w:numPr>
          <w:ilvl w:val="0"/>
          <w:numId w:val="1118"/>
        </w:numPr>
      </w:pPr>
      <w:r>
        <w:t xml:space="preserve">3. A through lot is a lot which fronts upon two parallel streets, or which fronts upon two streets which do not intersect at the boundaries of the lot.</w:t>
      </w:r>
    </w:p>
    <w:p>
      <w:pPr>
        <w:pStyle w:val="Compact"/>
        <w:numPr>
          <w:ilvl w:val="0"/>
          <w:numId w:val="1119"/>
        </w:numPr>
      </w:pPr>
    </w:p>
    <w:p>
      <w:pPr>
        <w:numPr>
          <w:ilvl w:val="1"/>
          <w:numId w:val="1120"/>
        </w:numPr>
      </w:pPr>
      <w:r>
        <w:t xml:space="preserve">I. Lot Area The total area within the boundaries of a lot, excluding any street right-of-way, usually reported in acres or square feet. (Figure 2-8)</w:t>
      </w:r>
    </w:p>
    <w:p>
      <w:pPr>
        <w:pStyle w:val="Compact"/>
        <w:numPr>
          <w:ilvl w:val="0"/>
          <w:numId w:val="1121"/>
        </w:numPr>
      </w:pPr>
    </w:p>
    <w:p>
      <w:pPr>
        <w:numPr>
          <w:ilvl w:val="1"/>
          <w:numId w:val="1122"/>
        </w:numPr>
      </w:pPr>
      <w:r>
        <w:t xml:space="preserve">J. Lot Building Coverage That portion of the lot that is or may be covered by buildings, accessory buildings, and other structures covered by a roof.</w:t>
      </w:r>
    </w:p>
    <w:p>
      <w:pPr>
        <w:pStyle w:val="Compact"/>
        <w:numPr>
          <w:ilvl w:val="0"/>
          <w:numId w:val="1123"/>
        </w:numPr>
      </w:pPr>
    </w:p>
    <w:p>
      <w:pPr>
        <w:numPr>
          <w:ilvl w:val="1"/>
          <w:numId w:val="1124"/>
        </w:numPr>
      </w:pPr>
      <w:r>
        <w:t xml:space="preserve">K. Lot Depth The distance measured from the front lot line to the rear lot line. For lots where the front and rear lot lines are not parallel, the lot depth is an average of the depth. (Figure 2-8)</w:t>
      </w:r>
    </w:p>
    <w:p>
      <w:pPr>
        <w:pStyle w:val="Compact"/>
        <w:numPr>
          <w:ilvl w:val="0"/>
          <w:numId w:val="1125"/>
        </w:numPr>
      </w:pPr>
    </w:p>
    <w:p>
      <w:pPr>
        <w:numPr>
          <w:ilvl w:val="1"/>
          <w:numId w:val="1126"/>
        </w:numPr>
      </w:pPr>
      <w:r>
        <w:t xml:space="preserve">L. Lot Line A line of record, bounding a lot, which divides one lot from another lot or from a public or private street or any other public or private space and includes: (Figure 2-9)</w:t>
      </w:r>
    </w:p>
    <w:p>
      <w:pPr>
        <w:numPr>
          <w:ilvl w:val="0"/>
          <w:numId w:val="1127"/>
        </w:numPr>
      </w:pPr>
      <w:r>
        <w:t xml:space="preserve">1. A front lot line is the lot line separating a lot from a street right-of-way. The front lot line of a corner lot may be any one of the lot lines abutting a street. A front lot line for a through lot is one or both lot lines that abut a street. On a lot that does not abut a developed right-of-way, the front lot line shall be considered that lot line which is oriented towards the site access.</w:t>
      </w:r>
    </w:p>
    <w:p>
      <w:pPr>
        <w:numPr>
          <w:ilvl w:val="0"/>
          <w:numId w:val="1128"/>
        </w:numPr>
      </w:pPr>
      <w:r>
        <w:t xml:space="preserve">2. A rear lot line is the lot line opposite and most distant from the front lot line, or in the case of triangular or otherwise irregularly shaped lots, an assumed line at least ten feet in length entirely within the lot, parallel to and at a maximum distance from the front lot line.</w:t>
      </w:r>
    </w:p>
    <w:p>
      <w:pPr>
        <w:numPr>
          <w:ilvl w:val="0"/>
          <w:numId w:val="1129"/>
        </w:numPr>
      </w:pPr>
      <w:r>
        <w:t xml:space="preserve">3. An interior side lot line is a lot line that is perpendicular or approximately perpendicular to the front lot line and abuts another lot.</w:t>
      </w:r>
    </w:p>
    <w:p>
      <w:pPr>
        <w:numPr>
          <w:ilvl w:val="0"/>
          <w:numId w:val="1130"/>
        </w:numPr>
      </w:pPr>
      <w:r>
        <w:t xml:space="preserve">4. A corner side lot line is a lot line that is perpendicular or approximately perpendicular to the front lot line.</w:t>
      </w:r>
    </w:p>
    <w:p>
      <w:pPr>
        <w:numPr>
          <w:ilvl w:val="0"/>
          <w:numId w:val="1131"/>
        </w:numPr>
      </w:pPr>
      <w:r>
        <w:t xml:space="preserve">5. A street lot line is a lot line that abuts a street.</w:t>
      </w:r>
    </w:p>
    <w:p>
      <w:pPr>
        <w:pStyle w:val="Compact"/>
        <w:numPr>
          <w:ilvl w:val="0"/>
          <w:numId w:val="1132"/>
        </w:numPr>
      </w:pPr>
    </w:p>
    <w:p>
      <w:pPr>
        <w:numPr>
          <w:ilvl w:val="1"/>
          <w:numId w:val="1133"/>
        </w:numPr>
      </w:pPr>
      <w:r>
        <w:t xml:space="preserve">M. Lot Width Lot width is the horizontal distance between the side lot lines measured at right angles to its depth along a straight line parallel to the front lot line at the minimum front setback line. (Figure 2-8)</w:t>
      </w:r>
    </w:p>
    <w:p>
      <w:pPr>
        <w:pStyle w:val="Compact"/>
        <w:numPr>
          <w:ilvl w:val="0"/>
          <w:numId w:val="1134"/>
        </w:numPr>
      </w:pPr>
    </w:p>
    <w:p>
      <w:pPr>
        <w:numPr>
          <w:ilvl w:val="1"/>
          <w:numId w:val="1135"/>
        </w:numPr>
      </w:pPr>
      <w:r>
        <w:t xml:space="preserve">N. Sign Dimension Measurement 1. Measurement of Sign Area Sign area is measured as follows: (Figure 2-10)</w:t>
      </w:r>
    </w:p>
    <w:p>
      <w:pPr>
        <w:pStyle w:val="Compact"/>
        <w:numPr>
          <w:ilvl w:val="0"/>
          <w:numId w:val="1136"/>
        </w:numPr>
      </w:pPr>
    </w:p>
    <w:p>
      <w:pPr>
        <w:pStyle w:val="Compact"/>
        <w:numPr>
          <w:ilvl w:val="1"/>
          <w:numId w:val="1137"/>
        </w:numPr>
      </w:pPr>
    </w:p>
    <w:p>
      <w:pPr>
        <w:numPr>
          <w:ilvl w:val="2"/>
          <w:numId w:val="1138"/>
        </w:numPr>
      </w:pPr>
      <w:r>
        <w:t xml:space="preserve">a. For signs on a background, the entire area of the background is calculated as sign area, including any material or color forming the sign face and the background used to differentiate the sign from the structure against which it is mounted. Sign area does not include any supports or bracing.</w:t>
      </w:r>
    </w:p>
    <w:p>
      <w:pPr>
        <w:pStyle w:val="Compact"/>
        <w:numPr>
          <w:ilvl w:val="0"/>
          <w:numId w:val="1139"/>
        </w:numPr>
      </w:pPr>
    </w:p>
    <w:p>
      <w:pPr>
        <w:pStyle w:val="Compact"/>
        <w:numPr>
          <w:ilvl w:val="1"/>
          <w:numId w:val="1140"/>
        </w:numPr>
      </w:pPr>
    </w:p>
    <w:p>
      <w:pPr>
        <w:numPr>
          <w:ilvl w:val="2"/>
          <w:numId w:val="1141"/>
        </w:numPr>
      </w:pPr>
      <w:r>
        <w:t xml:space="preserve">b. For signs consisting of freestanding letters or logos, the sign area is calculated as the total area of each square, circle, rectangle, or triangle, or combination thereof, which encompasses each individual letter or logo. Sign area does not include any supports or bracing.</w:t>
      </w:r>
    </w:p>
    <w:p>
      <w:pPr>
        <w:pStyle w:val="Compact"/>
        <w:numPr>
          <w:ilvl w:val="0"/>
          <w:numId w:val="1142"/>
        </w:numPr>
      </w:pPr>
    </w:p>
    <w:p>
      <w:pPr>
        <w:pStyle w:val="Compact"/>
        <w:numPr>
          <w:ilvl w:val="1"/>
          <w:numId w:val="1143"/>
        </w:numPr>
      </w:pPr>
    </w:p>
    <w:p>
      <w:pPr>
        <w:numPr>
          <w:ilvl w:val="2"/>
          <w:numId w:val="1144"/>
        </w:numPr>
      </w:pPr>
      <w:r>
        <w:t xml:space="preserve">c. Window signs printed on a transparent film and affixed to the interior or exterior of a windowpane are calculated as individual letters or logos, provided that the portion of the transparent film around the perimeter of the individual letters or logos maintains 100% transparency of the window.</w:t>
      </w:r>
    </w:p>
    <w:p>
      <w:pPr>
        <w:pStyle w:val="Compact"/>
        <w:numPr>
          <w:ilvl w:val="0"/>
          <w:numId w:val="1145"/>
        </w:numPr>
      </w:pPr>
    </w:p>
    <w:p>
      <w:pPr>
        <w:pStyle w:val="Compact"/>
        <w:numPr>
          <w:ilvl w:val="1"/>
          <w:numId w:val="1146"/>
        </w:numPr>
      </w:pPr>
    </w:p>
    <w:p>
      <w:pPr>
        <w:numPr>
          <w:ilvl w:val="2"/>
          <w:numId w:val="1147"/>
        </w:numPr>
      </w:pPr>
      <w:r>
        <w:t xml:space="preserve">d. The sign area of a three-dimensional, free-form, or sculptural (non-planar) sign is calculated as 50% of the sum of the area of the four vertical sides of the smallest cube that will encompass the sign.</w:t>
      </w:r>
    </w:p>
    <w:p>
      <w:pPr>
        <w:numPr>
          <w:ilvl w:val="0"/>
          <w:numId w:val="1148"/>
        </w:numPr>
      </w:pPr>
      <w:r>
        <w:t xml:space="preserve">2. Measurement of Sign Height For freestanding signs, height is calculated as the vertical distance measured from grade adjacent to where the sign is to be installed to the highest point of the sign. (Figure 2-11)</w:t>
      </w:r>
    </w:p>
    <w:p>
      <w:pPr>
        <w:pStyle w:val="Compact"/>
        <w:numPr>
          <w:ilvl w:val="0"/>
          <w:numId w:val="1149"/>
        </w:numPr>
      </w:pPr>
    </w:p>
    <w:p>
      <w:pPr>
        <w:numPr>
          <w:ilvl w:val="1"/>
          <w:numId w:val="1150"/>
        </w:numPr>
      </w:pPr>
      <w:r>
        <w:t xml:space="preserve">O. Yards and Setbacks A yard is the open space area between the building line of a principal building and the adjoining lot lines. A required setback is the required minimum distance a principal building shall be located from a lot line, which is unoccupied and unobstructed by any portion of a principal building or accessory structure, unless permitted by this Ordinance, and may be equal to or lesser than a yard. A setback is located along a lot line for the minimum depth specified by the zoning district in which such lot is located. A build-to zone or build-to line is considered a required setback. (Figure 2-12)</w:t>
      </w:r>
    </w:p>
    <w:p>
      <w:pPr>
        <w:numPr>
          <w:ilvl w:val="0"/>
          <w:numId w:val="1151"/>
        </w:numPr>
      </w:pPr>
      <w:r>
        <w:t xml:space="preserve">1. Front Yard and Front Setback A front yard is located between a principal building line and the front lot line, extending the full width of the lot. A front setback is the required minimum distance per the zoning district that a principal building shall be located from the front lot line. The front setback extends the full width of the lot between side lot lines measured perpendicular to the front lot line. For the purposes of determining a front setback, if a porch extends the full width of the building, the front of the porch shall be considered the building line.</w:t>
      </w:r>
    </w:p>
    <w:p>
      <w:pPr>
        <w:numPr>
          <w:ilvl w:val="0"/>
          <w:numId w:val="1152"/>
        </w:numPr>
      </w:pPr>
      <w:r>
        <w:t xml:space="preserve">2. Interior Side Yard and Interior Side Setback An interior side yard is located between a principal building line and the interior side lot line. An interior side setback is the required minimum distance per the zoning district that a principal building shall be located from the interior side lot line. The interior side yard and interior side setback extend along the interior side lot line between the front and rear yard and setback, measured perpendicular to the interior side lot line. For rowhouse developments, the interior side yard and interior side setback are applicable to end units only.</w:t>
      </w:r>
    </w:p>
    <w:p>
      <w:pPr>
        <w:numPr>
          <w:ilvl w:val="0"/>
          <w:numId w:val="1153"/>
        </w:numPr>
      </w:pPr>
      <w:r>
        <w:t xml:space="preserve">3. Corner Side Yard and Corner Side Setback A corner side yard is located between a principal building line and the corner side lot line. A corner side setback is the required minimum distance per the zoning district that a principal building shall be located from the corner side lot line. The corner side yard and corner side setback extend along the corner side lot line between the front yard or front setback and the rear lot line, measured perpendicular to the corner side lot line.</w:t>
      </w:r>
    </w:p>
    <w:p>
      <w:pPr>
        <w:numPr>
          <w:ilvl w:val="0"/>
          <w:numId w:val="1154"/>
        </w:numPr>
      </w:pPr>
      <w:r>
        <w:t xml:space="preserve">4. Rear Yard and Rear Setback A rear yard is located between a principal building line and the rear lot line. A rear setback is the required minimum distance per the zoning district that a principal building shall be located from the rear lot line. The rear yard and rear setback extend between interior side lot lines, measured perpendicular to the rear lot line. In the case of a corner lot, the rear yard and rear setback extend between the interior side lot line to the required corner side setback for the lot, measured perpendicular to the rear lot line.</w:t>
      </w:r>
    </w:p>
    <w:bookmarkEnd w:id="31"/>
    <w:bookmarkStart w:id="32" w:name="zoning-districts"/>
    <w:p>
      <w:pPr>
        <w:pStyle w:val="Heading1"/>
      </w:pPr>
      <w:r>
        <w:t xml:space="preserve">§ 3. ZONING DISTRICTS</w:t>
      </w:r>
    </w:p>
    <w:p>
      <w:pPr>
        <w:pStyle w:val="FirstParagraph"/>
      </w:pPr>
      <w:r>
        <w:t xml:space="preserve">ARTICLE 3. ZONING DISTRICTS 300 DISTRICTS 301 ZONING MAP 302 EXEMPTIONS FOR PUBLIC RIGHTS-OF-WAY AND PUBLIC UTILITIES</w:t>
      </w:r>
    </w:p>
    <w:bookmarkEnd w:id="32"/>
    <w:bookmarkStart w:id="33" w:name="districts"/>
    <w:p>
      <w:pPr>
        <w:pStyle w:val="Heading2"/>
      </w:pPr>
      <w:r>
        <w:t xml:space="preserve">§ 300. DISTRICTS</w:t>
      </w:r>
    </w:p>
    <w:p>
      <w:pPr>
        <w:pStyle w:val="FirstParagraph"/>
      </w:pPr>
      <w:r>
        <w:t xml:space="preserve">300 DISTRICTS In order to carry out the purpose and intent of this Ordinance, the City of Providence is divided into the following zoning districts:</w:t>
      </w:r>
    </w:p>
    <w:p>
      <w:pPr>
        <w:numPr>
          <w:ilvl w:val="0"/>
          <w:numId w:val="1155"/>
        </w:numPr>
      </w:pPr>
      <w:r>
        <w:t xml:space="preserve">A. Residential Districts R-1A Residential District R-1 Residential District R-3 Residential District R-4 Residential District R-P Residential Professional District</w:t>
      </w:r>
    </w:p>
    <w:p>
      <w:pPr>
        <w:numPr>
          <w:ilvl w:val="0"/>
          <w:numId w:val="1156"/>
        </w:numPr>
      </w:pPr>
      <w:r>
        <w:t xml:space="preserve">B. Commercial Districts C-2 General Commercial District C-3 Heavy Commercial District</w:t>
      </w:r>
    </w:p>
    <w:p>
      <w:pPr>
        <w:numPr>
          <w:ilvl w:val="0"/>
          <w:numId w:val="1157"/>
        </w:numPr>
      </w:pPr>
      <w:r>
        <w:t xml:space="preserve">C. Downtown Districts D-1 Downtown District</w:t>
      </w:r>
    </w:p>
    <w:p>
      <w:pPr>
        <w:numPr>
          <w:ilvl w:val="0"/>
          <w:numId w:val="1158"/>
        </w:numPr>
      </w:pPr>
      <w:r>
        <w:t xml:space="preserve">D. Industrial Districts M-MU Mixed-Use Industrial District M-1 Light Industrial District M-2 General Industrial District</w:t>
      </w:r>
    </w:p>
    <w:p>
      <w:pPr>
        <w:numPr>
          <w:ilvl w:val="0"/>
          <w:numId w:val="1159"/>
        </w:numPr>
      </w:pPr>
      <w:r>
        <w:t xml:space="preserve">E. Institutional Districts I-1 Healthcare Institutional District I-2 Educational Institutional District</w:t>
      </w:r>
    </w:p>
    <w:p>
      <w:pPr>
        <w:numPr>
          <w:ilvl w:val="0"/>
          <w:numId w:val="1160"/>
        </w:numPr>
      </w:pPr>
      <w:r>
        <w:t xml:space="preserve">F. Waterfront Districts W-2 Mixed-Use Waterfront District W-3 Port/Maritime Industrial Waterfront District</w:t>
      </w:r>
    </w:p>
    <w:p>
      <w:pPr>
        <w:numPr>
          <w:ilvl w:val="0"/>
          <w:numId w:val="1161"/>
        </w:numPr>
      </w:pPr>
      <w:r>
        <w:t xml:space="preserve">G. Open Space and Public Space Districts OS Open Space District PS Public Space District CD Conservation District</w:t>
      </w:r>
    </w:p>
    <w:p>
      <w:pPr>
        <w:numPr>
          <w:ilvl w:val="0"/>
          <w:numId w:val="1162"/>
        </w:numPr>
      </w:pPr>
      <w:r>
        <w:t xml:space="preserve">H. Special Purpose Districts DD Downcity Overlay District ES East Side I-195 Overlay District HD Historic District Overlay District Special Flood Hazard Areas TOD Transit-Oriented Development Overlay District I-3E Educational Institutional Overlay District I-3H Healthcare Institutional Overlay District</w:t>
      </w:r>
    </w:p>
    <w:bookmarkEnd w:id="33"/>
    <w:bookmarkStart w:id="34" w:name="zoning-map"/>
    <w:p>
      <w:pPr>
        <w:pStyle w:val="Heading2"/>
      </w:pPr>
      <w:r>
        <w:t xml:space="preserve">§ 301. ZONING MAP</w:t>
      </w:r>
    </w:p>
    <w:p>
      <w:pPr>
        <w:pStyle w:val="FirstParagraph"/>
      </w:pPr>
      <w:r>
        <w:t xml:space="preserve">301 ZONING MAP</w:t>
      </w:r>
    </w:p>
    <w:p>
      <w:pPr>
        <w:numPr>
          <w:ilvl w:val="0"/>
          <w:numId w:val="1163"/>
        </w:numPr>
      </w:pPr>
      <w:r>
        <w:t xml:space="preserve">A. Maintenance of Zoning Map The City Clerk is the custodian of the Zoning Ordinance and Zoning Map. The Department of Planning and Development is responsible for updating the Zoning Ordinance and Zoning Map when it is amended by the City Council and shall provide such amended text and maps to the City Clerk.</w:t>
      </w:r>
    </w:p>
    <w:p>
      <w:pPr>
        <w:numPr>
          <w:ilvl w:val="0"/>
          <w:numId w:val="1164"/>
        </w:numPr>
      </w:pPr>
      <w:r>
        <w:t xml:space="preserve">B. Location of Districts</w:t>
      </w:r>
    </w:p>
    <w:p>
      <w:pPr>
        <w:numPr>
          <w:ilvl w:val="0"/>
          <w:numId w:val="1000"/>
        </w:numPr>
      </w:pPr>
      <w:r>
        <w:t xml:space="preserve">1. The location and boundaries of the zoning districts established by this Ordinance are set forth in the Official Zoning Map, as periodically amended. The Official Zoning Map is incorporated into, and made an integral part of, this Ordinance.</w:t>
      </w:r>
    </w:p>
    <w:p>
      <w:pPr>
        <w:numPr>
          <w:ilvl w:val="0"/>
          <w:numId w:val="1165"/>
        </w:numPr>
      </w:pPr>
      <w:r>
        <w:t xml:space="preserve">2. It is the intent of this Ordinance that the entire area of the City, including all land and water areas, are included in the zoning districts established by this Ordinance. Any land lying within the City, but not shown on the Official Zoning Map as being included within a district, is classified as the R-1 District.</w:t>
      </w:r>
    </w:p>
    <w:p>
      <w:pPr>
        <w:pStyle w:val="Compact"/>
        <w:numPr>
          <w:ilvl w:val="0"/>
          <w:numId w:val="1166"/>
        </w:numPr>
      </w:pPr>
    </w:p>
    <w:p>
      <w:pPr>
        <w:numPr>
          <w:ilvl w:val="1"/>
          <w:numId w:val="1167"/>
        </w:numPr>
      </w:pPr>
      <w:r>
        <w:t xml:space="preserve">C. Interpretation of Boundary Lines</w:t>
      </w:r>
    </w:p>
    <w:p>
      <w:pPr>
        <w:numPr>
          <w:ilvl w:val="1"/>
          <w:numId w:val="1000"/>
        </w:numPr>
      </w:pPr>
      <w:r>
        <w:t xml:space="preserve">1. Right-of-Way Lines Where zoning district boundary lines coincide with streets, highways, expressways, easements, railroads, or waterways (rivers, lakes, streams, or other bodies of water), the boundary line is construed to be the centerline of the right-of-way.</w:t>
      </w:r>
    </w:p>
    <w:p>
      <w:pPr>
        <w:numPr>
          <w:ilvl w:val="0"/>
          <w:numId w:val="1168"/>
        </w:numPr>
      </w:pPr>
      <w:r>
        <w:t xml:space="preserve">2. Property Lines Where zoning district boundary lines coincide with a recorded property line, the property line is construed to be the boundary line of the district.</w:t>
      </w:r>
    </w:p>
    <w:p>
      <w:pPr>
        <w:numPr>
          <w:ilvl w:val="0"/>
          <w:numId w:val="1169"/>
        </w:numPr>
      </w:pPr>
      <w:r>
        <w:t xml:space="preserve">3. Scaled Lines Where the district boundary lines do not coincide with a right-of-way line or recorded property line, the district boundary is determined by measuring such boundary line(s) by using the map scale as provided on the Zoning Map.</w:t>
      </w:r>
    </w:p>
    <w:p>
      <w:pPr>
        <w:numPr>
          <w:ilvl w:val="0"/>
          <w:numId w:val="1170"/>
        </w:numPr>
      </w:pPr>
      <w:r>
        <w:t xml:space="preserve">4. Clarification of Boundary Lines The Zoning Board of Review decides any interpretations of zoning district boundary lines, where there is doubt as to the boundary between two zoning districts.</w:t>
      </w:r>
    </w:p>
    <w:bookmarkEnd w:id="34"/>
    <w:bookmarkStart w:id="35" w:name="Xbfe2ae260738798b6c27c9d62a752ea257ad2c9"/>
    <w:p>
      <w:pPr>
        <w:pStyle w:val="Heading2"/>
      </w:pPr>
      <w:r>
        <w:t xml:space="preserve">§ 302. EXEMPTIONS FOR PUBLIC RIGHTS-OF-WAY AND PUBLIC UTILITIES</w:t>
      </w:r>
    </w:p>
    <w:p>
      <w:pPr>
        <w:pStyle w:val="FirstParagraph"/>
      </w:pPr>
      <w:r>
        <w:t xml:space="preserve">302 EXEMPTIONS FOR PUBLIC RIGHTS-OF-WAY AND PUBLIC UTILITIES</w:t>
      </w:r>
    </w:p>
    <w:p>
      <w:pPr>
        <w:numPr>
          <w:ilvl w:val="0"/>
          <w:numId w:val="1171"/>
        </w:numPr>
      </w:pPr>
      <w:r>
        <w:t xml:space="preserve">A. The provisions of this Ordinance do not apply to land located within public rights-of-way, except for encroachments into the public right-of-way authorized under this Ordinance.</w:t>
      </w:r>
    </w:p>
    <w:p>
      <w:pPr>
        <w:numPr>
          <w:ilvl w:val="0"/>
          <w:numId w:val="1172"/>
        </w:numPr>
      </w:pPr>
      <w:r>
        <w:t xml:space="preserve">B. The following utility uses are exempt from the provisions of this Ordinance and permitted in any district: wires, cables, conduits, vaults, laterals, pipes, mains, hydrants, valves and water supply wells. Electric substations are exempt from the demolition provisions of Article 6.</w:t>
      </w:r>
    </w:p>
    <w:p>
      <w:pPr>
        <w:numPr>
          <w:ilvl w:val="0"/>
          <w:numId w:val="1173"/>
        </w:numPr>
      </w:pPr>
      <w:r>
        <w:t xml:space="preserve">C. This exemption does not include utilities, power plants, solar energy systems (principal use), wind energy systems (principal use), or wireless telecommunications, as defined in Article 12, or amateur (HAM) radio equipment, solar energy systems (accessory use), or wind energy systems (accessory use). All such structures shall comply with this Ordinance and any other applicable City ordinances.</w:t>
      </w:r>
    </w:p>
    <w:p>
      <w:pPr>
        <w:numPr>
          <w:ilvl w:val="0"/>
          <w:numId w:val="1174"/>
        </w:numPr>
      </w:pPr>
      <w:r>
        <w:t xml:space="preserve">D. Any structure, fixture, excavation, obstruction, or encroachment erected or maintained over, onto, or under any public right-of-way requires a right-of-way encroachment permit in accordance with Section 1914.</w:t>
      </w:r>
    </w:p>
    <w:bookmarkEnd w:id="35"/>
    <w:bookmarkStart w:id="36" w:name="residential-districts"/>
    <w:p>
      <w:pPr>
        <w:pStyle w:val="Heading1"/>
      </w:pPr>
      <w:r>
        <w:t xml:space="preserve">§ 4. RESIDENTIAL DISTRICTS</w:t>
      </w:r>
    </w:p>
    <w:p>
      <w:pPr>
        <w:pStyle w:val="FirstParagraph"/>
      </w:pPr>
      <w:r>
        <w:t xml:space="preserve">ARTICLE 4. RESIDENTIAL DISTRICTS 401 USES 402 DIMENSIONAL STANDARDS</w:t>
      </w:r>
    </w:p>
    <w:bookmarkEnd w:id="36"/>
    <w:bookmarkStart w:id="37" w:name="purpose-statements"/>
    <w:p>
      <w:pPr>
        <w:pStyle w:val="Heading2"/>
      </w:pPr>
      <w:r>
        <w:t xml:space="preserve">§ 400. PURPOSE STATEMENTS</w:t>
      </w:r>
    </w:p>
    <w:p>
      <w:pPr>
        <w:pStyle w:val="FirstParagraph"/>
      </w:pPr>
      <w:r>
        <w:t xml:space="preserve">400 PURPOSE STATEMENTS</w:t>
      </w:r>
    </w:p>
    <w:p>
      <w:pPr>
        <w:pStyle w:val="BodyText"/>
      </w:pPr>
      <w:r>
        <w:t xml:space="preserve">A. R-1A Residential District The R-1A Residential District is intended for neighborhoods of lower density residential development. The R-1A District accommodates single-family dwellings on larger lots than those typically found in the City.</w:t>
      </w:r>
    </w:p>
    <w:p>
      <w:pPr>
        <w:pStyle w:val="BodyText"/>
      </w:pPr>
      <w:r>
        <w:t xml:space="preserve">Limited non-residential uses, which are compatible with surrounding residential neighborhoods, may be allowed.</w:t>
      </w:r>
    </w:p>
    <w:p>
      <w:pPr>
        <w:numPr>
          <w:ilvl w:val="0"/>
          <w:numId w:val="1175"/>
        </w:numPr>
      </w:pPr>
      <w:r>
        <w:t xml:space="preserve">B. R-1 Residential District The R-1 Residential District is intended for detached single-family dwellings of low density residential development. Limited non-residential uses, which are compatible with surrounding residential neighborhoods, may be allowed.</w:t>
      </w:r>
    </w:p>
    <w:p>
      <w:pPr>
        <w:numPr>
          <w:ilvl w:val="0"/>
          <w:numId w:val="1176"/>
        </w:numPr>
      </w:pPr>
      <w:r>
        <w:t xml:space="preserve">C. Reserved</w:t>
      </w:r>
    </w:p>
    <w:p>
      <w:pPr>
        <w:numPr>
          <w:ilvl w:val="0"/>
          <w:numId w:val="1177"/>
        </w:numPr>
      </w:pPr>
      <w:r>
        <w:t xml:space="preserve">D. R-3 Residential District The R-3 Residential District is intended for higher density residential areas of detached single-family, twofamily, and three-family residential development, as well as rowhouse development. Limited nonresidential uses, which are compatible with surrounding residential neighborhoods, may be allowed.</w:t>
      </w:r>
    </w:p>
    <w:p>
      <w:pPr>
        <w:numPr>
          <w:ilvl w:val="0"/>
          <w:numId w:val="1178"/>
        </w:numPr>
      </w:pPr>
      <w:r>
        <w:t xml:space="preserve">E. R-4 Residential District The R-4 Residential District accommodates a variety of residential structures: single-family, two-family, three-family, rowhouses, and multi-family housing. The R-4 District accommodates higher density residential development in areas that minimize negative impacts to lower density residential neighborhoods. Limited non-residential uses, which are compatible with surrounding residential neighborhoods, may be allowed.</w:t>
      </w:r>
    </w:p>
    <w:p>
      <w:pPr>
        <w:numPr>
          <w:ilvl w:val="0"/>
          <w:numId w:val="1179"/>
        </w:numPr>
      </w:pPr>
      <w:r>
        <w:t xml:space="preserve">F. RP Residential Professional District The RP Residential Professional District is intended to preserve and enhance the residential integrity of select heavily traveled streets where certain residential-professional and low-intensity commercial uses are compatible. Compatible non-residential uses are those that can be accommodated within an existing residential structure to preserve the character of the street and its architecturally attractive and distinctive qualities.</w:t>
      </w:r>
    </w:p>
    <w:bookmarkEnd w:id="37"/>
    <w:bookmarkStart w:id="38" w:name="uses"/>
    <w:p>
      <w:pPr>
        <w:pStyle w:val="Heading2"/>
      </w:pPr>
      <w:r>
        <w:t xml:space="preserve">§ 401. USES</w:t>
      </w:r>
    </w:p>
    <w:p>
      <w:pPr>
        <w:pStyle w:val="FirstParagraph"/>
      </w:pPr>
      <w:r>
        <w:t xml:space="preserve">401 USES Article 12 lists permitted and special principal uses and temporary uses for the residential districts.</w:t>
      </w:r>
    </w:p>
    <w:bookmarkEnd w:id="38"/>
    <w:bookmarkStart w:id="39" w:name="dimensional-standards"/>
    <w:p>
      <w:pPr>
        <w:pStyle w:val="Heading2"/>
      </w:pPr>
      <w:r>
        <w:t xml:space="preserve">§ 402. DIMENSIONAL STANDARDS</w:t>
      </w:r>
    </w:p>
    <w:p>
      <w:pPr>
        <w:pStyle w:val="FirstParagraph"/>
      </w:pPr>
      <w:r>
        <w:t xml:space="preserve">402 DIMENSIONAL STANDARDS</w:t>
      </w:r>
    </w:p>
    <w:p>
      <w:pPr>
        <w:numPr>
          <w:ilvl w:val="0"/>
          <w:numId w:val="1180"/>
        </w:numPr>
      </w:pPr>
      <w:r>
        <w:t xml:space="preserve">A. General Standards Table 4-1: Residential District Dimensional Standards establishes the dimensional standards for the residential districts. These regulations apply to all uses within each district unless a different standard is listed for a specific use.</w:t>
      </w:r>
    </w:p>
    <w:p>
      <w:pPr>
        <w:numPr>
          <w:ilvl w:val="0"/>
          <w:numId w:val="1181"/>
        </w:numPr>
      </w:pPr>
      <w:r>
        <w:t xml:space="preserve">B. Front Setback Calculation The front setback requirement in residential districts is a required build-to zone calculated according to an averaging provision, as follows:</w:t>
      </w:r>
    </w:p>
    <w:p>
      <w:pPr>
        <w:numPr>
          <w:ilvl w:val="0"/>
          <w:numId w:val="1182"/>
        </w:numPr>
      </w:pPr>
      <w:r>
        <w:t xml:space="preserve">1. The build-to zone is calculated as the average of the front setbacks of developed lots within 100 feet on either side of the subject lot on the same side of the street as the subject lot. Any lots within this distance that are only partially within this 100 feet are also included in the calculation. The resulting calculation can be increased or decreased by five feet to establish the build-to zone.</w:t>
      </w:r>
    </w:p>
    <w:p>
      <w:pPr>
        <w:numPr>
          <w:ilvl w:val="0"/>
          <w:numId w:val="1183"/>
        </w:numPr>
      </w:pPr>
      <w:r>
        <w:t xml:space="preserve">2. If there are no buildings on the same side of the street, developed lots within 100 feet in both directions on the opposite side of the street are used for averaging to calculate the required minimum front setback. Any lots within this distance that are only partially within this 100 feet are also included in the calculation. The resulting calculation can be increased or decreased by five feet to establish the build-to zone.</w:t>
      </w:r>
    </w:p>
    <w:p>
      <w:pPr>
        <w:numPr>
          <w:ilvl w:val="0"/>
          <w:numId w:val="1184"/>
        </w:numPr>
      </w:pPr>
      <w:r>
        <w:t xml:space="preserve">3. If there are no buildings on the same side or the opposite side of the street, the required front buildto zone is set as the area between 5% and 15% of the lot depth.</w:t>
      </w:r>
    </w:p>
    <w:p>
      <w:pPr>
        <w:pStyle w:val="Compact"/>
        <w:numPr>
          <w:ilvl w:val="0"/>
          <w:numId w:val="1185"/>
        </w:numPr>
      </w:pPr>
    </w:p>
    <w:p>
      <w:pPr>
        <w:numPr>
          <w:ilvl w:val="1"/>
          <w:numId w:val="1186"/>
        </w:numPr>
      </w:pPr>
      <w:r>
        <w:t xml:space="preserve">C. Interior Side Setback Applicability</w:t>
      </w:r>
    </w:p>
    <w:p>
      <w:pPr>
        <w:numPr>
          <w:ilvl w:val="1"/>
          <w:numId w:val="1000"/>
        </w:numPr>
      </w:pPr>
      <w:r>
        <w:t xml:space="preserve">1. For rowhouse dwellings, interior side yards are required only for end units.</w:t>
      </w:r>
    </w:p>
    <w:p>
      <w:pPr>
        <w:pStyle w:val="Compact"/>
        <w:numPr>
          <w:ilvl w:val="0"/>
          <w:numId w:val="1187"/>
        </w:numPr>
      </w:pPr>
    </w:p>
    <w:p>
      <w:pPr>
        <w:numPr>
          <w:ilvl w:val="1"/>
          <w:numId w:val="1188"/>
        </w:numPr>
      </w:pPr>
      <w:r>
        <w:t xml:space="preserve">D. Existing Lots Where a standard is indicated as applicable to “existing” lots, the standard is applicable to lots recorded prior to the effective date of this Ordinance. Where a standard is indicated as applicable to “new subdivisions,” the standard is applicable to new lots created by subdivision as of or after the effective date of this Ordinance.</w:t>
      </w:r>
    </w:p>
    <w:p>
      <w:pPr>
        <w:pStyle w:val="Compact"/>
        <w:numPr>
          <w:ilvl w:val="0"/>
          <w:numId w:val="1189"/>
        </w:numPr>
      </w:pPr>
    </w:p>
    <w:p>
      <w:pPr>
        <w:numPr>
          <w:ilvl w:val="1"/>
          <w:numId w:val="1190"/>
        </w:numPr>
      </w:pPr>
      <w:r>
        <w:t xml:space="preserve">E. RP District Conversions The conversion of an existing residential structure to a non-residential use in the RP District shall comply with the dimensional standards for the original type of residential structure. Structures originally constructed as or new structures constructed for non-residential uses are subject to the standards for nonresidential uses.</w:t>
      </w:r>
    </w:p>
    <w:p>
      <w:pPr>
        <w:pStyle w:val="Compact"/>
        <w:numPr>
          <w:ilvl w:val="0"/>
          <w:numId w:val="1191"/>
        </w:numPr>
      </w:pPr>
    </w:p>
    <w:p>
      <w:pPr>
        <w:numPr>
          <w:ilvl w:val="1"/>
          <w:numId w:val="1192"/>
        </w:numPr>
      </w:pPr>
      <w:r>
        <w:t xml:space="preserve">F. RP District Design Requirements When new and existing structures are to be used for non-residential purposes, the principal structure shall be residential in character. The structure shall meet, to the extent possible, the design standards for the dwelling type. The structure and any non-residential use within shall maintain a residential appearance from the exterior, and the site shall be designed consistent with residential uses in the surrounding neighborhood including similar landscaping and minimal paving for parking and driveways.</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pStyle w:val="Compact"/>
            </w:pPr>
          </w:p>
        </w:tc>
        <w:tc>
          <w:tcPr/>
          <w:p>
            <w:pPr>
              <w:pStyle w:val="Compact"/>
              <w:jc w:val="left"/>
            </w:pPr>
            <w:r>
              <w:t xml:space="preserve">TABLE</w:t>
            </w:r>
          </w:p>
        </w:tc>
        <w:tc>
          <w:tcPr/>
          <w:p>
            <w:pPr>
              <w:pStyle w:val="Compact"/>
              <w:jc w:val="left"/>
            </w:pPr>
            <w:r>
              <w:t xml:space="preserve">4-1: RESIDENTIAL</w:t>
            </w:r>
          </w:p>
        </w:tc>
        <w:tc>
          <w:tcPr/>
          <w:p>
            <w:pPr>
              <w:pStyle w:val="Compact"/>
              <w:jc w:val="left"/>
            </w:pPr>
            <w:r>
              <w:t xml:space="preserve">DISTRICT DIMENSIONAL</w:t>
            </w:r>
          </w:p>
        </w:tc>
        <w:tc>
          <w:tcPr/>
          <w:p>
            <w:pPr>
              <w:pStyle w:val="Compact"/>
              <w:jc w:val="left"/>
            </w:pPr>
            <w:r>
              <w:t xml:space="preserve">STANDARDS</w:t>
            </w:r>
          </w:p>
        </w:tc>
        <w:tc>
          <w:tcPr/>
          <w:p>
            <w:pPr>
              <w:pStyle w:val="Compact"/>
            </w:pPr>
          </w:p>
        </w:tc>
      </w:tr>
      <w:tr>
        <w:tc>
          <w:tcPr/>
          <w:p>
            <w:pPr>
              <w:pStyle w:val="Compact"/>
              <w:jc w:val="left"/>
            </w:pPr>
            <w:r>
              <w:t xml:space="preserve">SF =</w:t>
            </w:r>
          </w:p>
        </w:tc>
        <w:tc>
          <w:tcPr/>
          <w:p>
            <w:pPr>
              <w:pStyle w:val="Compact"/>
              <w:jc w:val="left"/>
            </w:pPr>
            <w:r>
              <w:t xml:space="preserve">Single-Family // 2F = Two-Family</w:t>
            </w:r>
          </w:p>
        </w:tc>
        <w:tc>
          <w:tcPr/>
          <w:p>
            <w:pPr>
              <w:pStyle w:val="Compact"/>
              <w:jc w:val="left"/>
            </w:pPr>
            <w:r>
              <w:t xml:space="preserve">// 3F = Three-Family</w:t>
            </w:r>
          </w:p>
        </w:tc>
        <w:tc>
          <w:tcPr/>
          <w:p>
            <w:pPr>
              <w:pStyle w:val="Compact"/>
              <w:jc w:val="left"/>
            </w:pPr>
            <w:r>
              <w:t xml:space="preserve">// RH = Rowhouse // MF</w:t>
            </w:r>
          </w:p>
        </w:tc>
        <w:tc>
          <w:tcPr/>
          <w:p>
            <w:pPr>
              <w:pStyle w:val="Compact"/>
              <w:jc w:val="left"/>
            </w:pPr>
            <w:r>
              <w:t xml:space="preserve">= Multi-Family // NR =</w:t>
            </w:r>
          </w:p>
        </w:tc>
        <w:tc>
          <w:tcPr/>
          <w:p>
            <w:pPr>
              <w:pStyle w:val="Compact"/>
              <w:jc w:val="left"/>
            </w:pPr>
            <w:r>
              <w:t xml:space="preserve">Non-Residential</w:t>
            </w:r>
          </w:p>
        </w:tc>
      </w:tr>
      <w:tr>
        <w:tc>
          <w:tcPr/>
          <w:p>
            <w:pPr>
              <w:pStyle w:val="Compact"/>
            </w:pPr>
          </w:p>
        </w:tc>
        <w:tc>
          <w:tcPr/>
          <w:p>
            <w:pPr>
              <w:pStyle w:val="Compact"/>
              <w:jc w:val="left"/>
            </w:pPr>
            <w:r>
              <w:t xml:space="preserve">R-1A</w:t>
            </w:r>
          </w:p>
        </w:tc>
        <w:tc>
          <w:tcPr/>
          <w:p>
            <w:pPr>
              <w:pStyle w:val="Compact"/>
              <w:jc w:val="left"/>
            </w:pPr>
            <w:r>
              <w:t xml:space="preserve">R-1</w:t>
            </w:r>
          </w:p>
        </w:tc>
        <w:tc>
          <w:tcPr/>
          <w:p>
            <w:pPr>
              <w:pStyle w:val="Compact"/>
              <w:jc w:val="left"/>
            </w:pPr>
            <w:r>
              <w:t xml:space="preserve">R-3</w:t>
            </w:r>
          </w:p>
        </w:tc>
        <w:tc>
          <w:tcPr/>
          <w:p>
            <w:pPr>
              <w:pStyle w:val="Compact"/>
              <w:jc w:val="left"/>
            </w:pPr>
            <w:r>
              <w:t xml:space="preserve">R-4</w:t>
            </w:r>
          </w:p>
        </w:tc>
        <w:tc>
          <w:tcPr/>
          <w:p>
            <w:pPr>
              <w:pStyle w:val="Compact"/>
              <w:jc w:val="left"/>
            </w:pPr>
            <w:r>
              <w:t xml:space="preserve">RP</w:t>
            </w:r>
          </w:p>
        </w:tc>
      </w:tr>
      <w:tr>
        <w:tc>
          <w:tcPr/>
          <w:p>
            <w:pPr>
              <w:pStyle w:val="Compact"/>
              <w:jc w:val="left"/>
            </w:pPr>
            <w:r>
              <w:t xml:space="preserve">Bulk Standards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Minimum Lot Area</w:t>
            </w:r>
          </w:p>
        </w:tc>
        <w:tc>
          <w:tcPr/>
          <w:p>
            <w:pPr>
              <w:pStyle w:val="Compact"/>
              <w:jc w:val="left"/>
            </w:pPr>
            <w:r>
              <w:t xml:space="preserve">Existing Lots: None New Subdivisions not for RH: 7,500sf New Subdivisions for RH: None</w:t>
            </w:r>
          </w:p>
        </w:tc>
        <w:tc>
          <w:tcPr/>
          <w:p>
            <w:pPr>
              <w:pStyle w:val="Compact"/>
              <w:jc w:val="left"/>
            </w:pPr>
            <w:r>
              <w:t xml:space="preserve">Existing Lots: None New Subdivisions not for RH: 5,000sf New Subdivisions for RH: None</w:t>
            </w:r>
          </w:p>
        </w:tc>
        <w:tc>
          <w:tcPr/>
          <w:p>
            <w:pPr>
              <w:pStyle w:val="Compact"/>
              <w:jc w:val="left"/>
            </w:pPr>
            <w:r>
              <w:t xml:space="preserve">Existing Lots: None New Subdivisions not for RH: 5,000sf New Subdivisions for RH: None</w:t>
            </w:r>
          </w:p>
        </w:tc>
        <w:tc>
          <w:tcPr/>
          <w:p>
            <w:pPr>
              <w:pStyle w:val="Compact"/>
              <w:jc w:val="left"/>
            </w:pPr>
            <w:r>
              <w:t xml:space="preserve">Existing Lots: None New Subdivisions not for RH: 3,500sf New Subdivisions for RH: None</w:t>
            </w:r>
          </w:p>
        </w:tc>
        <w:tc>
          <w:tcPr/>
          <w:p>
            <w:pPr>
              <w:pStyle w:val="Compact"/>
              <w:jc w:val="left"/>
            </w:pPr>
            <w:r>
              <w:t xml:space="preserve">Existing Lots: None New Subdivisions not for RH: 5,000sf New Subdivisions for RH: None</w:t>
            </w:r>
          </w:p>
        </w:tc>
      </w:tr>
      <w:tr>
        <w:tc>
          <w:tcPr/>
          <w:p>
            <w:pPr>
              <w:pStyle w:val="Compact"/>
              <w:jc w:val="left"/>
            </w:pPr>
            <w:r>
              <w:t xml:space="preserve">Minimum Lot Width</w:t>
            </w:r>
          </w:p>
        </w:tc>
        <w:tc>
          <w:tcPr/>
          <w:p>
            <w:pPr>
              <w:pStyle w:val="Compact"/>
              <w:jc w:val="left"/>
            </w:pPr>
            <w:r>
              <w:t xml:space="preserve">Existing Lots: None New Subdivisions not 75’ for RH: New Subdivisions for RH: None</w:t>
            </w:r>
          </w:p>
        </w:tc>
        <w:tc>
          <w:tcPr/>
          <w:p>
            <w:pPr>
              <w:pStyle w:val="Compact"/>
              <w:jc w:val="left"/>
            </w:pPr>
            <w:r>
              <w:t xml:space="preserve">Existing Lots: None New Subdivisions not for RH: 50’ New Subdivisions for RH: None</w:t>
            </w:r>
          </w:p>
        </w:tc>
        <w:tc>
          <w:tcPr/>
          <w:p>
            <w:pPr>
              <w:pStyle w:val="Compact"/>
              <w:jc w:val="left"/>
            </w:pPr>
            <w:r>
              <w:t xml:space="preserve">Existing Lots: None New Subdivisions not for RH: 50’ New Subdivisions for RH: None</w:t>
            </w:r>
          </w:p>
        </w:tc>
        <w:tc>
          <w:tcPr/>
          <w:p>
            <w:pPr>
              <w:pStyle w:val="Compact"/>
              <w:jc w:val="left"/>
            </w:pPr>
            <w:r>
              <w:t xml:space="preserve">Existing Lots: None New Subdivisions not for RH: 35’ New Subdivisions for RH: None</w:t>
            </w:r>
          </w:p>
        </w:tc>
        <w:tc>
          <w:tcPr/>
          <w:p>
            <w:pPr>
              <w:pStyle w:val="Compact"/>
              <w:jc w:val="left"/>
            </w:pPr>
            <w:r>
              <w:t xml:space="preserve">Existing Lots: None New Subdivisions not for RH: 50’ New Subdivisions for RH: None</w:t>
            </w:r>
          </w:p>
        </w:tc>
      </w:tr>
      <w:tr>
        <w:tc>
          <w:tcPr/>
          <w:p>
            <w:pPr>
              <w:pStyle w:val="Compact"/>
              <w:jc w:val="left"/>
            </w:pPr>
            <w:r>
              <w:t xml:space="preserve">Maximum Building Height</w:t>
            </w:r>
          </w:p>
        </w:tc>
        <w:tc>
          <w:tcPr/>
          <w:p>
            <w:pPr>
              <w:pStyle w:val="Compact"/>
              <w:jc w:val="left"/>
            </w:pPr>
            <w:r>
              <w:t xml:space="preserve">40’, not to exceed 3 stories Lots of 2,500sf or less, except for RH: 32’, not to exceed 2 stories</w:t>
            </w:r>
          </w:p>
        </w:tc>
        <w:tc>
          <w:tcPr/>
          <w:p>
            <w:pPr>
              <w:pStyle w:val="Compact"/>
              <w:jc w:val="left"/>
            </w:pPr>
            <w:r>
              <w:t xml:space="preserve">40’, not to exceed 3 stories Lots of 2,500sf or less, except for RH: 32’, not to exceed 2 stories</w:t>
            </w:r>
          </w:p>
        </w:tc>
        <w:tc>
          <w:tcPr/>
          <w:p>
            <w:pPr>
              <w:pStyle w:val="Compact"/>
              <w:jc w:val="left"/>
            </w:pPr>
            <w:r>
              <w:t xml:space="preserve">45’, not to exceed 3 stories Lots of 2,500sf or less, except for RH: 32’, not to exceed 2 stories</w:t>
            </w:r>
          </w:p>
        </w:tc>
        <w:tc>
          <w:tcPr/>
          <w:p>
            <w:pPr>
              <w:pStyle w:val="Compact"/>
              <w:jc w:val="left"/>
            </w:pPr>
            <w:r>
              <w:t xml:space="preserve">45’ Lots of 2,500sf or less, except for RH: 32’, not to exceed 2 stories</w:t>
            </w:r>
          </w:p>
        </w:tc>
        <w:tc>
          <w:tcPr/>
          <w:p>
            <w:pPr>
              <w:pStyle w:val="Compact"/>
              <w:jc w:val="left"/>
            </w:pPr>
            <w:r>
              <w:t xml:space="preserve">45’ Lots of 2,500sf or less, except for RH: 32’, not to exceed 2 stories</w:t>
            </w:r>
          </w:p>
        </w:tc>
      </w:tr>
      <w:tr>
        <w:tc>
          <w:tcPr/>
          <w:p>
            <w:pPr>
              <w:pStyle w:val="Compact"/>
              <w:jc w:val="left"/>
            </w:pPr>
            <w:r>
              <w:t xml:space="preserve">Maximum Building Coverage</w:t>
            </w:r>
          </w:p>
        </w:tc>
        <w:tc>
          <w:tcPr/>
          <w:p>
            <w:pPr>
              <w:pStyle w:val="Compact"/>
              <w:jc w:val="left"/>
            </w:pPr>
            <w:r>
              <w:t xml:space="preserve">35%</w:t>
            </w:r>
          </w:p>
        </w:tc>
        <w:tc>
          <w:tcPr/>
          <w:p>
            <w:pPr>
              <w:pStyle w:val="Compact"/>
              <w:jc w:val="left"/>
            </w:pPr>
            <w:r>
              <w:t xml:space="preserve">45%</w:t>
            </w:r>
          </w:p>
        </w:tc>
        <w:tc>
          <w:tcPr/>
          <w:p>
            <w:pPr>
              <w:pStyle w:val="Compact"/>
              <w:jc w:val="left"/>
            </w:pPr>
            <w:r>
              <w:t xml:space="preserve">SF, 2F, 3F, MF, NR: 45% RH: 55%</w:t>
            </w:r>
          </w:p>
        </w:tc>
        <w:tc>
          <w:tcPr/>
          <w:p>
            <w:pPr>
              <w:pStyle w:val="Compact"/>
              <w:jc w:val="left"/>
            </w:pPr>
            <w:r>
              <w:t xml:space="preserve">SF, 2F, 3F: 45% RH, MF, NR: 55%</w:t>
            </w:r>
          </w:p>
        </w:tc>
        <w:tc>
          <w:tcPr/>
          <w:p>
            <w:pPr>
              <w:pStyle w:val="Compact"/>
              <w:jc w:val="left"/>
            </w:pPr>
            <w:r>
              <w:t xml:space="preserve">SF, 2F, 3F: 45% RH, MF, NR: 55%</w:t>
            </w:r>
          </w:p>
        </w:tc>
      </w:tr>
      <w:tr>
        <w:tc>
          <w:tcPr/>
          <w:p>
            <w:pPr>
              <w:pStyle w:val="Compact"/>
              <w:jc w:val="left"/>
            </w:pPr>
            <w:r>
              <w:t xml:space="preserve">Maximum Impervious Surface Coverage - Front Yard</w:t>
            </w:r>
          </w:p>
        </w:tc>
        <w:tc>
          <w:tcPr/>
          <w:p>
            <w:pPr>
              <w:pStyle w:val="Compact"/>
              <w:jc w:val="left"/>
            </w:pPr>
            <w:r>
              <w:t xml:space="preserve">SF, 2F, 3F, MF, NR: 33% RH: None</w:t>
            </w:r>
          </w:p>
        </w:tc>
        <w:tc>
          <w:tcPr/>
          <w:p>
            <w:pPr>
              <w:pStyle w:val="Compact"/>
              <w:jc w:val="left"/>
            </w:pPr>
            <w:r>
              <w:t xml:space="preserve">SF, 2F, 3F, MF, NR: 33% RH: None</w:t>
            </w:r>
          </w:p>
        </w:tc>
        <w:tc>
          <w:tcPr/>
          <w:p>
            <w:pPr>
              <w:pStyle w:val="Compact"/>
              <w:jc w:val="left"/>
            </w:pPr>
            <w:r>
              <w:t xml:space="preserve">SF, 2F, 3F, MF, NR: 33% RH: None</w:t>
            </w:r>
          </w:p>
        </w:tc>
        <w:tc>
          <w:tcPr/>
          <w:p>
            <w:pPr>
              <w:pStyle w:val="Compact"/>
              <w:jc w:val="left"/>
            </w:pPr>
            <w:r>
              <w:t xml:space="preserve">SF, 2F, 3F, MF, NR: 33% RH: None</w:t>
            </w:r>
          </w:p>
        </w:tc>
        <w:tc>
          <w:tcPr/>
          <w:p>
            <w:pPr>
              <w:pStyle w:val="Compact"/>
              <w:jc w:val="left"/>
            </w:pPr>
            <w:r>
              <w:t xml:space="preserve">SF, 2F, 3F, MF, NR: 33% RH: None</w:t>
            </w:r>
          </w:p>
        </w:tc>
      </w:tr>
      <w:tr>
        <w:tc>
          <w:tcPr/>
          <w:p>
            <w:pPr>
              <w:pStyle w:val="Compact"/>
              <w:jc w:val="left"/>
            </w:pPr>
            <w:r>
              <w:t xml:space="preserve">Maximum Impervious Surface Coverage - Rear Yard</w:t>
            </w:r>
          </w:p>
        </w:tc>
        <w:tc>
          <w:tcPr/>
          <w:p>
            <w:pPr>
              <w:pStyle w:val="Compact"/>
              <w:jc w:val="left"/>
            </w:pPr>
            <w:r>
              <w:t xml:space="preserve">SF, 2F, 3F, MF, NR: 50% RH: None</w:t>
            </w:r>
          </w:p>
        </w:tc>
        <w:tc>
          <w:tcPr/>
          <w:p>
            <w:pPr>
              <w:pStyle w:val="Compact"/>
              <w:jc w:val="left"/>
            </w:pPr>
            <w:r>
              <w:t xml:space="preserve">SF, 2F, 3F, MF, NR: 50% RH: None</w:t>
            </w:r>
          </w:p>
        </w:tc>
        <w:tc>
          <w:tcPr/>
          <w:p>
            <w:pPr>
              <w:pStyle w:val="Compact"/>
              <w:jc w:val="left"/>
            </w:pPr>
            <w:r>
              <w:t xml:space="preserve">SF, 2F, 3F, MF, NR: 50% RH: None</w:t>
            </w:r>
          </w:p>
        </w:tc>
        <w:tc>
          <w:tcPr/>
          <w:p>
            <w:pPr>
              <w:pStyle w:val="Compact"/>
              <w:jc w:val="left"/>
            </w:pPr>
            <w:r>
              <w:t xml:space="preserve">SF, 2F, 3F, MF, NR: 50% RH: None</w:t>
            </w:r>
          </w:p>
        </w:tc>
        <w:tc>
          <w:tcPr/>
          <w:p>
            <w:pPr>
              <w:pStyle w:val="Compact"/>
              <w:jc w:val="left"/>
            </w:pPr>
            <w:r>
              <w:t xml:space="preserve">SF, 2F, 3F, MF, NR: 50% RH: None</w:t>
            </w:r>
          </w:p>
        </w:tc>
      </w:tr>
      <w:tr>
        <w:tc>
          <w:tcPr/>
          <w:p>
            <w:pPr>
              <w:pStyle w:val="Compact"/>
              <w:jc w:val="left"/>
            </w:pPr>
            <w:r>
              <w:t xml:space="preserve">Total Maximum Impervious Surface Coverage</w:t>
            </w:r>
          </w:p>
        </w:tc>
        <w:tc>
          <w:tcPr/>
          <w:p>
            <w:pPr>
              <w:pStyle w:val="Compact"/>
              <w:jc w:val="left"/>
            </w:pPr>
            <w:r>
              <w:t xml:space="preserve">50%</w:t>
            </w:r>
          </w:p>
        </w:tc>
        <w:tc>
          <w:tcPr/>
          <w:p>
            <w:pPr>
              <w:pStyle w:val="Compact"/>
              <w:jc w:val="left"/>
            </w:pPr>
            <w:r>
              <w:t xml:space="preserve">65%</w:t>
            </w:r>
          </w:p>
        </w:tc>
        <w:tc>
          <w:tcPr/>
          <w:p>
            <w:pPr>
              <w:pStyle w:val="Compact"/>
              <w:jc w:val="left"/>
            </w:pPr>
            <w:r>
              <w:t xml:space="preserve">65%</w:t>
            </w:r>
          </w:p>
        </w:tc>
        <w:tc>
          <w:tcPr/>
          <w:p>
            <w:pPr>
              <w:pStyle w:val="Compact"/>
              <w:jc w:val="left"/>
            </w:pPr>
            <w:r>
              <w:t xml:space="preserve">SF, 2F, 3F, RH: 65% MF, NR: 70%</w:t>
            </w:r>
          </w:p>
        </w:tc>
        <w:tc>
          <w:tcPr/>
          <w:p>
            <w:pPr>
              <w:pStyle w:val="Compact"/>
              <w:jc w:val="left"/>
            </w:pPr>
            <w:r>
              <w:t xml:space="preserve">65%</w:t>
            </w:r>
          </w:p>
        </w:tc>
      </w:tr>
      <w:tr>
        <w:tc>
          <w:tcPr/>
          <w:p>
            <w:pPr>
              <w:pStyle w:val="Compact"/>
              <w:jc w:val="left"/>
            </w:pPr>
            <w:r>
              <w:t xml:space="preserve">Total Minimum Pervious Surface Coverage</w:t>
            </w:r>
          </w:p>
        </w:tc>
        <w:tc>
          <w:tcPr/>
          <w:p>
            <w:pPr>
              <w:pStyle w:val="Compact"/>
              <w:jc w:val="left"/>
            </w:pPr>
            <w:r>
              <w:t xml:space="preserve">1,000 sf</w:t>
            </w:r>
          </w:p>
        </w:tc>
        <w:tc>
          <w:tcPr/>
          <w:p>
            <w:pPr>
              <w:pStyle w:val="Compact"/>
              <w:jc w:val="left"/>
            </w:pPr>
            <w:r>
              <w:t xml:space="preserve">1,000 sf</w:t>
            </w:r>
          </w:p>
        </w:tc>
        <w:tc>
          <w:tcPr/>
          <w:p>
            <w:pPr>
              <w:pStyle w:val="Compact"/>
              <w:jc w:val="left"/>
            </w:pPr>
            <w:r>
              <w:t xml:space="preserve">SF, 2F, 3F, MF, NR: 1,000 sf RH: 400 sf per unit</w:t>
            </w:r>
          </w:p>
        </w:tc>
        <w:tc>
          <w:tcPr/>
          <w:p>
            <w:pPr>
              <w:pStyle w:val="Compact"/>
              <w:jc w:val="left"/>
            </w:pPr>
            <w:r>
              <w:t xml:space="preserve">SF, 2F, 3F, MF, NR: 1,000 sf RH: 400 sf per unit</w:t>
            </w:r>
          </w:p>
        </w:tc>
        <w:tc>
          <w:tcPr/>
          <w:p>
            <w:pPr>
              <w:pStyle w:val="Compact"/>
              <w:jc w:val="left"/>
            </w:pPr>
            <w:r>
              <w:t xml:space="preserve">SF, 2F, 3F, MF, NR: 1,000 sf RH: 400 sf per unit</w:t>
            </w:r>
          </w:p>
        </w:tc>
      </w:tr>
      <w:tr>
        <w:tc>
          <w:tcPr/>
          <w:p>
            <w:pPr>
              <w:pStyle w:val="Compact"/>
              <w:jc w:val="left"/>
            </w:pPr>
            <w:r>
              <w:t xml:space="preserve">Setback Requirements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Front Setback Zone</w:t>
            </w:r>
          </w:p>
        </w:tc>
        <w:tc>
          <w:tcPr/>
          <w:p>
            <w:pPr>
              <w:pStyle w:val="Compact"/>
              <w:jc w:val="left"/>
            </w:pPr>
            <w:r>
              <w:t xml:space="preserve">SF, 2F, 3F, MF, NR: Sec. 402.B RH: 5’</w:t>
            </w:r>
          </w:p>
        </w:tc>
        <w:tc>
          <w:tcPr/>
          <w:p>
            <w:pPr>
              <w:pStyle w:val="Compact"/>
              <w:jc w:val="left"/>
            </w:pPr>
            <w:r>
              <w:t xml:space="preserve">SF, 2F, 3F, MF, NR: Sec. 402.B RH: 5’</w:t>
            </w:r>
          </w:p>
        </w:tc>
        <w:tc>
          <w:tcPr/>
          <w:p>
            <w:pPr>
              <w:pStyle w:val="Compact"/>
              <w:jc w:val="left"/>
            </w:pPr>
            <w:r>
              <w:t xml:space="preserve">SF, 2F, 3F, MF, NR: Sec. 402.B RH: 5’</w:t>
            </w:r>
          </w:p>
        </w:tc>
        <w:tc>
          <w:tcPr/>
          <w:p>
            <w:pPr>
              <w:pStyle w:val="Compact"/>
              <w:jc w:val="left"/>
            </w:pPr>
            <w:r>
              <w:t xml:space="preserve">SF, 2F, 3F, MF, NR: Sec. 402.B RH: 5’</w:t>
            </w:r>
          </w:p>
        </w:tc>
        <w:tc>
          <w:tcPr/>
          <w:p>
            <w:pPr>
              <w:pStyle w:val="Compact"/>
              <w:jc w:val="left"/>
            </w:pPr>
            <w:r>
              <w:t xml:space="preserve">SF, 2F, 3F, MF, NR: Sec. 402.B RH: 5’</w:t>
            </w:r>
          </w:p>
        </w:tc>
      </w:tr>
      <w:tr>
        <w:tc>
          <w:tcPr/>
          <w:p>
            <w:pPr>
              <w:pStyle w:val="Compact"/>
              <w:jc w:val="left"/>
            </w:pPr>
            <w:r>
              <w:t xml:space="preserve">Minimum Interior Side and Minimum Corner Side Setback</w:t>
            </w:r>
          </w:p>
        </w:tc>
        <w:tc>
          <w:tcPr/>
          <w:p>
            <w:pPr>
              <w:pStyle w:val="Compact"/>
              <w:jc w:val="left"/>
            </w:pPr>
            <w:r>
              <w:t xml:space="preserve">Lot width less than 60’: 6’ Lot width 60’ or more: 10’</w:t>
            </w:r>
          </w:p>
        </w:tc>
        <w:tc>
          <w:tcPr/>
          <w:p>
            <w:pPr>
              <w:pStyle w:val="Compact"/>
              <w:jc w:val="left"/>
            </w:pPr>
            <w:r>
              <w:t xml:space="preserve">Lot width less than 60’: 6’ Lot width 60’ or more: 10’</w:t>
            </w:r>
          </w:p>
        </w:tc>
        <w:tc>
          <w:tcPr/>
          <w:p>
            <w:pPr>
              <w:pStyle w:val="Compact"/>
              <w:jc w:val="left"/>
            </w:pPr>
            <w:r>
              <w:t xml:space="preserve">SF, 2F, 3F, MF, NR: Lot width less than 60’: 6’ Lot width 60’ or more: 10’ RH: 6’</w:t>
            </w:r>
          </w:p>
        </w:tc>
        <w:tc>
          <w:tcPr/>
          <w:p>
            <w:pPr>
              <w:pStyle w:val="Compact"/>
              <w:jc w:val="left"/>
            </w:pPr>
            <w:r>
              <w:t xml:space="preserve">6’</w:t>
            </w:r>
          </w:p>
        </w:tc>
        <w:tc>
          <w:tcPr/>
          <w:p>
            <w:pPr>
              <w:pStyle w:val="Compact"/>
              <w:jc w:val="left"/>
            </w:pPr>
            <w:r>
              <w:t xml:space="preserve">SF, 2F, 3F, MF, NR: Lot width less than 60’: 6’ Lot width 60’ or more: 10’ RH: 6’</w:t>
            </w:r>
          </w:p>
        </w:tc>
      </w:tr>
      <w:tr>
        <w:tc>
          <w:tcPr/>
          <w:p>
            <w:pPr>
              <w:pStyle w:val="Compact"/>
              <w:jc w:val="left"/>
            </w:pPr>
            <w:r>
              <w:t xml:space="preserve">Minimum Rear Setback</w:t>
            </w:r>
          </w:p>
        </w:tc>
        <w:tc>
          <w:tcPr/>
          <w:p>
            <w:pPr>
              <w:pStyle w:val="Compact"/>
              <w:jc w:val="left"/>
            </w:pPr>
            <w:r>
              <w:t xml:space="preserve">30’</w:t>
            </w:r>
          </w:p>
        </w:tc>
        <w:tc>
          <w:tcPr/>
          <w:p>
            <w:pPr>
              <w:pStyle w:val="Compact"/>
              <w:jc w:val="left"/>
            </w:pPr>
            <w:r>
              <w:t xml:space="preserve">30’</w:t>
            </w:r>
          </w:p>
        </w:tc>
        <w:tc>
          <w:tcPr/>
          <w:p>
            <w:pPr>
              <w:pStyle w:val="Compact"/>
              <w:jc w:val="left"/>
            </w:pPr>
            <w:r>
              <w:t xml:space="preserve">SF, 2F, 3F, MF, NR: 30’ RH: 20’</w:t>
            </w:r>
          </w:p>
        </w:tc>
        <w:tc>
          <w:tcPr/>
          <w:p>
            <w:pPr>
              <w:pStyle w:val="Compact"/>
              <w:jc w:val="left"/>
            </w:pPr>
            <w:r>
              <w:t xml:space="preserve">SF, 2F, 3F, MF, NR: 30’ RH: 20’</w:t>
            </w:r>
          </w:p>
        </w:tc>
        <w:tc>
          <w:tcPr/>
          <w:p>
            <w:pPr>
              <w:pStyle w:val="Compact"/>
              <w:jc w:val="left"/>
            </w:pPr>
            <w:r>
              <w:t xml:space="preserve">SF, 2F, 3F, MF, NR: 30’ RH: 20’</w:t>
            </w:r>
          </w:p>
        </w:tc>
      </w:tr>
    </w:tbl>
    <w:bookmarkEnd w:id="39"/>
    <w:bookmarkStart w:id="40" w:name="general-standards-of-applicability"/>
    <w:p>
      <w:pPr>
        <w:pStyle w:val="Heading2"/>
      </w:pPr>
      <w:r>
        <w:t xml:space="preserve">§ 403. GENERAL STANDARDS OF APPLICABILITY</w:t>
      </w:r>
    </w:p>
    <w:p>
      <w:pPr>
        <w:pStyle w:val="FirstParagraph"/>
      </w:pPr>
      <w:r>
        <w:t xml:space="preserve">403 GENERAL STANDARDS OF APPLICABILITY</w:t>
      </w:r>
    </w:p>
    <w:p>
      <w:pPr>
        <w:pStyle w:val="BodyText"/>
      </w:pPr>
      <w:r>
        <w:t xml:space="preserve">A. Site Development Standards</w:t>
      </w:r>
    </w:p>
    <w:p>
      <w:pPr>
        <w:pStyle w:val="BodyText"/>
      </w:pPr>
      <w:r>
        <w:t xml:space="preserve">See Article 13 for additional site development standards and requirements, such as exterior lighting, accessory structures and uses, and permitted encroachments.</w:t>
      </w:r>
    </w:p>
    <w:p>
      <w:pPr>
        <w:numPr>
          <w:ilvl w:val="0"/>
          <w:numId w:val="1193"/>
        </w:numPr>
      </w:pPr>
      <w:r>
        <w:t xml:space="preserve">B. Off-Street Parking and Loading See Article 14 for off-street parking and loading standards.</w:t>
      </w:r>
    </w:p>
    <w:p>
      <w:pPr>
        <w:numPr>
          <w:ilvl w:val="0"/>
          <w:numId w:val="1194"/>
        </w:numPr>
      </w:pPr>
      <w:r>
        <w:t xml:space="preserve">C. Trees and Landscaping See Article 15 for landscape requirements.</w:t>
      </w:r>
    </w:p>
    <w:p>
      <w:pPr>
        <w:numPr>
          <w:ilvl w:val="0"/>
          <w:numId w:val="1195"/>
        </w:numPr>
      </w:pPr>
      <w:r>
        <w:t xml:space="preserve">D. Signs See Article 16 for sign standards.</w:t>
      </w:r>
    </w:p>
    <w:bookmarkEnd w:id="40"/>
    <w:bookmarkStart w:id="41" w:name="commercial-districts"/>
    <w:p>
      <w:pPr>
        <w:pStyle w:val="Heading1"/>
      </w:pPr>
      <w:r>
        <w:t xml:space="preserve">§ 5. COMMERCIAL DISTRICTS</w:t>
      </w:r>
    </w:p>
    <w:p>
      <w:pPr>
        <w:pStyle w:val="FirstParagraph"/>
      </w:pPr>
      <w:r>
        <w:t xml:space="preserve">ARTICLE 5. COMMERCIAL DISTRICTS 501 USES 502 DIMENSIONAL STANDARDS 503 DESIGN STANDARDS</w:t>
      </w:r>
    </w:p>
    <w:bookmarkEnd w:id="41"/>
    <w:bookmarkStart w:id="42" w:name="purpose-statements-1"/>
    <w:p>
      <w:pPr>
        <w:pStyle w:val="Heading2"/>
      </w:pPr>
      <w:r>
        <w:t xml:space="preserve">§ 500. PURPOSE STATEMENTS</w:t>
      </w:r>
    </w:p>
    <w:p>
      <w:pPr>
        <w:pStyle w:val="FirstParagraph"/>
      </w:pPr>
      <w:r>
        <w:t xml:space="preserve">500 PURPOSE STATEMENTS</w:t>
      </w:r>
    </w:p>
    <w:p>
      <w:pPr>
        <w:pStyle w:val="BodyText"/>
      </w:pPr>
      <w:r>
        <w:t xml:space="preserve">A. Reserved</w:t>
      </w:r>
    </w:p>
    <w:p>
      <w:pPr>
        <w:numPr>
          <w:ilvl w:val="0"/>
          <w:numId w:val="1196"/>
        </w:numPr>
      </w:pPr>
      <w:r>
        <w:t xml:space="preserve">B. C-2 General Commercial District The C-2 General Commercial District is intended for more intensive commercial uses and key commercial nodes, including larger retail establishments.</w:t>
      </w:r>
    </w:p>
    <w:p>
      <w:pPr>
        <w:numPr>
          <w:ilvl w:val="0"/>
          <w:numId w:val="1197"/>
        </w:numPr>
      </w:pPr>
      <w:r>
        <w:t xml:space="preserve">C. C-3 Heavy Commercial District The C-3 Heavy Commercial District is intended for areas of more intense commercial use that are generally not appropriate for lower intensity commercial districts, including uses related to motor vehicles and those that may require outdoor storage. Because of the impacts from more intensive commercial uses, the controls of this district ensure that setbacks, buffering and site development controls are in place to mitigate negative impacts on neighboring uses.</w:t>
      </w:r>
    </w:p>
    <w:bookmarkEnd w:id="42"/>
    <w:bookmarkStart w:id="43" w:name="uses-1"/>
    <w:p>
      <w:pPr>
        <w:pStyle w:val="Heading2"/>
      </w:pPr>
      <w:r>
        <w:t xml:space="preserve">§ 501. USES</w:t>
      </w:r>
    </w:p>
    <w:p>
      <w:pPr>
        <w:pStyle w:val="FirstParagraph"/>
      </w:pPr>
      <w:r>
        <w:t xml:space="preserve">501 USES Article 12 lists permitted and special principal uses and temporary uses for the commercial districts.</w:t>
      </w:r>
    </w:p>
    <w:bookmarkEnd w:id="43"/>
    <w:bookmarkStart w:id="44" w:name="dimensional-standards-1"/>
    <w:p>
      <w:pPr>
        <w:pStyle w:val="Heading2"/>
      </w:pPr>
      <w:r>
        <w:t xml:space="preserve">§ 502. DIMENSIONAL STANDARDS</w:t>
      </w:r>
    </w:p>
    <w:p>
      <w:pPr>
        <w:pStyle w:val="FirstParagraph"/>
      </w:pPr>
      <w:r>
        <w:t xml:space="preserve">502 DIMENSIONAL STANDARDS</w:t>
      </w:r>
    </w:p>
    <w:p>
      <w:pPr>
        <w:numPr>
          <w:ilvl w:val="0"/>
          <w:numId w:val="1198"/>
        </w:numPr>
      </w:pPr>
      <w:r>
        <w:t xml:space="preserve">A. General Standards Table 5-1: Commercial District Dimensional Standards establishes the dimensional standards for the commercial districts. These regulations apply to all uses within each district unless a different standard is listed for a specific use.</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TABLE 5-1:</w:t>
            </w:r>
          </w:p>
        </w:tc>
        <w:tc>
          <w:tcPr/>
          <w:p>
            <w:pPr>
              <w:pStyle w:val="Compact"/>
              <w:jc w:val="left"/>
            </w:pPr>
            <w:r>
              <w:t xml:space="preserve">COMMERCIAL DISTRICT DIMENSIONAL</w:t>
            </w:r>
          </w:p>
        </w:tc>
        <w:tc>
          <w:tcPr/>
          <w:p>
            <w:pPr>
              <w:pStyle w:val="Compact"/>
              <w:jc w:val="left"/>
            </w:pPr>
            <w:r>
              <w:t xml:space="preserve">STANDARDS</w:t>
            </w:r>
          </w:p>
        </w:tc>
        <w:tc>
          <w:tcPr/>
          <w:p>
            <w:pPr>
              <w:pStyle w:val="Compact"/>
            </w:pPr>
          </w:p>
        </w:tc>
      </w:tr>
      <w:tr>
        <w:tc>
          <w:tcPr/>
          <w:p>
            <w:pPr>
              <w:pStyle w:val="Compact"/>
            </w:pPr>
          </w:p>
        </w:tc>
        <w:tc>
          <w:tcPr/>
          <w:p>
            <w:pPr>
              <w:pStyle w:val="Compact"/>
            </w:pPr>
          </w:p>
        </w:tc>
        <w:tc>
          <w:tcPr/>
          <w:p>
            <w:pPr>
              <w:pStyle w:val="Compact"/>
              <w:jc w:val="left"/>
            </w:pPr>
            <w:r>
              <w:t xml:space="preserve">C-2</w:t>
            </w:r>
          </w:p>
        </w:tc>
        <w:tc>
          <w:tcPr/>
          <w:p>
            <w:pPr>
              <w:pStyle w:val="Compact"/>
              <w:jc w:val="left"/>
            </w:pPr>
            <w:r>
              <w:t xml:space="preserve">C-3</w:t>
            </w:r>
          </w:p>
        </w:tc>
        <w:tc>
          <w:tcPr/>
          <w:p>
            <w:pPr>
              <w:pStyle w:val="Compact"/>
            </w:pPr>
          </w:p>
        </w:tc>
      </w:tr>
      <w:tr>
        <w:tc>
          <w:tcPr/>
          <w:p>
            <w:pPr>
              <w:pStyle w:val="Compact"/>
            </w:pPr>
          </w:p>
        </w:tc>
        <w:tc>
          <w:tcPr/>
          <w:p>
            <w:pPr>
              <w:pStyle w:val="Compact"/>
              <w:jc w:val="left"/>
            </w:pPr>
            <w:r>
              <w:t xml:space="preserve">Bulk Standards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Minimum Lot Area</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Minimum Building Height</w:t>
            </w:r>
          </w:p>
        </w:tc>
        <w:tc>
          <w:tcPr/>
          <w:p>
            <w:pPr>
              <w:pStyle w:val="Compact"/>
              <w:jc w:val="left"/>
            </w:pPr>
            <w:r>
              <w:t xml:space="preserve">16’</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Minimum First Story Height</w:t>
            </w:r>
          </w:p>
        </w:tc>
        <w:tc>
          <w:tcPr/>
          <w:p>
            <w:pPr>
              <w:pStyle w:val="Compact"/>
              <w:jc w:val="left"/>
            </w:pPr>
            <w:r>
              <w:t xml:space="preserve">9’ Residential use 11’ Non-Residential use</w:t>
            </w:r>
          </w:p>
        </w:tc>
        <w:tc>
          <w:tcPr/>
          <w:p>
            <w:pPr>
              <w:pStyle w:val="Compact"/>
              <w:jc w:val="left"/>
            </w:pPr>
            <w:r>
              <w:t xml:space="preserve">9’ Residential use 11’ Non-Residential use</w:t>
            </w:r>
          </w:p>
        </w:tc>
        <w:tc>
          <w:tcPr/>
          <w:p>
            <w:pPr>
              <w:pStyle w:val="Compact"/>
            </w:pPr>
          </w:p>
        </w:tc>
      </w:tr>
      <w:tr>
        <w:tc>
          <w:tcPr/>
          <w:p>
            <w:pPr>
              <w:pStyle w:val="Compact"/>
            </w:pPr>
          </w:p>
        </w:tc>
        <w:tc>
          <w:tcPr/>
          <w:p>
            <w:pPr>
              <w:pStyle w:val="Compact"/>
              <w:jc w:val="left"/>
            </w:pPr>
            <w:r>
              <w:t xml:space="preserve">Maximum Building Height</w:t>
            </w:r>
          </w:p>
        </w:tc>
        <w:tc>
          <w:tcPr/>
          <w:p>
            <w:pPr>
              <w:pStyle w:val="Compact"/>
              <w:jc w:val="left"/>
            </w:pPr>
            <w:r>
              <w:t xml:space="preserve">50’, not to exceed 4 stories</w:t>
            </w:r>
          </w:p>
        </w:tc>
        <w:tc>
          <w:tcPr/>
          <w:p>
            <w:pPr>
              <w:pStyle w:val="Compact"/>
              <w:jc w:val="left"/>
            </w:pPr>
            <w:r>
              <w:t xml:space="preserve">50’, not to exceed 4 stories</w:t>
            </w:r>
          </w:p>
        </w:tc>
        <w:tc>
          <w:tcPr/>
          <w:p>
            <w:pPr>
              <w:pStyle w:val="Compact"/>
            </w:pPr>
          </w:p>
        </w:tc>
      </w:tr>
      <w:tr>
        <w:tc>
          <w:tcPr/>
          <w:p>
            <w:pPr>
              <w:pStyle w:val="Compact"/>
            </w:pPr>
          </w:p>
        </w:tc>
        <w:tc>
          <w:tcPr/>
          <w:p>
            <w:pPr>
              <w:pStyle w:val="Compact"/>
              <w:jc w:val="left"/>
            </w:pPr>
            <w:r>
              <w:t xml:space="preserve">Maximum Building Coverage</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Total Maximum Impervious Surface Coverage</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Minimum Setback Requirements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Front Setback</w:t>
            </w:r>
          </w:p>
        </w:tc>
        <w:tc>
          <w:tcPr/>
          <w:p>
            <w:pPr>
              <w:pStyle w:val="Compact"/>
              <w:jc w:val="left"/>
            </w:pPr>
            <w:r>
              <w:t xml:space="preserve">Build-to zone of 0’ to 5’ - see 503.A.6 for built-to percentage requirement</w:t>
            </w:r>
          </w:p>
        </w:tc>
        <w:tc>
          <w:tcPr/>
          <w:p>
            <w:pPr>
              <w:pStyle w:val="Compact"/>
              <w:jc w:val="left"/>
            </w:pPr>
            <w:r>
              <w:t xml:space="preserve">None; unless multi-tenant retail center, then 503.B apply</w:t>
            </w:r>
          </w:p>
        </w:tc>
        <w:tc>
          <w:tcPr/>
          <w:p>
            <w:pPr>
              <w:pStyle w:val="Compact"/>
            </w:pPr>
          </w:p>
        </w:tc>
      </w:tr>
      <w:tr>
        <w:tc>
          <w:tcPr/>
          <w:p>
            <w:pPr>
              <w:pStyle w:val="Compact"/>
            </w:pPr>
          </w:p>
        </w:tc>
        <w:tc>
          <w:tcPr/>
          <w:p>
            <w:pPr>
              <w:pStyle w:val="Compact"/>
              <w:jc w:val="left"/>
            </w:pPr>
            <w:r>
              <w:t xml:space="preserve">Interior Side Setback</w:t>
            </w:r>
          </w:p>
        </w:tc>
        <w:tc>
          <w:tcPr/>
          <w:p>
            <w:pPr>
              <w:pStyle w:val="Compact"/>
              <w:jc w:val="left"/>
            </w:pPr>
            <w:r>
              <w:t xml:space="preserve">None; unless abutting residential district, then 10’</w:t>
            </w:r>
          </w:p>
        </w:tc>
        <w:tc>
          <w:tcPr/>
          <w:p>
            <w:pPr>
              <w:pStyle w:val="Compact"/>
              <w:jc w:val="left"/>
            </w:pPr>
            <w:r>
              <w:t xml:space="preserve">None; unless abutting residential district, then 10’</w:t>
            </w:r>
          </w:p>
        </w:tc>
        <w:tc>
          <w:tcPr/>
          <w:p>
            <w:pPr>
              <w:pStyle w:val="Compact"/>
            </w:pPr>
          </w:p>
        </w:tc>
      </w:tr>
      <w:tr>
        <w:tc>
          <w:tcPr/>
          <w:p>
            <w:pPr>
              <w:pStyle w:val="Compact"/>
            </w:pPr>
          </w:p>
        </w:tc>
        <w:tc>
          <w:tcPr/>
          <w:p>
            <w:pPr>
              <w:pStyle w:val="Compact"/>
              <w:jc w:val="left"/>
            </w:pPr>
            <w:r>
              <w:t xml:space="preserve">Corner Side Setback</w:t>
            </w:r>
          </w:p>
        </w:tc>
        <w:tc>
          <w:tcPr/>
          <w:p>
            <w:pPr>
              <w:pStyle w:val="Compact"/>
              <w:jc w:val="left"/>
            </w:pPr>
            <w:r>
              <w:t xml:space="preserve">Build-to zone of 0’ to 5’ - see 503.A.6 for built-to percentage requirement</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Rear Setback</w:t>
            </w:r>
          </w:p>
        </w:tc>
        <w:tc>
          <w:tcPr/>
          <w:p>
            <w:pPr>
              <w:pStyle w:val="Compact"/>
              <w:jc w:val="left"/>
            </w:pPr>
            <w:r>
              <w:t xml:space="preserve">None, unless abutting residential district, then 10’</w:t>
            </w:r>
          </w:p>
        </w:tc>
        <w:tc>
          <w:tcPr/>
          <w:p>
            <w:pPr>
              <w:pStyle w:val="Compact"/>
              <w:jc w:val="left"/>
            </w:pPr>
            <w:r>
              <w:t xml:space="preserve">None, unless abutting residential district, then 20’</w:t>
            </w:r>
          </w:p>
        </w:tc>
        <w:tc>
          <w:tcPr/>
          <w:p>
            <w:pPr>
              <w:pStyle w:val="Compact"/>
            </w:pPr>
          </w:p>
        </w:tc>
      </w:tr>
    </w:tbl>
    <w:bookmarkEnd w:id="44"/>
    <w:bookmarkStart w:id="45" w:name="design-standards"/>
    <w:p>
      <w:pPr>
        <w:pStyle w:val="Heading2"/>
      </w:pPr>
      <w:r>
        <w:t xml:space="preserve">§ 503. DESIGN STANDARDS</w:t>
      </w:r>
    </w:p>
    <w:p>
      <w:pPr>
        <w:pStyle w:val="FirstParagraph"/>
      </w:pPr>
      <w:r>
        <w:t xml:space="preserve">503 DESIGN STANDARDS The following design standards apply to new construction, including additions to existing structures, and substantial repair or rehabilitation of the exterior façade of an existing structure. In the case of repair or rehabilitation, only those standards that relate to the specific actions taken apply. The permitting authority may waive these design standards through Development Plan Review.</w:t>
      </w:r>
    </w:p>
    <w:p>
      <w:pPr>
        <w:numPr>
          <w:ilvl w:val="0"/>
          <w:numId w:val="1199"/>
        </w:numPr>
      </w:pPr>
      <w:r>
        <w:t xml:space="preserve">A. C-2 District Design Standards The following design standards apply to new and existing non-residential structures, including mixeduse development. Residential dwellings, except for multi-family and mixed-use development, are not subject to these standards, but rather the principal use standards for that particular dwelling type, as indicated in Section 1202.</w:t>
      </w:r>
    </w:p>
    <w:p>
      <w:pPr>
        <w:numPr>
          <w:ilvl w:val="0"/>
          <w:numId w:val="1200"/>
        </w:numPr>
      </w:pPr>
      <w:r>
        <w:t xml:space="preserve">1. Façade</w:t>
      </w:r>
    </w:p>
    <w:p>
      <w:pPr>
        <w:numPr>
          <w:ilvl w:val="0"/>
          <w:numId w:val="1000"/>
        </w:numPr>
      </w:pPr>
      <w:r>
        <w:t xml:space="preserve">a. Building facades shall not contain blank wall areas that exceed 25 linear feet, measured parallel to the street. Building facades that are 100 linear feet or more shall include a repeating architectural pattern with two or more of the following elements: color change, texture change, material change, or a wall articulation change such as a reveal, pilaster, or projecting rib.</w:t>
      </w:r>
    </w:p>
    <w:p>
      <w:pPr>
        <w:pStyle w:val="Compact"/>
        <w:numPr>
          <w:ilvl w:val="0"/>
          <w:numId w:val="1201"/>
        </w:numPr>
      </w:pPr>
    </w:p>
    <w:p>
      <w:pPr>
        <w:numPr>
          <w:ilvl w:val="1"/>
          <w:numId w:val="1202"/>
        </w:numPr>
      </w:pPr>
      <w:r>
        <w:t xml:space="preserve">b. Awnings shall be constructed of metal, canvas, or fire-resistant acrylic. Use of plastic and vinyl are prohibited.</w:t>
      </w:r>
    </w:p>
    <w:p>
      <w:pPr>
        <w:pStyle w:val="Compact"/>
        <w:numPr>
          <w:ilvl w:val="0"/>
          <w:numId w:val="1203"/>
        </w:numPr>
      </w:pPr>
    </w:p>
    <w:p>
      <w:pPr>
        <w:numPr>
          <w:ilvl w:val="1"/>
          <w:numId w:val="1204"/>
        </w:numPr>
      </w:pPr>
      <w:r>
        <w:t xml:space="preserve">c. Dome and waterfall awning types are prohibited, with the exception of a dome awning over the building entrance only. The use of one continuous awning across more than one building is prohibited.</w:t>
      </w:r>
    </w:p>
    <w:p>
      <w:pPr>
        <w:numPr>
          <w:ilvl w:val="0"/>
          <w:numId w:val="1205"/>
        </w:numPr>
      </w:pPr>
      <w:r>
        <w:t xml:space="preserve">2. Building Entry</w:t>
      </w:r>
    </w:p>
    <w:p>
      <w:pPr>
        <w:numPr>
          <w:ilvl w:val="0"/>
          <w:numId w:val="1000"/>
        </w:numPr>
      </w:pPr>
      <w:r>
        <w:t xml:space="preserve">a. All buildings shall have an orientation to and pedestrian entrance from the sidewalk along the primary building frontage. Entrances shall be visually distinctive from the remaining portions of the façade along which they are located. (Figure 5-1)</w:t>
      </w:r>
    </w:p>
    <w:p>
      <w:pPr>
        <w:pStyle w:val="Compact"/>
        <w:numPr>
          <w:ilvl w:val="0"/>
          <w:numId w:val="1206"/>
        </w:numPr>
      </w:pPr>
    </w:p>
    <w:p>
      <w:pPr>
        <w:numPr>
          <w:ilvl w:val="1"/>
          <w:numId w:val="1207"/>
        </w:numPr>
      </w:pPr>
      <w:r>
        <w:t xml:space="preserve">b. A ground floor building entrance shall not be recessed more than six feet from the required front setback, and shall not be wider than eight feet. Such a recess is considered to meet any required minimum build-to percentage. (Figure 5-1)</w:t>
      </w:r>
    </w:p>
    <w:p>
      <w:pPr>
        <w:numPr>
          <w:ilvl w:val="0"/>
          <w:numId w:val="1208"/>
        </w:numPr>
      </w:pPr>
      <w:r>
        <w:t xml:space="preserve">3. Fenestration</w:t>
      </w:r>
    </w:p>
    <w:p>
      <w:pPr>
        <w:numPr>
          <w:ilvl w:val="0"/>
          <w:numId w:val="1000"/>
        </w:numPr>
      </w:pPr>
      <w:r>
        <w:t xml:space="preserve">a. Ground floor facades shall contain a total area of transparency of 50% or more of the wall area of the ground floor, measured between two and nine feet above the adjacent grade. This requirement shall not apply to the portions of building façades that front on side lot lines on corner lots. For existing structures originally designed for retail use on the ground floor, the ground floor shall maintain the original storefront design and is not subject to the ground floor transparency minimum. For multi-family dwellings or residential portions of mixed use buildings there shall be a total area of transparency of 15% or more of the wall area of the ground floor.</w:t>
      </w:r>
    </w:p>
    <w:p>
      <w:pPr>
        <w:pStyle w:val="Compact"/>
        <w:numPr>
          <w:ilvl w:val="0"/>
          <w:numId w:val="1209"/>
        </w:numPr>
      </w:pPr>
    </w:p>
    <w:p>
      <w:pPr>
        <w:numPr>
          <w:ilvl w:val="1"/>
          <w:numId w:val="1210"/>
        </w:numPr>
      </w:pPr>
      <w:r>
        <w:t xml:space="preserve">b. Ground floor and upper story windows on facades in new and existing buildings shall be composed of glass with a visible light transmittance (VLT) of at least 50% and a maximum exterior reflectivity of no more than 12%. The use of opaque materials such as brick, metal, or sheet rock to cover or fill a window opening is prohibited.</w:t>
      </w:r>
    </w:p>
    <w:p>
      <w:pPr>
        <w:pStyle w:val="Compact"/>
        <w:numPr>
          <w:ilvl w:val="0"/>
          <w:numId w:val="1211"/>
        </w:numPr>
      </w:pPr>
    </w:p>
    <w:p>
      <w:pPr>
        <w:numPr>
          <w:ilvl w:val="1"/>
          <w:numId w:val="1212"/>
        </w:numPr>
      </w:pPr>
      <w:r>
        <w:t xml:space="preserve">c. For windows on the ground floor of a building, the bottom of the window frame shall be located no higher than two feet above the adjacent grade. This provision shall not apply to windows for residential uses or the portions of building façades that front on side lot lines on corner lots.</w:t>
      </w:r>
    </w:p>
    <w:p>
      <w:pPr>
        <w:pStyle w:val="Compact"/>
        <w:numPr>
          <w:ilvl w:val="0"/>
          <w:numId w:val="1213"/>
        </w:numPr>
      </w:pPr>
    </w:p>
    <w:p>
      <w:pPr>
        <w:numPr>
          <w:ilvl w:val="1"/>
          <w:numId w:val="1214"/>
        </w:numPr>
      </w:pPr>
      <w:r>
        <w:t xml:space="preserve">d. Each upper story façade of a mixed-use building shall provide areas of transparency equal to at least 10% of the wall area of the story. See Section 1202.K for fenestration requirements for exclusively multi-family buildings.</w:t>
      </w:r>
    </w:p>
    <w:p>
      <w:pPr>
        <w:pStyle w:val="Compact"/>
        <w:numPr>
          <w:ilvl w:val="0"/>
          <w:numId w:val="1215"/>
        </w:numPr>
      </w:pPr>
    </w:p>
    <w:p>
      <w:pPr>
        <w:numPr>
          <w:ilvl w:val="1"/>
          <w:numId w:val="1216"/>
        </w:numPr>
      </w:pPr>
      <w:r>
        <w:t xml:space="preserve">e. External roll down security window guards are prohibited.</w:t>
      </w:r>
    </w:p>
    <w:p>
      <w:pPr>
        <w:numPr>
          <w:ilvl w:val="0"/>
          <w:numId w:val="1217"/>
        </w:numPr>
      </w:pPr>
      <w:r>
        <w:t xml:space="preserve">4. Roof</w:t>
      </w:r>
    </w:p>
    <w:p>
      <w:pPr>
        <w:numPr>
          <w:ilvl w:val="0"/>
          <w:numId w:val="1000"/>
        </w:numPr>
      </w:pPr>
      <w:r>
        <w:t xml:space="preserve">a. Parapet walls along the roof shall feature three-dimensional cornice treatments or other shadow-creating details.</w:t>
      </w:r>
    </w:p>
    <w:p>
      <w:pPr>
        <w:pStyle w:val="Compact"/>
        <w:numPr>
          <w:ilvl w:val="0"/>
          <w:numId w:val="1218"/>
        </w:numPr>
      </w:pPr>
    </w:p>
    <w:p>
      <w:pPr>
        <w:numPr>
          <w:ilvl w:val="1"/>
          <w:numId w:val="1219"/>
        </w:numPr>
      </w:pPr>
      <w:r>
        <w:t xml:space="preserve">b. Green roof, blue roof, and white roof designs are encouraged.</w:t>
      </w:r>
    </w:p>
    <w:p>
      <w:pPr>
        <w:pStyle w:val="Compact"/>
        <w:numPr>
          <w:ilvl w:val="0"/>
          <w:numId w:val="1220"/>
        </w:numPr>
      </w:pPr>
    </w:p>
    <w:p>
      <w:pPr>
        <w:numPr>
          <w:ilvl w:val="1"/>
          <w:numId w:val="1221"/>
        </w:numPr>
      </w:pPr>
      <w:r>
        <w:t xml:space="preserve">c. Reflective surfaces that produce glare are prohibited, except for solar panels or white roofs intended to radiate absorbed or non-reflected solar energy and reduce heat transfer to the building.</w:t>
      </w:r>
    </w:p>
    <w:p>
      <w:pPr>
        <w:numPr>
          <w:ilvl w:val="0"/>
          <w:numId w:val="1222"/>
        </w:numPr>
      </w:pPr>
      <w:r>
        <w:t xml:space="preserve">5. Building Materials</w:t>
      </w:r>
    </w:p>
    <w:p>
      <w:pPr>
        <w:numPr>
          <w:ilvl w:val="0"/>
          <w:numId w:val="1000"/>
        </w:numPr>
      </w:pPr>
      <w:r>
        <w:t xml:space="preserve">a. The following building materials are prohibited on any façade: i. Plain concrete block ii. Glass block iii. Exposed aggregate (rough finish) concrete wall panels iv. T-111 composite plywood siding v. Plastic vi. Vinyl (excluding cellular vinyl trim) is prohibited on first-story façades b. The following building materials are prohibited on any façade; however, such materials may be used as decorative or detail elements for up to 25% of the façade.</w:t>
      </w:r>
    </w:p>
    <w:p>
      <w:pPr>
        <w:pStyle w:val="Compact"/>
        <w:numPr>
          <w:ilvl w:val="0"/>
          <w:numId w:val="1223"/>
        </w:numPr>
      </w:pPr>
    </w:p>
    <w:p>
      <w:pPr>
        <w:numPr>
          <w:ilvl w:val="1"/>
          <w:numId w:val="1224"/>
        </w:numPr>
      </w:pPr>
      <w:r>
        <w:t xml:space="preserve">i. Corrugated metal ii. Cellular vinyl trim c. Exterior insulating finish systems (EIFS) is permitted on the ground floor by waiver. An application for waiver under this subsection shall be approved provided that the following conditions are satisfied: i. Only EIFS that include an integral air and moisture barrier is permitted.</w:t>
      </w:r>
    </w:p>
    <w:p>
      <w:pPr>
        <w:pStyle w:val="Compact"/>
        <w:numPr>
          <w:ilvl w:val="0"/>
          <w:numId w:val="1225"/>
        </w:numPr>
      </w:pPr>
    </w:p>
    <w:p>
      <w:pPr>
        <w:numPr>
          <w:ilvl w:val="1"/>
          <w:numId w:val="1226"/>
        </w:numPr>
      </w:pPr>
      <w:r>
        <w:t xml:space="preserve">ii. So that it is impact resistant, for areas up to 8 feet above grade, the EIFS shall include a base mesh layer weighing a minimum 20 oz./sq. yd., followed by a second mesh layer weighing a minimum of 4 oz./sq. yd. For all areas exposed to direct impact higher than 8 feet above grade (such as balconies), the use of a single layer of reinforcing mesh with a minimum weight of 12 oz./sq. yd. is required.</w:t>
      </w:r>
    </w:p>
    <w:p>
      <w:pPr>
        <w:pStyle w:val="Compact"/>
        <w:numPr>
          <w:ilvl w:val="0"/>
          <w:numId w:val="1227"/>
        </w:numPr>
      </w:pPr>
    </w:p>
    <w:p>
      <w:pPr>
        <w:numPr>
          <w:ilvl w:val="1"/>
          <w:numId w:val="1228"/>
        </w:numPr>
      </w:pPr>
      <w:r>
        <w:t xml:space="preserve">iii. The material shall be an aesthetically-appropriate facsimile of stone, brick, stucco, metal panel, or other traditional building material.</w:t>
      </w:r>
    </w:p>
    <w:p>
      <w:pPr>
        <w:pStyle w:val="Compact"/>
        <w:numPr>
          <w:ilvl w:val="0"/>
          <w:numId w:val="1229"/>
        </w:numPr>
      </w:pPr>
    </w:p>
    <w:p>
      <w:pPr>
        <w:numPr>
          <w:ilvl w:val="1"/>
          <w:numId w:val="1230"/>
        </w:numPr>
      </w:pPr>
      <w:r>
        <w:t xml:space="preserve">iv. Removal or covering of historic features in order to install EIFS shall be prohibited.</w:t>
      </w:r>
    </w:p>
    <w:p>
      <w:pPr>
        <w:numPr>
          <w:ilvl w:val="0"/>
          <w:numId w:val="1231"/>
        </w:numPr>
      </w:pPr>
      <w:r>
        <w:t xml:space="preserve">6. Build-To Percentage</w:t>
      </w:r>
    </w:p>
    <w:p>
      <w:pPr>
        <w:numPr>
          <w:ilvl w:val="0"/>
          <w:numId w:val="1000"/>
        </w:numPr>
      </w:pPr>
      <w:r>
        <w:t xml:space="preserve">a. Front Setback The required build-to percentage is 60% of the front lot line.</w:t>
      </w:r>
    </w:p>
    <w:p>
      <w:pPr>
        <w:pStyle w:val="Compact"/>
        <w:numPr>
          <w:ilvl w:val="0"/>
          <w:numId w:val="1232"/>
        </w:numPr>
      </w:pPr>
    </w:p>
    <w:p>
      <w:pPr>
        <w:numPr>
          <w:ilvl w:val="1"/>
          <w:numId w:val="1233"/>
        </w:numPr>
      </w:pPr>
      <w:r>
        <w:t xml:space="preserve">b. Corner Side Setback The required build-to percentage is 40% of the corner side lot line.</w:t>
      </w:r>
    </w:p>
    <w:p>
      <w:pPr>
        <w:numPr>
          <w:ilvl w:val="0"/>
          <w:numId w:val="1234"/>
        </w:numPr>
      </w:pPr>
      <w:r>
        <w:t xml:space="preserve">7. Multi-Tenant Retail Centers Multi-tenant retail centers in C-2 Districts shall comply with the following additional design standards.</w:t>
      </w:r>
    </w:p>
    <w:p>
      <w:pPr>
        <w:pStyle w:val="Compact"/>
        <w:numPr>
          <w:ilvl w:val="0"/>
          <w:numId w:val="1235"/>
        </w:numPr>
      </w:pPr>
    </w:p>
    <w:p>
      <w:pPr>
        <w:numPr>
          <w:ilvl w:val="1"/>
          <w:numId w:val="1236"/>
        </w:numPr>
      </w:pPr>
      <w:r>
        <w:t xml:space="preserve">a. The site shall be designed so that there is safe pedestrian access to the center from the public right-of-way and safe pedestrian circulation within the development.</w:t>
      </w:r>
    </w:p>
    <w:p>
      <w:pPr>
        <w:pStyle w:val="Compact"/>
        <w:numPr>
          <w:ilvl w:val="0"/>
          <w:numId w:val="1237"/>
        </w:numPr>
      </w:pPr>
    </w:p>
    <w:p>
      <w:pPr>
        <w:numPr>
          <w:ilvl w:val="1"/>
          <w:numId w:val="1238"/>
        </w:numPr>
      </w:pPr>
      <w:r>
        <w:t xml:space="preserve">b. A cohesive character is required through the use of coordinated hardscape treatment (special paving materials, lighting, street furniture, etc.) and landscaping.</w:t>
      </w:r>
    </w:p>
    <w:p>
      <w:pPr>
        <w:numPr>
          <w:ilvl w:val="0"/>
          <w:numId w:val="1239"/>
        </w:numPr>
      </w:pPr>
      <w:r>
        <w:t xml:space="preserve">8. Ground Floor Uses For a building that fronts on a Main Street in a C-2 District, residential and parking uses are prohibited on the ground floor of the building within 20 feet of the Main Street. Lobbies and common spaces associated with residences are permitted within this area. This requirement shall be considered a design standard, and not a use regulation. The following streets are Main Streets: Atwells Ave, Broadway, Westminster St., Washington St., Cranston St., Elmwood Ave., Broad St., North Main St., South Main St., Wickenden St., Thayer St., Hope St., Wayland Ave., Branch Ave., Charles St., Brook St. between Cushing St. and Waterman St., Angel St. between Thayer St. and Brook St., Waterman St. between Thayer St. and Brook St., and Chalkstone Ave.</w:t>
      </w:r>
    </w:p>
    <w:p>
      <w:pPr>
        <w:pStyle w:val="Compact"/>
        <w:numPr>
          <w:ilvl w:val="0"/>
          <w:numId w:val="1240"/>
        </w:numPr>
      </w:pPr>
    </w:p>
    <w:p>
      <w:pPr>
        <w:numPr>
          <w:ilvl w:val="1"/>
          <w:numId w:val="1241"/>
        </w:numPr>
      </w:pPr>
      <w:r>
        <w:t xml:space="preserve">B. C-3 District Design Standards The following design standards apply to new and existing non-residential structures, including mixeduse development. Residential dwellings are not subject to these standards, but rather the principal use standards for that particular dwelling type, as indicated in Section 1202, 1. Façade a. All facades shall have at least two of the following architectural features to avoid the appearance of blank walls: change in plane, reveals, windows and openings, and changes in color, texture and/or material to add visual interest to the building elevation.</w:t>
      </w:r>
    </w:p>
    <w:p>
      <w:pPr>
        <w:pStyle w:val="Compact"/>
        <w:numPr>
          <w:ilvl w:val="0"/>
          <w:numId w:val="1242"/>
        </w:numPr>
      </w:pPr>
    </w:p>
    <w:p>
      <w:pPr>
        <w:pStyle w:val="Compact"/>
        <w:numPr>
          <w:ilvl w:val="1"/>
          <w:numId w:val="1243"/>
        </w:numPr>
      </w:pPr>
    </w:p>
    <w:p>
      <w:pPr>
        <w:numPr>
          <w:ilvl w:val="2"/>
          <w:numId w:val="1244"/>
        </w:numPr>
      </w:pPr>
      <w:r>
        <w:t xml:space="preserve">b. Awnings shall be constructed of metal, canvas, or fire-resistant acrylic. Use of plastic and vinyl are prohibited.</w:t>
      </w:r>
    </w:p>
    <w:p>
      <w:pPr>
        <w:pStyle w:val="Compact"/>
        <w:numPr>
          <w:ilvl w:val="0"/>
          <w:numId w:val="1245"/>
        </w:numPr>
      </w:pPr>
    </w:p>
    <w:p>
      <w:pPr>
        <w:pStyle w:val="Compact"/>
        <w:numPr>
          <w:ilvl w:val="1"/>
          <w:numId w:val="1246"/>
        </w:numPr>
      </w:pPr>
    </w:p>
    <w:p>
      <w:pPr>
        <w:numPr>
          <w:ilvl w:val="2"/>
          <w:numId w:val="1247"/>
        </w:numPr>
      </w:pPr>
      <w:r>
        <w:t xml:space="preserve">c. Dome and waterfall awning types are prohibited, with the exception of a dome awning over the building entrance only. Use of one continuous awning across more than one building is prohibited.</w:t>
      </w:r>
    </w:p>
    <w:p>
      <w:pPr>
        <w:numPr>
          <w:ilvl w:val="0"/>
          <w:numId w:val="1248"/>
        </w:numPr>
      </w:pPr>
      <w:r>
        <w:t xml:space="preserve">2. Fenestration</w:t>
      </w:r>
    </w:p>
    <w:p>
      <w:pPr>
        <w:numPr>
          <w:ilvl w:val="0"/>
          <w:numId w:val="1000"/>
        </w:numPr>
      </w:pPr>
      <w:r>
        <w:t xml:space="preserve">a. Ground floor façades shall contain a total area of transparency of 50% or more of the wall area of the ground floor, measured between two and nine feet above the adjacent grade. This requirement shall not apply to the portions of building façades that front on side lot lines on corner lots. For existing structures originally designed for retail use on the ground floor, the ground floor shall maintain the original storefront design and is not subject to the ground floor transparency minimum. For multi-family dwellings or residential portions of mixed-use buildings there shall be a total area of transparency of 15% or more of the wall area of the ground floor.</w:t>
      </w:r>
    </w:p>
    <w:p>
      <w:pPr>
        <w:pStyle w:val="Compact"/>
        <w:numPr>
          <w:ilvl w:val="0"/>
          <w:numId w:val="1249"/>
        </w:numPr>
      </w:pPr>
    </w:p>
    <w:p>
      <w:pPr>
        <w:numPr>
          <w:ilvl w:val="1"/>
          <w:numId w:val="1250"/>
        </w:numPr>
      </w:pPr>
      <w:r>
        <w:t xml:space="preserve">b. Ground floor and upper story windows in new and existing buildings shall be composed of glass with visible light transmittance (VLT) of at least 50% and a maximum exterior reflectivity of no more than 12%. The use of opaque materials such as brick, metal, or sheet rock to cover or fill a window opening is prohibited.</w:t>
      </w:r>
    </w:p>
    <w:p>
      <w:pPr>
        <w:pStyle w:val="Compact"/>
        <w:numPr>
          <w:ilvl w:val="0"/>
          <w:numId w:val="1251"/>
        </w:numPr>
      </w:pPr>
    </w:p>
    <w:p>
      <w:pPr>
        <w:numPr>
          <w:ilvl w:val="1"/>
          <w:numId w:val="1252"/>
        </w:numPr>
      </w:pPr>
      <w:r>
        <w:t xml:space="preserve">c. Each upper story façade shall provide areas of transparency equal to at least 10% of the wall area of the story.</w:t>
      </w:r>
    </w:p>
    <w:p>
      <w:pPr>
        <w:pStyle w:val="Compact"/>
        <w:numPr>
          <w:ilvl w:val="0"/>
          <w:numId w:val="1253"/>
        </w:numPr>
      </w:pPr>
    </w:p>
    <w:p>
      <w:pPr>
        <w:numPr>
          <w:ilvl w:val="1"/>
          <w:numId w:val="1254"/>
        </w:numPr>
      </w:pPr>
      <w:r>
        <w:t xml:space="preserve">d. Solid surface roll down security window guards are prohibited.</w:t>
      </w:r>
    </w:p>
    <w:p>
      <w:pPr>
        <w:numPr>
          <w:ilvl w:val="0"/>
          <w:numId w:val="1255"/>
        </w:numPr>
      </w:pPr>
      <w:r>
        <w:t xml:space="preserve">3. Roof</w:t>
      </w:r>
    </w:p>
    <w:p>
      <w:pPr>
        <w:numPr>
          <w:ilvl w:val="0"/>
          <w:numId w:val="1000"/>
        </w:numPr>
      </w:pPr>
      <w:r>
        <w:t xml:space="preserve">a. Green roof, blue roof, and white roof designs are encouraged.</w:t>
      </w:r>
    </w:p>
    <w:p>
      <w:pPr>
        <w:pStyle w:val="Compact"/>
        <w:numPr>
          <w:ilvl w:val="0"/>
          <w:numId w:val="1256"/>
        </w:numPr>
      </w:pPr>
    </w:p>
    <w:p>
      <w:pPr>
        <w:numPr>
          <w:ilvl w:val="1"/>
          <w:numId w:val="1257"/>
        </w:numPr>
      </w:pPr>
      <w:r>
        <w:t xml:space="preserve">b. Reflective surfaces that produce glare are prohibited, except for solar panels and white roofs intended to radiate absorbed or non-reflected solar energy and reduce heat transfer to the building.</w:t>
      </w:r>
    </w:p>
    <w:p>
      <w:pPr>
        <w:numPr>
          <w:ilvl w:val="0"/>
          <w:numId w:val="1258"/>
        </w:numPr>
      </w:pPr>
      <w:r>
        <w:t xml:space="preserve">4. Building Materials</w:t>
      </w:r>
    </w:p>
    <w:p>
      <w:pPr>
        <w:numPr>
          <w:ilvl w:val="0"/>
          <w:numId w:val="1000"/>
        </w:numPr>
      </w:pPr>
      <w:r>
        <w:t xml:space="preserve">a. The following building materials are prohibited on any façade: i. Plain concrete block ii. Glass block iii. Exposed aggregate (rough finish) concrete wall panels iv. T-111 composite plywood siding v. Plastic vi. Vinyl (excluding cellular vinyl trim) is prohibited on first-story façades b. The following building materials are prohibited on any façade; however, such materials may be used as decorative or detail elements for up to 25% of the façade.</w:t>
      </w:r>
    </w:p>
    <w:p>
      <w:pPr>
        <w:pStyle w:val="Compact"/>
        <w:numPr>
          <w:ilvl w:val="0"/>
          <w:numId w:val="1259"/>
        </w:numPr>
      </w:pPr>
    </w:p>
    <w:p>
      <w:pPr>
        <w:numPr>
          <w:ilvl w:val="1"/>
          <w:numId w:val="1260"/>
        </w:numPr>
      </w:pPr>
      <w:r>
        <w:t xml:space="preserve">i. Corrugated metal ii. Cellular vinyl trim c. Exterior insulating finish systems (EIFS) is permitted on the ground floor by waiver from the City Plan Commission. An application for waiver under this subsection shall be approved provided that the following conditions are satisfied: i. Only EIFS that include an integral air and moisture barrier is permitted.</w:t>
      </w:r>
    </w:p>
    <w:p>
      <w:pPr>
        <w:pStyle w:val="Compact"/>
        <w:numPr>
          <w:ilvl w:val="0"/>
          <w:numId w:val="1261"/>
        </w:numPr>
      </w:pPr>
    </w:p>
    <w:p>
      <w:pPr>
        <w:numPr>
          <w:ilvl w:val="1"/>
          <w:numId w:val="1262"/>
        </w:numPr>
      </w:pPr>
      <w:r>
        <w:t xml:space="preserve">ii. So that it is impact resistant, for areas up to 8 feet above grade, the EIFS shall include a base mesh layer weighing a minimum 20 oz./sq. yd., followed by a second mesh layer weighing a minimum of 4 oz./sq. yd. For all areas exposed to direct impact higher than 8 feet above grade (such as balconies), the use of a single layer of reinforcing mesh with a minimum weight of 12 oz./sq. yd is required.</w:t>
      </w:r>
    </w:p>
    <w:p>
      <w:pPr>
        <w:pStyle w:val="Compact"/>
        <w:numPr>
          <w:ilvl w:val="0"/>
          <w:numId w:val="1263"/>
        </w:numPr>
      </w:pPr>
    </w:p>
    <w:p>
      <w:pPr>
        <w:numPr>
          <w:ilvl w:val="1"/>
          <w:numId w:val="1264"/>
        </w:numPr>
      </w:pPr>
      <w:r>
        <w:t xml:space="preserve">iii. The material shall be an aesthetically-appropriate facsimile of stone, brick, stucco, metal panel, or other traditional building material.</w:t>
      </w:r>
    </w:p>
    <w:p>
      <w:pPr>
        <w:pStyle w:val="Compact"/>
        <w:numPr>
          <w:ilvl w:val="0"/>
          <w:numId w:val="1265"/>
        </w:numPr>
      </w:pPr>
    </w:p>
    <w:p>
      <w:pPr>
        <w:numPr>
          <w:ilvl w:val="1"/>
          <w:numId w:val="1266"/>
        </w:numPr>
      </w:pPr>
      <w:r>
        <w:t xml:space="preserve">iv. Removal or covering of historic features in order to install EIFS shall be prohibited.</w:t>
      </w:r>
    </w:p>
    <w:p>
      <w:pPr>
        <w:numPr>
          <w:ilvl w:val="0"/>
          <w:numId w:val="1267"/>
        </w:numPr>
      </w:pPr>
      <w:r>
        <w:t xml:space="preserve">5. Multi-Tenant Retail Centers Multi-tenant retail centers in C-3 Districts shall comply with the following additional design standards. (Figure 5-2). For multi-tenant retail centers, these design standards take precedence over the front setback requirements listed in Table 5-1</w:t>
      </w:r>
    </w:p>
    <w:p>
      <w:pPr>
        <w:pStyle w:val="Compact"/>
        <w:numPr>
          <w:ilvl w:val="0"/>
          <w:numId w:val="1268"/>
        </w:numPr>
      </w:pPr>
    </w:p>
    <w:p>
      <w:pPr>
        <w:numPr>
          <w:ilvl w:val="1"/>
          <w:numId w:val="1269"/>
        </w:numPr>
      </w:pPr>
      <w:r>
        <w:t xml:space="preserve">a. When a multi-tenant retail center is situated behind a large parking lot, a street presence for the shopping center shall be created by locating part of the center or an outlot building within 0 to 10 feet of the lot line at the primary street corner or the shopping center entrance. When a center’s frontage on the primary street exceeds 250 feet, outlot buildings shall be built to within 0 feet to 10 feet of the front lot line for at least 25% of the frontage.</w:t>
      </w:r>
    </w:p>
    <w:p>
      <w:pPr>
        <w:pStyle w:val="Compact"/>
        <w:numPr>
          <w:ilvl w:val="0"/>
          <w:numId w:val="1270"/>
        </w:numPr>
      </w:pPr>
    </w:p>
    <w:p>
      <w:pPr>
        <w:numPr>
          <w:ilvl w:val="1"/>
          <w:numId w:val="1271"/>
        </w:numPr>
      </w:pPr>
      <w:r>
        <w:t xml:space="preserve">b. If outlot buildings are part of a multi-tenant retail center, outlot buildings shall define the street frontage by placement within 0 feet to 10 feet of the lot line at the primary street with showcase windows and entrances oriented toward the street and the interior parking lot.</w:t>
      </w:r>
    </w:p>
    <w:p>
      <w:pPr>
        <w:pStyle w:val="Compact"/>
        <w:numPr>
          <w:ilvl w:val="0"/>
          <w:numId w:val="1272"/>
        </w:numPr>
      </w:pPr>
    </w:p>
    <w:p>
      <w:pPr>
        <w:numPr>
          <w:ilvl w:val="1"/>
          <w:numId w:val="1273"/>
        </w:numPr>
      </w:pPr>
      <w:r>
        <w:t xml:space="preserve">c. The primary facade shall be oriented toward the street with entrances facing or clearly visible from the primary street. Main entrances to the buildings shall be well-defined.</w:t>
      </w:r>
    </w:p>
    <w:p>
      <w:pPr>
        <w:pStyle w:val="Compact"/>
        <w:numPr>
          <w:ilvl w:val="0"/>
          <w:numId w:val="1274"/>
        </w:numPr>
      </w:pPr>
    </w:p>
    <w:p>
      <w:pPr>
        <w:numPr>
          <w:ilvl w:val="1"/>
          <w:numId w:val="1275"/>
        </w:numPr>
      </w:pPr>
      <w:r>
        <w:t xml:space="preserve">d. The site shall be designed so that there is safe pedestrian access to the center from the public right-of-way and safe pedestrian circulation within the development.</w:t>
      </w:r>
    </w:p>
    <w:p>
      <w:pPr>
        <w:pStyle w:val="Compact"/>
        <w:numPr>
          <w:ilvl w:val="0"/>
          <w:numId w:val="1276"/>
        </w:numPr>
      </w:pPr>
    </w:p>
    <w:p>
      <w:pPr>
        <w:numPr>
          <w:ilvl w:val="1"/>
          <w:numId w:val="1277"/>
        </w:numPr>
      </w:pPr>
      <w:r>
        <w:t xml:space="preserve">e. A cohesive character is required through the use of coordinated hardscape treatment (special paving materials, lighting, street furniture, etc.) and landscaping.</w:t>
      </w:r>
    </w:p>
    <w:p>
      <w:pPr>
        <w:pStyle w:val="Compact"/>
        <w:numPr>
          <w:ilvl w:val="0"/>
          <w:numId w:val="1278"/>
        </w:numPr>
      </w:pPr>
    </w:p>
    <w:p>
      <w:pPr>
        <w:numPr>
          <w:ilvl w:val="1"/>
          <w:numId w:val="1279"/>
        </w:numPr>
      </w:pPr>
      <w:r>
        <w:t xml:space="preserve">f. All façades of an outlot structure shall comply with the building material regulations of item 4 above.</w:t>
      </w:r>
    </w:p>
    <w:bookmarkEnd w:id="45"/>
    <w:bookmarkStart w:id="46" w:name="general-standards-of-applicability-1"/>
    <w:p>
      <w:pPr>
        <w:pStyle w:val="Heading2"/>
      </w:pPr>
      <w:r>
        <w:t xml:space="preserve">§ 504. GENERAL STANDARDS OF APPLICABILITY</w:t>
      </w:r>
    </w:p>
    <w:p>
      <w:pPr>
        <w:pStyle w:val="FirstParagraph"/>
      </w:pPr>
      <w:r>
        <w:t xml:space="preserve">504 GENERAL STANDARDS OF APPLICABILITY</w:t>
      </w:r>
    </w:p>
    <w:p>
      <w:pPr>
        <w:pStyle w:val="BodyText"/>
      </w:pPr>
      <w:r>
        <w:t xml:space="preserve">A. Site Development Standards</w:t>
      </w:r>
    </w:p>
    <w:p>
      <w:pPr>
        <w:pStyle w:val="BodyText"/>
      </w:pPr>
      <w:r>
        <w:t xml:space="preserve">See Article 13 for additional site development standards and requirements, such as exterior lighting, accessory structures and uses, and permitted encroachments.</w:t>
      </w:r>
    </w:p>
    <w:p>
      <w:pPr>
        <w:numPr>
          <w:ilvl w:val="0"/>
          <w:numId w:val="1280"/>
        </w:numPr>
      </w:pPr>
      <w:r>
        <w:t xml:space="preserve">B. Off-Street Parking and Loading See Article 14 for off-street parking and loading standards.</w:t>
      </w:r>
    </w:p>
    <w:p>
      <w:pPr>
        <w:numPr>
          <w:ilvl w:val="0"/>
          <w:numId w:val="1281"/>
        </w:numPr>
      </w:pPr>
      <w:r>
        <w:t xml:space="preserve">C. Trees and Landscaping See Article 15 for landscape requirements.</w:t>
      </w:r>
    </w:p>
    <w:p>
      <w:pPr>
        <w:numPr>
          <w:ilvl w:val="0"/>
          <w:numId w:val="1282"/>
        </w:numPr>
      </w:pPr>
      <w:r>
        <w:t xml:space="preserve">D. Signs See Article 16 for sign standards.</w:t>
      </w:r>
    </w:p>
    <w:bookmarkEnd w:id="46"/>
    <w:bookmarkStart w:id="47" w:name="downtown-district"/>
    <w:p>
      <w:pPr>
        <w:pStyle w:val="Heading1"/>
      </w:pPr>
      <w:r>
        <w:t xml:space="preserve">§ 6. DOWNTOWN DISTRICT</w:t>
      </w:r>
    </w:p>
    <w:p>
      <w:pPr>
        <w:pStyle w:val="FirstParagraph"/>
      </w:pPr>
      <w:r>
        <w:t xml:space="preserve">ARTICLE 6. DOWNTOWN DISTRICT 601 USES 602 DIMENSIONAL STANDARDS 603 DEVELOPMENT INCENTIVES 604 DEVELOPMENT AND DESIGN STANDARDS 605 DESIGN STANDARDS FOR ALTERATIONS TO EXISTING BUILDINGS 606 DESIGN STANDARDS FOR NEW CONSTRUCTION</w:t>
      </w:r>
    </w:p>
    <w:bookmarkEnd w:id="47"/>
    <w:bookmarkStart w:id="48" w:name="purpose-statements-2"/>
    <w:p>
      <w:pPr>
        <w:pStyle w:val="Heading2"/>
      </w:pPr>
      <w:r>
        <w:t xml:space="preserve">§ 600. PURPOSE STATEMENTS</w:t>
      </w:r>
    </w:p>
    <w:p>
      <w:pPr>
        <w:pStyle w:val="FirstParagraph"/>
      </w:pPr>
      <w:r>
        <w:t xml:space="preserve">600 PURPOSE STATEMENTS</w:t>
      </w:r>
    </w:p>
    <w:p>
      <w:pPr>
        <w:pStyle w:val="BodyText"/>
      </w:pPr>
      <w:r>
        <w:t xml:space="preserve">A. D-1 Downtown District The purpose of the D-1 District is to encourage and direct development in the downtown to ensure that: new development is compatible with the existing historic building fabric and the historic character of downtown; historic structures are preserved and design alterations of existing buildings are in keeping with historic character; development encourages day and night time activities that relate to the pedestrian and promote the arts, entertainment and housing; greenways and open spaces are incorporated into the downtown; and the goals of the Comprehensive Plan are achieved. The design of the exterior of all buildings, open spaces and all exterior physical improvements in the D-1 District shall be regulated and approved through development plan review in accordance with the provisions of this Section. The permitting authority for development plan review in the Downtown District is set forth in Article 19.</w:t>
      </w:r>
    </w:p>
    <w:bookmarkEnd w:id="48"/>
    <w:bookmarkStart w:id="49" w:name="uses-2"/>
    <w:p>
      <w:pPr>
        <w:pStyle w:val="Heading2"/>
      </w:pPr>
      <w:r>
        <w:t xml:space="preserve">§ 601. USES</w:t>
      </w:r>
    </w:p>
    <w:p>
      <w:pPr>
        <w:pStyle w:val="FirstParagraph"/>
      </w:pPr>
      <w:r>
        <w:t xml:space="preserve">601 USES</w:t>
      </w:r>
    </w:p>
    <w:p>
      <w:pPr>
        <w:numPr>
          <w:ilvl w:val="0"/>
          <w:numId w:val="1283"/>
        </w:numPr>
      </w:pPr>
      <w:r>
        <w:t xml:space="preserve">A. General Regulations Article 12 lists permitted and special principal uses and temporary uses for the D-1 Downtown District.</w:t>
      </w:r>
    </w:p>
    <w:p>
      <w:pPr>
        <w:numPr>
          <w:ilvl w:val="0"/>
          <w:numId w:val="1284"/>
        </w:numPr>
      </w:pPr>
      <w:r>
        <w:t xml:space="preserve">B. Use Restrictions Certain use restrictions are based upon the street designations identified in Section 602.C. These restrictions are:</w:t>
      </w:r>
    </w:p>
    <w:p>
      <w:pPr>
        <w:numPr>
          <w:ilvl w:val="0"/>
          <w:numId w:val="1285"/>
        </w:numPr>
      </w:pPr>
      <w:r>
        <w:t xml:space="preserve">1. For a building that fronts on an A Street, residential uses are prohibited on the ground floor within 20 feet of the A Street. Lobbies and common spaces associated with residences are permitted within this area. (Figure 6-1)</w:t>
      </w:r>
    </w:p>
    <w:p>
      <w:pPr>
        <w:numPr>
          <w:ilvl w:val="0"/>
          <w:numId w:val="1286"/>
        </w:numPr>
      </w:pPr>
      <w:r>
        <w:t xml:space="preserve">2. Parking on the ground floor shall be separated from an A Street by a permitted ground floor use having a depth of at least 20 feet from the A Street. (Figure 6-2)</w:t>
      </w:r>
    </w:p>
    <w:bookmarkEnd w:id="49"/>
    <w:bookmarkStart w:id="50" w:name="dimensional-standards-2"/>
    <w:p>
      <w:pPr>
        <w:pStyle w:val="Heading2"/>
      </w:pPr>
      <w:r>
        <w:t xml:space="preserve">§ 602. DIMENSIONAL STANDARDS</w:t>
      </w:r>
    </w:p>
    <w:p>
      <w:pPr>
        <w:pStyle w:val="FirstParagraph"/>
      </w:pPr>
      <w:r>
        <w:t xml:space="preserve">602 DIMENSIONAL STANDARDS</w:t>
      </w:r>
    </w:p>
    <w:p>
      <w:pPr>
        <w:numPr>
          <w:ilvl w:val="0"/>
          <w:numId w:val="1287"/>
        </w:numPr>
      </w:pPr>
      <w:r>
        <w:t xml:space="preserve">A. General Standards Table 6-1: Downtown District Dimensional Standards establishes the dimensional standards for the D-1 Downtown District. These regulations apply to all uses within the district unless a different standard is listed for a specific use. Certain requirements are based upon the street designations identified in Section 602.C.</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pPr>
          </w:p>
        </w:tc>
        <w:tc>
          <w:tcPr/>
          <w:p>
            <w:pPr>
              <w:pStyle w:val="Compact"/>
              <w:jc w:val="left"/>
            </w:pPr>
            <w:r>
              <w:t xml:space="preserve">TABLE 6-1: DOWNTOWN</w:t>
            </w:r>
          </w:p>
        </w:tc>
        <w:tc>
          <w:tcPr/>
          <w:p>
            <w:pPr>
              <w:pStyle w:val="Compact"/>
              <w:jc w:val="left"/>
            </w:pPr>
            <w:r>
              <w:t xml:space="preserve">DISTRICT DIMENSIONAL STANDARDS</w:t>
            </w:r>
          </w:p>
        </w:tc>
        <w:tc>
          <w:tcPr/>
          <w:p>
            <w:pPr>
              <w:pStyle w:val="Compact"/>
            </w:pPr>
          </w:p>
        </w:tc>
      </w:tr>
      <w:tr>
        <w:tc>
          <w:tcPr/>
          <w:p>
            <w:pPr>
              <w:pStyle w:val="Compact"/>
            </w:pPr>
          </w:p>
        </w:tc>
        <w:tc>
          <w:tcPr/>
          <w:p>
            <w:pPr>
              <w:pStyle w:val="Compact"/>
            </w:pPr>
          </w:p>
        </w:tc>
        <w:tc>
          <w:tcPr/>
          <w:p>
            <w:pPr>
              <w:pStyle w:val="Compact"/>
              <w:jc w:val="left"/>
            </w:pPr>
            <w:r>
              <w:t xml:space="preserve">D-1</w:t>
            </w:r>
          </w:p>
        </w:tc>
        <w:tc>
          <w:tcPr/>
          <w:p>
            <w:pPr>
              <w:pStyle w:val="Compact"/>
            </w:pPr>
          </w:p>
        </w:tc>
      </w:tr>
      <w:tr>
        <w:tc>
          <w:tcPr/>
          <w:p>
            <w:pPr>
              <w:pStyle w:val="Compact"/>
            </w:pPr>
          </w:p>
        </w:tc>
        <w:tc>
          <w:tcPr/>
          <w:p>
            <w:pPr>
              <w:pStyle w:val="Compact"/>
              <w:jc w:val="left"/>
            </w:pPr>
            <w:r>
              <w:t xml:space="preserve">Bulk Standards</w:t>
            </w:r>
          </w:p>
        </w:tc>
        <w:tc>
          <w:tcPr/>
          <w:p>
            <w:pPr>
              <w:pStyle w:val="Compact"/>
            </w:pPr>
          </w:p>
        </w:tc>
        <w:tc>
          <w:tcPr/>
          <w:p>
            <w:pPr>
              <w:pStyle w:val="Compact"/>
            </w:pPr>
          </w:p>
        </w:tc>
      </w:tr>
      <w:tr>
        <w:tc>
          <w:tcPr/>
          <w:p>
            <w:pPr>
              <w:pStyle w:val="Compact"/>
            </w:pPr>
          </w:p>
        </w:tc>
        <w:tc>
          <w:tcPr/>
          <w:p>
            <w:pPr>
              <w:pStyle w:val="Compact"/>
              <w:jc w:val="left"/>
            </w:pPr>
            <w:r>
              <w:t xml:space="preserve">Minimum Ground Floor Height</w:t>
            </w:r>
          </w:p>
        </w:tc>
        <w:tc>
          <w:tcPr/>
          <w:p>
            <w:pPr>
              <w:pStyle w:val="Compact"/>
              <w:jc w:val="left"/>
            </w:pPr>
            <w:r>
              <w:t xml:space="preserve">12’</w:t>
            </w:r>
          </w:p>
        </w:tc>
        <w:tc>
          <w:tcPr/>
          <w:p>
            <w:pPr>
              <w:pStyle w:val="Compact"/>
            </w:pPr>
          </w:p>
        </w:tc>
      </w:tr>
      <w:tr>
        <w:tc>
          <w:tcPr/>
          <w:p>
            <w:pPr>
              <w:pStyle w:val="Compact"/>
            </w:pPr>
          </w:p>
        </w:tc>
        <w:tc>
          <w:tcPr/>
          <w:p>
            <w:pPr>
              <w:pStyle w:val="Compact"/>
              <w:jc w:val="left"/>
            </w:pPr>
            <w:r>
              <w:t xml:space="preserve">Minimum Building Height</w:t>
            </w:r>
          </w:p>
        </w:tc>
        <w:tc>
          <w:tcPr/>
          <w:p>
            <w:pPr>
              <w:pStyle w:val="Compact"/>
              <w:jc w:val="left"/>
            </w:pPr>
            <w:r>
              <w:t xml:space="preserve">3 stories</w:t>
            </w:r>
          </w:p>
        </w:tc>
        <w:tc>
          <w:tcPr/>
          <w:p>
            <w:pPr>
              <w:pStyle w:val="Compact"/>
            </w:pPr>
          </w:p>
        </w:tc>
      </w:tr>
      <w:tr>
        <w:tc>
          <w:tcPr/>
          <w:p>
            <w:pPr>
              <w:pStyle w:val="Compact"/>
            </w:pPr>
          </w:p>
        </w:tc>
        <w:tc>
          <w:tcPr/>
          <w:p>
            <w:pPr>
              <w:pStyle w:val="Compact"/>
              <w:jc w:val="left"/>
            </w:pPr>
            <w:r>
              <w:t xml:space="preserve">Maximum Building Height</w:t>
            </w:r>
          </w:p>
        </w:tc>
        <w:tc>
          <w:tcPr/>
          <w:p>
            <w:pPr>
              <w:pStyle w:val="Compact"/>
              <w:jc w:val="left"/>
            </w:pPr>
            <w:r>
              <w:t xml:space="preserve">See Section 602.B</w:t>
            </w:r>
          </w:p>
        </w:tc>
        <w:tc>
          <w:tcPr/>
          <w:p>
            <w:pPr>
              <w:pStyle w:val="Compact"/>
            </w:pPr>
          </w:p>
        </w:tc>
      </w:tr>
      <w:tr>
        <w:tc>
          <w:tcPr/>
          <w:p>
            <w:pPr>
              <w:pStyle w:val="Compact"/>
            </w:pPr>
          </w:p>
        </w:tc>
        <w:tc>
          <w:tcPr/>
          <w:p>
            <w:pPr>
              <w:pStyle w:val="Compact"/>
              <w:jc w:val="left"/>
            </w:pPr>
            <w:r>
              <w:t xml:space="preserve">Setbacks</w:t>
            </w:r>
          </w:p>
        </w:tc>
        <w:tc>
          <w:tcPr/>
          <w:p>
            <w:pPr>
              <w:pStyle w:val="Compact"/>
            </w:pPr>
          </w:p>
        </w:tc>
        <w:tc>
          <w:tcPr/>
          <w:p>
            <w:pPr>
              <w:pStyle w:val="Compact"/>
            </w:pPr>
          </w:p>
        </w:tc>
      </w:tr>
      <w:tr>
        <w:tc>
          <w:tcPr/>
          <w:p>
            <w:pPr>
              <w:pStyle w:val="Compact"/>
            </w:pPr>
          </w:p>
        </w:tc>
        <w:tc>
          <w:tcPr/>
          <w:p>
            <w:pPr>
              <w:pStyle w:val="Compact"/>
              <w:jc w:val="left"/>
            </w:pPr>
            <w:r>
              <w:t xml:space="preserve">Front Setback</w:t>
            </w:r>
          </w:p>
        </w:tc>
        <w:tc>
          <w:tcPr/>
          <w:p>
            <w:pPr>
              <w:pStyle w:val="Compact"/>
              <w:jc w:val="left"/>
            </w:pPr>
            <w:r>
              <w:t xml:space="preserve">A Street: Build-to zone of 0’ to 8’, with minimum build-to percentage of 80% B Street: None</w:t>
            </w:r>
          </w:p>
        </w:tc>
        <w:tc>
          <w:tcPr/>
          <w:p>
            <w:pPr>
              <w:pStyle w:val="Compact"/>
            </w:pPr>
          </w:p>
        </w:tc>
      </w:tr>
      <w:tr>
        <w:tc>
          <w:tcPr/>
          <w:p>
            <w:pPr>
              <w:pStyle w:val="Compact"/>
            </w:pPr>
          </w:p>
        </w:tc>
        <w:tc>
          <w:tcPr/>
          <w:p>
            <w:pPr>
              <w:pStyle w:val="Compact"/>
              <w:jc w:val="left"/>
            </w:pPr>
            <w:r>
              <w:t xml:space="preserve">Side Setback</w:t>
            </w:r>
          </w:p>
        </w:tc>
        <w:tc>
          <w:tcPr/>
          <w:p>
            <w:pPr>
              <w:pStyle w:val="Compact"/>
              <w:jc w:val="left"/>
            </w:pPr>
            <w:r>
              <w:t xml:space="preserve">0' Build-to line</w:t>
            </w:r>
          </w:p>
        </w:tc>
        <w:tc>
          <w:tcPr/>
          <w:p>
            <w:pPr>
              <w:pStyle w:val="Compact"/>
            </w:pPr>
          </w:p>
        </w:tc>
      </w:tr>
      <w:tr>
        <w:tc>
          <w:tcPr/>
          <w:p>
            <w:pPr>
              <w:pStyle w:val="Compact"/>
            </w:pPr>
          </w:p>
        </w:tc>
        <w:tc>
          <w:tcPr/>
          <w:p>
            <w:pPr>
              <w:pStyle w:val="Compact"/>
              <w:jc w:val="left"/>
            </w:pPr>
            <w:r>
              <w:t xml:space="preserve">Rear Setback</w:t>
            </w:r>
          </w:p>
        </w:tc>
        <w:tc>
          <w:tcPr/>
          <w:p>
            <w:pPr>
              <w:pStyle w:val="Compact"/>
              <w:jc w:val="left"/>
            </w:pPr>
            <w:r>
              <w:t xml:space="preserve">None</w:t>
            </w:r>
          </w:p>
        </w:tc>
        <w:tc>
          <w:tcPr/>
          <w:p>
            <w:pPr>
              <w:pStyle w:val="Compact"/>
            </w:pPr>
          </w:p>
        </w:tc>
      </w:tr>
    </w:tbl>
    <w:p>
      <w:pPr>
        <w:numPr>
          <w:ilvl w:val="0"/>
          <w:numId w:val="1288"/>
        </w:numPr>
      </w:pPr>
      <w:r>
        <w:t xml:space="preserve">A Street: Build-to zone of 0’ to 8’, with minimum build-to Front Setback percentage of 80% B Street: None Side Setback 0' Build-to line Rear Setback None</w:t>
      </w:r>
    </w:p>
    <w:p>
      <w:pPr>
        <w:numPr>
          <w:ilvl w:val="0"/>
          <w:numId w:val="1289"/>
        </w:numPr>
      </w:pPr>
      <w:r>
        <w:t xml:space="preserve">B. Maximum Building Height The D-1 District is comprised of eight height sub-districts. The maximum building height within each of the D-1 District height sub-districts is as follows:</w:t>
      </w:r>
    </w:p>
    <w:p>
      <w:pPr>
        <w:numPr>
          <w:ilvl w:val="0"/>
          <w:numId w:val="1290"/>
        </w:numPr>
      </w:pPr>
      <w:r>
        <w:t xml:space="preserve">1. D-1-45 equals a maximum building height of 45 feet</w:t>
      </w:r>
    </w:p>
    <w:p>
      <w:pPr>
        <w:numPr>
          <w:ilvl w:val="0"/>
          <w:numId w:val="1000"/>
        </w:numPr>
      </w:pPr>
      <w:r>
        <w:t xml:space="preserve">2. D-1-75 equals a maximum building height of 75 feet</w:t>
      </w:r>
    </w:p>
    <w:p>
      <w:pPr>
        <w:numPr>
          <w:ilvl w:val="0"/>
          <w:numId w:val="1000"/>
        </w:numPr>
      </w:pPr>
      <w:r>
        <w:t xml:space="preserve">3. D-1-100 equals a maximum building height of 100 feet</w:t>
      </w:r>
    </w:p>
    <w:p>
      <w:pPr>
        <w:numPr>
          <w:ilvl w:val="0"/>
          <w:numId w:val="1000"/>
        </w:numPr>
      </w:pPr>
      <w:r>
        <w:t xml:space="preserve">4. D-1-120 equals a maximum building height of 120 feet</w:t>
      </w:r>
    </w:p>
    <w:p>
      <w:pPr>
        <w:numPr>
          <w:ilvl w:val="0"/>
          <w:numId w:val="1000"/>
        </w:numPr>
      </w:pPr>
      <w:r>
        <w:t xml:space="preserve">5. D-1-150 equals a maximum building height of 150 feet</w:t>
      </w:r>
    </w:p>
    <w:p>
      <w:pPr>
        <w:numPr>
          <w:ilvl w:val="0"/>
          <w:numId w:val="1000"/>
        </w:numPr>
      </w:pPr>
      <w:r>
        <w:t xml:space="preserve">6. D-1-200 equals a maximum building height of 200 feet</w:t>
      </w:r>
    </w:p>
    <w:p>
      <w:pPr>
        <w:numPr>
          <w:ilvl w:val="0"/>
          <w:numId w:val="1000"/>
        </w:numPr>
      </w:pPr>
      <w:r>
        <w:t xml:space="preserve">7. D-1-300 equals a maximum building height of 300 feet</w:t>
      </w:r>
    </w:p>
    <w:p>
      <w:pPr>
        <w:numPr>
          <w:ilvl w:val="0"/>
          <w:numId w:val="1000"/>
        </w:numPr>
      </w:pPr>
      <w:r>
        <w:t xml:space="preserve">8. D-1-600 equals a maximum building height of 600 feet.</w:t>
      </w:r>
    </w:p>
    <w:p>
      <w:pPr>
        <w:pStyle w:val="Compact"/>
        <w:numPr>
          <w:ilvl w:val="0"/>
          <w:numId w:val="1291"/>
        </w:numPr>
      </w:pPr>
    </w:p>
    <w:p>
      <w:pPr>
        <w:numPr>
          <w:ilvl w:val="1"/>
          <w:numId w:val="1292"/>
        </w:numPr>
      </w:pPr>
      <w:r>
        <w:t xml:space="preserve">C. A Streets and B Streets</w:t>
      </w:r>
    </w:p>
    <w:p>
      <w:pPr>
        <w:numPr>
          <w:ilvl w:val="1"/>
          <w:numId w:val="1000"/>
        </w:numPr>
      </w:pPr>
      <w:r>
        <w:t xml:space="preserve">1. A Streets A Streets are designated on the Zoning Map for the D-1 District. Buildings that front on these streets are subject to more stringent design and development regulations than building facades that front on B Streets.</w:t>
      </w:r>
    </w:p>
    <w:p>
      <w:pPr>
        <w:numPr>
          <w:ilvl w:val="0"/>
          <w:numId w:val="1293"/>
        </w:numPr>
      </w:pPr>
      <w:r>
        <w:t xml:space="preserve">2. B Streets B Streets are designated on the Zoning Map for the D-1 District. Buildings that front on these streets are subject to less stringent design and development regulations than buildings that front on A Streets.</w:t>
      </w:r>
    </w:p>
    <w:bookmarkEnd w:id="50"/>
    <w:bookmarkStart w:id="51" w:name="development-incentives"/>
    <w:p>
      <w:pPr>
        <w:pStyle w:val="Heading2"/>
      </w:pPr>
      <w:r>
        <w:t xml:space="preserve">§ 603. DEVELOPMENT INCENTIVES</w:t>
      </w:r>
    </w:p>
    <w:p>
      <w:pPr>
        <w:pStyle w:val="FirstParagraph"/>
      </w:pPr>
      <w:r>
        <w:t xml:space="preserve">603 DEVELOPMENT INCENTIVES</w:t>
      </w:r>
    </w:p>
    <w:p>
      <w:pPr>
        <w:numPr>
          <w:ilvl w:val="0"/>
          <w:numId w:val="1294"/>
        </w:numPr>
      </w:pPr>
      <w:r>
        <w:t xml:space="preserve">A. Purpose The purpose of these incentives is to encourage development that will be compatible with the character of Downtown and carry out the goals of the comprehensive plan. These regulations are designed to foster and promote in the Downtown preservation of historic properties, first floor retail activity, pedestrian access and convenience, publicly-accessible open space, parking structures, the arts, and housing.</w:t>
      </w:r>
    </w:p>
    <w:p>
      <w:pPr>
        <w:numPr>
          <w:ilvl w:val="0"/>
          <w:numId w:val="1295"/>
        </w:numPr>
      </w:pPr>
      <w:r>
        <w:t xml:space="preserve">B. Basic Requirements All development in the D-1 District shall conform to the use, density, bulk, parking, design review, and other applicable requirements of this Ordinance.</w:t>
      </w:r>
    </w:p>
    <w:p>
      <w:pPr>
        <w:numPr>
          <w:ilvl w:val="0"/>
          <w:numId w:val="1296"/>
        </w:numPr>
      </w:pPr>
      <w:r>
        <w:t xml:space="preserve">C. Incentives – General Development incentives through height bonuses are permitted in the D-1 District to encourage development that is compatible with the goals of the comprehensive plan.</w:t>
      </w:r>
    </w:p>
    <w:p>
      <w:pPr>
        <w:numPr>
          <w:ilvl w:val="0"/>
          <w:numId w:val="1297"/>
        </w:numPr>
      </w:pPr>
      <w:r>
        <w:t xml:space="preserve">1. All requests for development incentives shall be reviewed by the Downtown Design Review Committee at a public hearing in accordance with Section 1907 of this Ordinance.</w:t>
      </w:r>
    </w:p>
    <w:p>
      <w:pPr>
        <w:numPr>
          <w:ilvl w:val="0"/>
          <w:numId w:val="1298"/>
        </w:numPr>
      </w:pPr>
      <w:r>
        <w:t xml:space="preserve">2. The Downtown Design Review Committee may consider the physical changes required to the building or site if the incentive is granted, including interior alterations that affect the exterior appearance and character of the property, and may impose any conditions necessary to mitigate the visual impact of such changes, in accordance with the design regulations of this Section.</w:t>
      </w:r>
    </w:p>
    <w:p>
      <w:pPr>
        <w:pStyle w:val="Compact"/>
        <w:numPr>
          <w:ilvl w:val="0"/>
          <w:numId w:val="1299"/>
        </w:numPr>
      </w:pPr>
    </w:p>
    <w:p>
      <w:pPr>
        <w:numPr>
          <w:ilvl w:val="1"/>
          <w:numId w:val="1300"/>
        </w:numPr>
      </w:pPr>
      <w:r>
        <w:t xml:space="preserve">D. Bonus Eligibility A project is eligible for a bonus of increased building height if space is provided within the project for the uses, improvements, or facilities set forth below. Bonuses may in no case result in more than 30% additional building height.</w:t>
      </w:r>
    </w:p>
    <w:p>
      <w:pPr>
        <w:numPr>
          <w:ilvl w:val="0"/>
          <w:numId w:val="1301"/>
        </w:numPr>
      </w:pPr>
      <w:r>
        <w:t xml:space="preserve">1. Active Ground Floor Uses Active ground-floor uses shall include the publicly-accessible areas of restaurants, retail, cultural or entertainment facilities, or other uses determined by the Downtown Design Review Committee to promote pedestrian activity and commerce in Downtown. A minimum of 25% of the area of the ground floor of a building shall be dedicated to active uses to qualify for a bonus.</w:t>
      </w:r>
    </w:p>
    <w:p>
      <w:pPr>
        <w:numPr>
          <w:ilvl w:val="0"/>
          <w:numId w:val="1302"/>
        </w:numPr>
      </w:pPr>
      <w:r>
        <w:t xml:space="preserve">2. Publicly Accessible Open Space Publicly-accessible open space shall constitute areas of a lot that are made accessible to the public every day, year-round, during daylight hours, and that are maintained by the property owner. It is preferable that such areas contribute to a planned network of connected pedestrian and bikeways and parks.</w:t>
      </w:r>
    </w:p>
    <w:p>
      <w:pPr>
        <w:numPr>
          <w:ilvl w:val="0"/>
          <w:numId w:val="1303"/>
        </w:numPr>
      </w:pPr>
      <w:r>
        <w:t xml:space="preserve">3. Parking Structures Parking structures shall be integrated into or on the same lot as a building for which a bonus is sought.</w:t>
      </w:r>
    </w:p>
    <w:p>
      <w:pPr>
        <w:pStyle w:val="Compact"/>
        <w:numPr>
          <w:ilvl w:val="0"/>
          <w:numId w:val="1304"/>
        </w:numPr>
      </w:pPr>
    </w:p>
    <w:p>
      <w:pPr>
        <w:numPr>
          <w:ilvl w:val="1"/>
          <w:numId w:val="1305"/>
        </w:numPr>
      </w:pPr>
      <w:r>
        <w:t xml:space="preserve">E. Schedule of Development Bonuses If a proposed use, improvement or facility complies with the standards set forth in this section, it shall be eligible for a height bonus. The height bonus is the percentage of increase in building height over the permitted zoning height. The schedule of bonuses is as follows:</w:t>
      </w:r>
    </w:p>
    <w:p>
      <w:pPr>
        <w:numPr>
          <w:ilvl w:val="0"/>
          <w:numId w:val="1306"/>
        </w:numPr>
      </w:pPr>
      <w:r>
        <w:t xml:space="preserve">1. Active Ground Floor Uses The bonus is based on the percentage of ground-floor space dedicated to active ground-floor use.</w:t>
      </w:r>
    </w:p>
    <w:tbl>
      <w:tblPr>
        <w:tblStyle w:val="Table"/>
        <w:tblW w:type="auto" w:w="0"/>
        <w:jc w:val="left"/>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p>
        </w:tc>
        <w:tc>
          <w:tcPr/>
          <w:p>
            <w:pPr>
              <w:pStyle w:val="Compact"/>
              <w:jc w:val="left"/>
            </w:pPr>
            <w:r>
              <w:t xml:space="preserve">% of</w:t>
            </w:r>
          </w:p>
        </w:tc>
        <w:tc>
          <w:tcPr/>
          <w:p>
            <w:pPr>
              <w:pStyle w:val="Compact"/>
              <w:jc w:val="left"/>
            </w:pPr>
            <w:r>
              <w:t xml:space="preserve">Ground-Floor Area</w:t>
            </w:r>
          </w:p>
        </w:tc>
        <w:tc>
          <w:tcPr/>
          <w:p>
            <w:pPr>
              <w:pStyle w:val="Compact"/>
            </w:pPr>
          </w:p>
        </w:tc>
        <w:tc>
          <w:tcPr/>
          <w:p>
            <w:pPr>
              <w:pStyle w:val="Compact"/>
              <w:jc w:val="left"/>
            </w:pPr>
            <w:r>
              <w:t xml:space="preserve">Height Bonus</w:t>
            </w:r>
          </w:p>
        </w:tc>
        <w:tc>
          <w:tcPr/>
          <w:p>
            <w:pPr>
              <w:pStyle w:val="Compact"/>
            </w:pPr>
          </w:p>
        </w:tc>
        <w:tc>
          <w:tcPr/>
          <w:p>
            <w:pPr>
              <w:pStyle w:val="Compact"/>
            </w:pPr>
          </w:p>
        </w:tc>
      </w:tr>
      <w:tr>
        <w:tc>
          <w:tcPr/>
          <w:p>
            <w:pPr>
              <w:pStyle w:val="Compact"/>
            </w:pPr>
          </w:p>
        </w:tc>
        <w:tc>
          <w:tcPr/>
          <w:p>
            <w:pPr>
              <w:pStyle w:val="Compact"/>
              <w:jc w:val="left"/>
            </w:pPr>
            <w:r>
              <w:t xml:space="preserve">25 to</w:t>
            </w:r>
          </w:p>
        </w:tc>
        <w:tc>
          <w:tcPr/>
          <w:p>
            <w:pPr>
              <w:pStyle w:val="Compact"/>
              <w:jc w:val="left"/>
            </w:pPr>
            <w:r>
              <w:t xml:space="preserve">50%</w:t>
            </w:r>
          </w:p>
        </w:tc>
        <w:tc>
          <w:tcPr/>
          <w:p>
            <w:pPr>
              <w:pStyle w:val="Compact"/>
            </w:pPr>
          </w:p>
        </w:tc>
        <w:tc>
          <w:tcPr/>
          <w:p>
            <w:pPr>
              <w:pStyle w:val="Compact"/>
              <w:jc w:val="left"/>
            </w:pPr>
            <w:r>
              <w:t xml:space="preserve">10%</w:t>
            </w:r>
          </w:p>
        </w:tc>
        <w:tc>
          <w:tcPr/>
          <w:p>
            <w:pPr>
              <w:pStyle w:val="Compact"/>
            </w:pPr>
          </w:p>
        </w:tc>
        <w:tc>
          <w:tcPr/>
          <w:p>
            <w:pPr>
              <w:pStyle w:val="Compact"/>
            </w:pPr>
          </w:p>
        </w:tc>
      </w:tr>
      <w:tr>
        <w:tc>
          <w:tcPr/>
          <w:p>
            <w:pPr>
              <w:pStyle w:val="Compact"/>
            </w:pPr>
          </w:p>
        </w:tc>
        <w:tc>
          <w:tcPr/>
          <w:p>
            <w:pPr>
              <w:pStyle w:val="Compact"/>
              <w:jc w:val="left"/>
            </w:pPr>
            <w:r>
              <w:t xml:space="preserve">51 to</w:t>
            </w:r>
          </w:p>
        </w:tc>
        <w:tc>
          <w:tcPr/>
          <w:p>
            <w:pPr>
              <w:pStyle w:val="Compact"/>
              <w:jc w:val="left"/>
            </w:pPr>
            <w:r>
              <w:t xml:space="preserve">75%</w:t>
            </w:r>
          </w:p>
        </w:tc>
        <w:tc>
          <w:tcPr/>
          <w:p>
            <w:pPr>
              <w:pStyle w:val="Compact"/>
            </w:pPr>
          </w:p>
        </w:tc>
        <w:tc>
          <w:tcPr/>
          <w:p>
            <w:pPr>
              <w:pStyle w:val="Compact"/>
              <w:jc w:val="left"/>
            </w:pPr>
            <w:r>
              <w:t xml:space="preserve">20%</w:t>
            </w:r>
          </w:p>
        </w:tc>
        <w:tc>
          <w:tcPr/>
          <w:p>
            <w:pPr>
              <w:pStyle w:val="Compact"/>
            </w:pPr>
          </w:p>
        </w:tc>
        <w:tc>
          <w:tcPr/>
          <w:p>
            <w:pPr>
              <w:pStyle w:val="Compact"/>
            </w:pPr>
          </w:p>
        </w:tc>
      </w:tr>
      <w:tr>
        <w:tc>
          <w:tcPr/>
          <w:p>
            <w:pPr>
              <w:pStyle w:val="Compact"/>
            </w:pPr>
          </w:p>
        </w:tc>
        <w:tc>
          <w:tcPr/>
          <w:p>
            <w:pPr>
              <w:pStyle w:val="Compact"/>
              <w:jc w:val="left"/>
            </w:pPr>
            <w:r>
              <w:t xml:space="preserve">76 to</w:t>
            </w:r>
          </w:p>
        </w:tc>
        <w:tc>
          <w:tcPr/>
          <w:p>
            <w:pPr>
              <w:pStyle w:val="Compact"/>
              <w:jc w:val="left"/>
            </w:pPr>
            <w:r>
              <w:t xml:space="preserve">100%</w:t>
            </w:r>
          </w:p>
        </w:tc>
        <w:tc>
          <w:tcPr/>
          <w:p>
            <w:pPr>
              <w:pStyle w:val="Compact"/>
            </w:pPr>
          </w:p>
        </w:tc>
        <w:tc>
          <w:tcPr/>
          <w:p>
            <w:pPr>
              <w:pStyle w:val="Compact"/>
              <w:jc w:val="left"/>
            </w:pPr>
            <w:r>
              <w:t xml:space="preserve">30%</w:t>
            </w:r>
          </w:p>
        </w:tc>
        <w:tc>
          <w:tcPr/>
          <w:p>
            <w:pPr>
              <w:pStyle w:val="Compact"/>
            </w:pPr>
          </w:p>
        </w:tc>
        <w:tc>
          <w:tcPr/>
          <w:p>
            <w:pPr>
              <w:pStyle w:val="Compact"/>
            </w:pPr>
          </w:p>
        </w:tc>
      </w:tr>
      <w:tr>
        <w:tc>
          <w:tcPr/>
          <w:p>
            <w:pPr>
              <w:pStyle w:val="Compact"/>
              <w:jc w:val="left"/>
            </w:pPr>
            <w:r>
              <w:t xml:space="preserve">2. Publicly-Accessible The bonus is</w:t>
            </w:r>
          </w:p>
        </w:tc>
        <w:tc>
          <w:tcPr/>
          <w:p>
            <w:pPr>
              <w:pStyle w:val="Compact"/>
              <w:jc w:val="left"/>
            </w:pPr>
            <w:r>
              <w:t xml:space="preserve">based</w:t>
            </w:r>
          </w:p>
        </w:tc>
        <w:tc>
          <w:tcPr/>
          <w:p>
            <w:pPr>
              <w:pStyle w:val="Compact"/>
              <w:jc w:val="left"/>
            </w:pPr>
            <w:r>
              <w:t xml:space="preserve">Open Space on the percentage of</w:t>
            </w:r>
          </w:p>
        </w:tc>
        <w:tc>
          <w:tcPr/>
          <w:p>
            <w:pPr>
              <w:pStyle w:val="Compact"/>
              <w:jc w:val="left"/>
            </w:pPr>
            <w:r>
              <w:t xml:space="preserve">lot area</w:t>
            </w:r>
          </w:p>
        </w:tc>
        <w:tc>
          <w:tcPr/>
          <w:p>
            <w:pPr>
              <w:pStyle w:val="Compact"/>
              <w:jc w:val="left"/>
            </w:pPr>
            <w:r>
              <w:t xml:space="preserve">dedicated</w:t>
            </w:r>
          </w:p>
        </w:tc>
        <w:tc>
          <w:tcPr/>
          <w:p>
            <w:pPr>
              <w:pStyle w:val="Compact"/>
              <w:jc w:val="left"/>
            </w:pPr>
            <w:r>
              <w:t xml:space="preserve">to</w:t>
            </w:r>
          </w:p>
        </w:tc>
        <w:tc>
          <w:tcPr/>
          <w:p>
            <w:pPr>
              <w:pStyle w:val="Compact"/>
              <w:jc w:val="left"/>
            </w:pPr>
            <w:r>
              <w:t xml:space="preserve">publicly-accessible open space.</w:t>
            </w:r>
          </w:p>
        </w:tc>
      </w:tr>
      <w:tr>
        <w:tc>
          <w:tcPr/>
          <w:p>
            <w:pPr>
              <w:pStyle w:val="Compact"/>
            </w:pPr>
          </w:p>
        </w:tc>
        <w:tc>
          <w:tcPr/>
          <w:p>
            <w:pPr>
              <w:pStyle w:val="Compact"/>
            </w:pPr>
          </w:p>
        </w:tc>
        <w:tc>
          <w:tcPr/>
          <w:p>
            <w:pPr>
              <w:pStyle w:val="Compact"/>
              <w:jc w:val="left"/>
            </w:pPr>
            <w:r>
              <w:t xml:space="preserve">% of Lot Area</w:t>
            </w:r>
          </w:p>
        </w:tc>
        <w:tc>
          <w:tcPr/>
          <w:p>
            <w:pPr>
              <w:pStyle w:val="Compact"/>
              <w:jc w:val="left"/>
            </w:pPr>
            <w:r>
              <w:t xml:space="preserve">Height</w:t>
            </w:r>
          </w:p>
        </w:tc>
        <w:tc>
          <w:tcPr/>
          <w:p>
            <w:pPr>
              <w:pStyle w:val="Compact"/>
              <w:jc w:val="left"/>
            </w:pPr>
            <w:r>
              <w:t xml:space="preserve">Bonus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10 to 15%</w:t>
            </w:r>
          </w:p>
        </w:tc>
        <w:tc>
          <w:tcPr/>
          <w:p>
            <w:pPr>
              <w:pStyle w:val="Compact"/>
              <w:jc w:val="left"/>
            </w:pPr>
            <w:r>
              <w:t xml:space="preserve">10%</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16 to 25%</w:t>
            </w:r>
          </w:p>
        </w:tc>
        <w:tc>
          <w:tcPr/>
          <w:p>
            <w:pPr>
              <w:pStyle w:val="Compact"/>
              <w:jc w:val="left"/>
            </w:pPr>
            <w:r>
              <w:t xml:space="preserve">20%</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&gt;25%</w:t>
            </w:r>
          </w:p>
        </w:tc>
        <w:tc>
          <w:tcPr/>
          <w:p>
            <w:pPr>
              <w:pStyle w:val="Compact"/>
              <w:jc w:val="left"/>
            </w:pPr>
            <w:r>
              <w:t xml:space="preserve">30%</w:t>
            </w:r>
          </w:p>
        </w:tc>
        <w:tc>
          <w:tcPr/>
          <w:p>
            <w:pPr>
              <w:pStyle w:val="Compact"/>
            </w:pPr>
          </w:p>
        </w:tc>
        <w:tc>
          <w:tcPr/>
          <w:p>
            <w:pPr>
              <w:pStyle w:val="Compact"/>
            </w:pPr>
          </w:p>
        </w:tc>
        <w:tc>
          <w:tcPr/>
          <w:p>
            <w:pPr>
              <w:pStyle w:val="Compact"/>
            </w:pPr>
          </w:p>
        </w:tc>
      </w:tr>
      <w:tr>
        <w:tc>
          <w:tcPr/>
          <w:p>
            <w:pPr>
              <w:pStyle w:val="Compact"/>
              <w:jc w:val="left"/>
            </w:pPr>
            <w:r>
              <w:t xml:space="preserve">3. Parking Structure For each square added to the F. Bonuses, Continuing Where a bonus is or improvement for</w:t>
            </w:r>
          </w:p>
        </w:tc>
        <w:tc>
          <w:tcPr/>
          <w:p>
            <w:pPr>
              <w:pStyle w:val="Compact"/>
              <w:jc w:val="left"/>
            </w:pPr>
            <w:r>
              <w:t xml:space="preserve">foot building granted, the</w:t>
            </w:r>
          </w:p>
        </w:tc>
        <w:tc>
          <w:tcPr/>
          <w:p>
            <w:pPr>
              <w:pStyle w:val="Compact"/>
              <w:jc w:val="left"/>
            </w:pPr>
            <w:r>
              <w:t xml:space="preserve">of parking in a parking above the maximum Character of Obligations the applicant shall purposes for which the</w:t>
            </w:r>
          </w:p>
        </w:tc>
        <w:tc>
          <w:tcPr/>
          <w:p>
            <w:pPr>
              <w:pStyle w:val="Compact"/>
              <w:jc w:val="left"/>
            </w:pPr>
            <w:r>
              <w:t xml:space="preserve">height, covenant bonus</w:t>
            </w:r>
          </w:p>
        </w:tc>
        <w:tc>
          <w:tcPr/>
          <w:p>
            <w:pPr>
              <w:pStyle w:val="Compact"/>
              <w:jc w:val="left"/>
            </w:pPr>
            <w:r>
              <w:t xml:space="preserve">structure, an not to exceed to ensurewas granted.</w:t>
            </w:r>
          </w:p>
        </w:tc>
        <w:tc>
          <w:tcPr/>
          <w:p>
            <w:pPr>
              <w:pStyle w:val="Compact"/>
              <w:jc w:val="left"/>
            </w:pPr>
            <w:r>
              <w:t xml:space="preserve">equivalent two the The</w:t>
            </w:r>
          </w:p>
        </w:tc>
        <w:tc>
          <w:tcPr/>
          <w:p>
            <w:pPr>
              <w:pStyle w:val="Compact"/>
              <w:jc w:val="left"/>
            </w:pPr>
            <w:r>
              <w:t xml:space="preserve">amount of floor area may be additional stories. continued use of the use, facility, covenant shall be for a term of</w:t>
            </w:r>
          </w:p>
        </w:tc>
      </w:tr>
    </w:tbl>
    <w:p>
      <w:pPr>
        <w:numPr>
          <w:ilvl w:val="0"/>
          <w:numId w:val="1307"/>
        </w:numPr>
      </w:pPr>
      <w:r>
        <w:t xml:space="preserve">10 to 15% 10% 16 to 25% 20% &gt;25% 30% 3. Parking Structure For each square foot of parking in a parking structure, an equivalent amount of floor area may be added to the building above the maximum height, not to exceed two additional stories.</w:t>
      </w:r>
    </w:p>
    <w:p>
      <w:pPr>
        <w:pStyle w:val="Compact"/>
        <w:numPr>
          <w:ilvl w:val="0"/>
          <w:numId w:val="1308"/>
        </w:numPr>
      </w:pPr>
    </w:p>
    <w:p>
      <w:pPr>
        <w:numPr>
          <w:ilvl w:val="1"/>
          <w:numId w:val="1309"/>
        </w:numPr>
      </w:pPr>
      <w:r>
        <w:t xml:space="preserve">F. Bonuses, Continuing Character of Obligations Where a bonus is granted, the applicant shall covenant to ensure the continued use of the use, facility, or improvement for the purposes for which the bonus was granted. The covenant shall be for a term of 20 years, unless the Downtown Design Review Committee specifically finds that another period of time would be in accordance with the purposes of this section. Such covenant shall be recorded on the land evidence records and shall run with the land.</w:t>
      </w:r>
    </w:p>
    <w:p>
      <w:pPr>
        <w:pStyle w:val="Compact"/>
        <w:numPr>
          <w:ilvl w:val="0"/>
          <w:numId w:val="1310"/>
        </w:numPr>
      </w:pPr>
    </w:p>
    <w:p>
      <w:pPr>
        <w:numPr>
          <w:ilvl w:val="1"/>
          <w:numId w:val="1311"/>
        </w:numPr>
      </w:pPr>
      <w:r>
        <w:t xml:space="preserve">G. Changes Any changes to the plan approved in accordance with the provisions of this section shall be considered a new application.</w:t>
      </w:r>
    </w:p>
    <w:bookmarkEnd w:id="51"/>
    <w:bookmarkStart w:id="52" w:name="development-and-design-standards"/>
    <w:p>
      <w:pPr>
        <w:pStyle w:val="Heading2"/>
      </w:pPr>
      <w:r>
        <w:t xml:space="preserve">§ 604. DEVELOPMENT AND DESIGN STANDARDS</w:t>
      </w:r>
    </w:p>
    <w:p>
      <w:pPr>
        <w:pStyle w:val="FirstParagraph"/>
      </w:pPr>
      <w:r>
        <w:t xml:space="preserve">604 DEVELOPMENT AND DESIGN STANDARDS The following additional development standards apply to the D-1 District, in addition to or in place of other standards within this Ordinance.</w:t>
      </w:r>
    </w:p>
    <w:p>
      <w:pPr>
        <w:numPr>
          <w:ilvl w:val="0"/>
          <w:numId w:val="1312"/>
        </w:numPr>
      </w:pPr>
      <w:r>
        <w:t xml:space="preserve">A. Awnings</w:t>
      </w:r>
    </w:p>
    <w:p>
      <w:pPr>
        <w:numPr>
          <w:ilvl w:val="0"/>
          <w:numId w:val="1000"/>
        </w:numPr>
      </w:pPr>
      <w:r>
        <w:t xml:space="preserve">1. Awnings shall be variations on the shed form.</w:t>
      </w:r>
    </w:p>
    <w:p>
      <w:pPr>
        <w:numPr>
          <w:ilvl w:val="0"/>
          <w:numId w:val="1313"/>
        </w:numPr>
      </w:pPr>
      <w:r>
        <w:t xml:space="preserve">2. Use of one continuous awning across more than one building is prohibited.</w:t>
      </w:r>
    </w:p>
    <w:p>
      <w:pPr>
        <w:numPr>
          <w:ilvl w:val="0"/>
          <w:numId w:val="1314"/>
        </w:numPr>
      </w:pPr>
      <w:r>
        <w:t xml:space="preserve">3. Awnings shall be constructed of metal, canvas, or fire-resistant acrylic. Use of plastic and vinyl is prohibited.</w:t>
      </w:r>
    </w:p>
    <w:p>
      <w:pPr>
        <w:numPr>
          <w:ilvl w:val="0"/>
          <w:numId w:val="1315"/>
        </w:numPr>
      </w:pPr>
      <w:r>
        <w:t xml:space="preserve">4. Back-lit and waterfall awnings are prohibited.</w:t>
      </w:r>
    </w:p>
    <w:p>
      <w:pPr>
        <w:numPr>
          <w:ilvl w:val="0"/>
          <w:numId w:val="1316"/>
        </w:numPr>
      </w:pPr>
      <w:r>
        <w:t xml:space="preserve">5. Dome awnings are permitted only above building entryways. Only the address number or building name may be printed on the awning.</w:t>
      </w:r>
    </w:p>
    <w:p>
      <w:pPr>
        <w:numPr>
          <w:ilvl w:val="0"/>
          <w:numId w:val="1317"/>
        </w:numPr>
      </w:pPr>
      <w:r>
        <w:t xml:space="preserve">6. Awnings may project up to eight feet into the public right-of-way.</w:t>
      </w:r>
    </w:p>
    <w:p>
      <w:pPr>
        <w:pStyle w:val="Compact"/>
        <w:numPr>
          <w:ilvl w:val="0"/>
          <w:numId w:val="1318"/>
        </w:numPr>
      </w:pPr>
    </w:p>
    <w:p>
      <w:pPr>
        <w:numPr>
          <w:ilvl w:val="1"/>
          <w:numId w:val="1319"/>
        </w:numPr>
      </w:pPr>
      <w:r>
        <w:t xml:space="preserve">B. Signs Signs are subject to the requirements of Article 16 and the following additional standards. In the case of conflict, these standards control.</w:t>
      </w:r>
    </w:p>
    <w:p>
      <w:pPr>
        <w:numPr>
          <w:ilvl w:val="0"/>
          <w:numId w:val="1320"/>
        </w:numPr>
      </w:pPr>
      <w:r>
        <w:t xml:space="preserve">1. The maximum total area of all permanent signs on a facade shall not exceed three square feet per one linear foot of building frontage. Window signs are not included in the above calculation.</w:t>
      </w:r>
    </w:p>
    <w:p>
      <w:pPr>
        <w:numPr>
          <w:ilvl w:val="0"/>
          <w:numId w:val="1321"/>
        </w:numPr>
      </w:pPr>
      <w:r>
        <w:t xml:space="preserve">2. Permanent signs shall be made of metal, painted wood, or other painted similar material (no plastic). This does not apply to awning and canopy sign material, which are subject to the standards of item A above for these particular sign types.</w:t>
      </w:r>
    </w:p>
    <w:p>
      <w:pPr>
        <w:pStyle w:val="Compact"/>
        <w:numPr>
          <w:ilvl w:val="0"/>
          <w:numId w:val="1322"/>
        </w:numPr>
      </w:pPr>
    </w:p>
    <w:p>
      <w:pPr>
        <w:numPr>
          <w:ilvl w:val="1"/>
          <w:numId w:val="1323"/>
        </w:numPr>
      </w:pPr>
      <w:r>
        <w:t xml:space="preserve">C. Fences and Walls Fences and walls are permitted subject to the following regulations. The permitting authority may grant waivers to these provisions.</w:t>
      </w:r>
    </w:p>
    <w:p>
      <w:pPr>
        <w:numPr>
          <w:ilvl w:val="0"/>
          <w:numId w:val="1324"/>
        </w:numPr>
      </w:pPr>
      <w:r>
        <w:t xml:space="preserve">1. Exterior landscaping walls shall be faced to complement the surrounding architecture.</w:t>
      </w:r>
    </w:p>
    <w:p>
      <w:pPr>
        <w:numPr>
          <w:ilvl w:val="0"/>
          <w:numId w:val="1325"/>
        </w:numPr>
      </w:pPr>
      <w:r>
        <w:t xml:space="preserve">2. Walls of a uniform material shall vary in pattern, texture, and color, and employ elements such as columns, pilasters, banding, or cornices to interrupt the monotony of continuous lengths of wall.</w:t>
      </w:r>
    </w:p>
    <w:p>
      <w:pPr>
        <w:numPr>
          <w:ilvl w:val="0"/>
          <w:numId w:val="1326"/>
        </w:numPr>
      </w:pPr>
      <w:r>
        <w:t xml:space="preserve">3. Fences shall be constructed of steel, aluminum, or wrought iron and may include stone or brick piers. Fence colors shall blend into the landscape.</w:t>
      </w:r>
    </w:p>
    <w:p>
      <w:pPr>
        <w:numPr>
          <w:ilvl w:val="0"/>
          <w:numId w:val="1327"/>
        </w:numPr>
      </w:pPr>
      <w:r>
        <w:t xml:space="preserve">4. Fences and walls shall not exceed six feet in height.</w:t>
      </w:r>
    </w:p>
    <w:p>
      <w:pPr>
        <w:pStyle w:val="Compact"/>
        <w:numPr>
          <w:ilvl w:val="0"/>
          <w:numId w:val="1328"/>
        </w:numPr>
      </w:pPr>
    </w:p>
    <w:p>
      <w:pPr>
        <w:numPr>
          <w:ilvl w:val="1"/>
          <w:numId w:val="1329"/>
        </w:numPr>
      </w:pPr>
      <w:r>
        <w:t xml:space="preserve">D. Lighting Light fixtures shall be decorative or concealed. They shall be shielded and directed toward a building or the ground. Electrical conduit and junction boxes shall be located so as to minimize or, if possible, eliminate their visibility from the public right-of-way.</w:t>
      </w:r>
    </w:p>
    <w:p>
      <w:pPr>
        <w:pStyle w:val="Compact"/>
        <w:numPr>
          <w:ilvl w:val="0"/>
          <w:numId w:val="1330"/>
        </w:numPr>
      </w:pPr>
    </w:p>
    <w:p>
      <w:pPr>
        <w:numPr>
          <w:ilvl w:val="1"/>
          <w:numId w:val="1331"/>
        </w:numPr>
      </w:pPr>
      <w:r>
        <w:t xml:space="preserve">E. Mechanical Equipment</w:t>
      </w:r>
    </w:p>
    <w:p>
      <w:pPr>
        <w:numPr>
          <w:ilvl w:val="1"/>
          <w:numId w:val="1000"/>
        </w:numPr>
      </w:pPr>
      <w:r>
        <w:t xml:space="preserve">1. Mechanical equipment located on the ground or on the roof shall be screened so as not to be visible to a pedestrian from within the right-of-way of an A Street abutting the property containing the building. The screening shall complement the design of the building through the use of similar materials, colors, finishes and architectural details.</w:t>
      </w:r>
    </w:p>
    <w:p>
      <w:pPr>
        <w:numPr>
          <w:ilvl w:val="0"/>
          <w:numId w:val="1332"/>
        </w:numPr>
      </w:pPr>
      <w:r>
        <w:t xml:space="preserve">2. Louvers, exhaust equipment, ducts, alarm devices, cable boxes, utility meters and other mechanical and/or electrical equipment shall not be mounted on an A Street façade.</w:t>
      </w:r>
    </w:p>
    <w:p>
      <w:pPr>
        <w:numPr>
          <w:ilvl w:val="0"/>
          <w:numId w:val="1333"/>
        </w:numPr>
      </w:pPr>
      <w:r>
        <w:t xml:space="preserve">3. The permitting authority may waive this provision, provided that such equipment shall be mounted only in inconspicuous locations and painted and/or screened in such a manner to reduce its visual impact.</w:t>
      </w:r>
    </w:p>
    <w:p>
      <w:pPr>
        <w:numPr>
          <w:ilvl w:val="0"/>
          <w:numId w:val="1334"/>
        </w:numPr>
      </w:pPr>
      <w:r>
        <w:t xml:space="preserve">4. The permitting authority may waive regulations pertaining to roof mechanical equipment to permit up to 100% of the roof to be covered by such structures without counting as an additional story.</w:t>
      </w:r>
    </w:p>
    <w:p>
      <w:pPr>
        <w:pStyle w:val="Compact"/>
        <w:numPr>
          <w:ilvl w:val="0"/>
          <w:numId w:val="1335"/>
        </w:numPr>
      </w:pPr>
    </w:p>
    <w:p>
      <w:pPr>
        <w:numPr>
          <w:ilvl w:val="1"/>
          <w:numId w:val="1336"/>
        </w:numPr>
      </w:pPr>
      <w:r>
        <w:t xml:space="preserve">F. Security Grates The use of solid roll down security grates is prohibited. Alternatives to solid roll down grates include ornamental wrought-iron doors, interior roll down grates or other security devices that can be completely concealed during regular business hours. Security guards shall be designed so as not to impact the historic quality of existing buildings.</w:t>
      </w:r>
    </w:p>
    <w:p>
      <w:pPr>
        <w:pStyle w:val="Compact"/>
        <w:numPr>
          <w:ilvl w:val="0"/>
          <w:numId w:val="1337"/>
        </w:numPr>
      </w:pPr>
    </w:p>
    <w:p>
      <w:pPr>
        <w:numPr>
          <w:ilvl w:val="1"/>
          <w:numId w:val="1338"/>
        </w:numPr>
      </w:pPr>
      <w:r>
        <w:t xml:space="preserve">G. Off-Street Parking</w:t>
      </w:r>
    </w:p>
    <w:p>
      <w:pPr>
        <w:numPr>
          <w:ilvl w:val="1"/>
          <w:numId w:val="1000"/>
        </w:numPr>
      </w:pPr>
      <w:r>
        <w:t xml:space="preserve">1. Parking in the D-1 District shall conform to the requirements of Article 14 of this Ordinance.</w:t>
      </w:r>
    </w:p>
    <w:p>
      <w:pPr>
        <w:numPr>
          <w:ilvl w:val="0"/>
          <w:numId w:val="1339"/>
        </w:numPr>
      </w:pPr>
      <w:r>
        <w:t xml:space="preserve">2. Access to parking lots and structures from A Streets is permitted only when the lot has no frontage on a B Street. The permitting authority may waive this provision.</w:t>
      </w:r>
    </w:p>
    <w:p>
      <w:pPr>
        <w:numPr>
          <w:ilvl w:val="0"/>
          <w:numId w:val="1340"/>
        </w:numPr>
      </w:pPr>
      <w:r>
        <w:t xml:space="preserve">3. The maximum width of the driveway access is 24 feet.</w:t>
      </w:r>
    </w:p>
    <w:p>
      <w:pPr>
        <w:numPr>
          <w:ilvl w:val="0"/>
          <w:numId w:val="1341"/>
        </w:numPr>
      </w:pPr>
      <w:r>
        <w:t xml:space="preserve">4. Surface parking is strongly discouraged in the D-1 District, and is permitted only by waiver from the permitting authority as an accessory use subject to the following conditions: a. Accessory use parking lots are permitted only on the same lot as a principal use building.</w:t>
      </w:r>
    </w:p>
    <w:p>
      <w:pPr>
        <w:pStyle w:val="Compact"/>
        <w:numPr>
          <w:ilvl w:val="0"/>
          <w:numId w:val="1342"/>
        </w:numPr>
      </w:pPr>
    </w:p>
    <w:p>
      <w:pPr>
        <w:numPr>
          <w:ilvl w:val="1"/>
          <w:numId w:val="1343"/>
        </w:numPr>
      </w:pPr>
      <w:r>
        <w:t xml:space="preserve">b. On a lot with A Street frontage, accessory use parking lots are prohibited within 20 feet of the A Street. For areas between the parking lot and the A Street that do not contain buildings, such areas shall be landscaped and fenced as required by the permitting authority. Such areas may contain hardscape elements. (Figure 6-3)</w:t>
      </w:r>
    </w:p>
    <w:p>
      <w:pPr>
        <w:pStyle w:val="Compact"/>
        <w:numPr>
          <w:ilvl w:val="0"/>
          <w:numId w:val="1344"/>
        </w:numPr>
      </w:pPr>
    </w:p>
    <w:p>
      <w:pPr>
        <w:numPr>
          <w:ilvl w:val="1"/>
          <w:numId w:val="1345"/>
        </w:numPr>
      </w:pPr>
      <w:r>
        <w:t xml:space="preserve">c. Along B Streets, surface parking shall be separated from the public right-of-way by a landscaped strip in accordance with Section 1504. The permitting authority may require fences and/or walls to buffer the parking.</w:t>
      </w:r>
    </w:p>
    <w:p>
      <w:pPr>
        <w:pStyle w:val="Compact"/>
        <w:numPr>
          <w:ilvl w:val="0"/>
          <w:numId w:val="1346"/>
        </w:numPr>
      </w:pPr>
    </w:p>
    <w:p>
      <w:pPr>
        <w:numPr>
          <w:ilvl w:val="1"/>
          <w:numId w:val="1347"/>
        </w:numPr>
      </w:pPr>
      <w:r>
        <w:t xml:space="preserve">d. The permitting authority may impose a time limit on the waiver that permits surface parking.</w:t>
      </w:r>
    </w:p>
    <w:p>
      <w:pPr>
        <w:pStyle w:val="Compact"/>
        <w:numPr>
          <w:ilvl w:val="0"/>
          <w:numId w:val="1348"/>
        </w:numPr>
      </w:pPr>
    </w:p>
    <w:p>
      <w:pPr>
        <w:numPr>
          <w:ilvl w:val="1"/>
          <w:numId w:val="1349"/>
        </w:numPr>
      </w:pPr>
      <w:r>
        <w:t xml:space="preserve">e. The parking surface shall utilize low-impact-development practices appropriate to an urban environment consistent with city ordinance and state laws to treat and discharge stormwater.</w:t>
      </w:r>
    </w:p>
    <w:p>
      <w:pPr>
        <w:pStyle w:val="Compact"/>
        <w:numPr>
          <w:ilvl w:val="0"/>
          <w:numId w:val="1350"/>
        </w:numPr>
      </w:pPr>
    </w:p>
    <w:p>
      <w:pPr>
        <w:numPr>
          <w:ilvl w:val="1"/>
          <w:numId w:val="1351"/>
        </w:numPr>
      </w:pPr>
      <w:r>
        <w:t xml:space="preserve">f. Light poles shall not exceed 18 feet in height, and their design shall conform to Section 1301.</w:t>
      </w:r>
    </w:p>
    <w:p>
      <w:pPr>
        <w:pStyle w:val="Compact"/>
        <w:numPr>
          <w:ilvl w:val="0"/>
          <w:numId w:val="1352"/>
        </w:numPr>
      </w:pPr>
    </w:p>
    <w:p>
      <w:pPr>
        <w:numPr>
          <w:ilvl w:val="1"/>
          <w:numId w:val="1353"/>
        </w:numPr>
      </w:pPr>
      <w:r>
        <w:t xml:space="preserve">g. The permitting authority may impose further conditions to ensure that surface parking areas do not have a negative impact on the surroundings.</w:t>
      </w:r>
    </w:p>
    <w:p>
      <w:pPr>
        <w:pStyle w:val="Compact"/>
        <w:numPr>
          <w:ilvl w:val="0"/>
          <w:numId w:val="1354"/>
        </w:numPr>
      </w:pPr>
    </w:p>
    <w:p>
      <w:pPr>
        <w:numPr>
          <w:ilvl w:val="1"/>
          <w:numId w:val="1355"/>
        </w:numPr>
      </w:pPr>
      <w:r>
        <w:t xml:space="preserve">h. Notwithstanding provisions in this ordinance to the contrary, surface parking in the D-1 District that was permitted by variance or other zoning relief granted by the City and in effect as of December 31, 2024, but for which such approval shall have expired thereafter, the expiration date for such approval shall be tolled until December 31, 2029.</w:t>
      </w:r>
    </w:p>
    <w:p>
      <w:pPr>
        <w:pStyle w:val="Compact"/>
        <w:numPr>
          <w:ilvl w:val="0"/>
          <w:numId w:val="1356"/>
        </w:numPr>
      </w:pPr>
    </w:p>
    <w:p>
      <w:pPr>
        <w:numPr>
          <w:ilvl w:val="1"/>
          <w:numId w:val="1357"/>
        </w:numPr>
      </w:pPr>
      <w:r>
        <w:t xml:space="preserve">H. Loading Off street loading docks and areas shall be provided in accordance with Article 14 of this Ordinance and the following provisions:</w:t>
      </w:r>
    </w:p>
    <w:p>
      <w:pPr>
        <w:numPr>
          <w:ilvl w:val="0"/>
          <w:numId w:val="1358"/>
        </w:numPr>
      </w:pPr>
      <w:r>
        <w:t xml:space="preserve">1. Access to loading docks and areas from A Streets is permitted only when the lot has no frontage on a B Street. The permitting authority may waive this provision.</w:t>
      </w:r>
    </w:p>
    <w:p>
      <w:pPr>
        <w:numPr>
          <w:ilvl w:val="0"/>
          <w:numId w:val="1359"/>
        </w:numPr>
      </w:pPr>
      <w:r>
        <w:t xml:space="preserve">2. Exterior loading docks are prohibited.</w:t>
      </w:r>
    </w:p>
    <w:p>
      <w:pPr>
        <w:numPr>
          <w:ilvl w:val="0"/>
          <w:numId w:val="1360"/>
        </w:numPr>
      </w:pPr>
      <w:r>
        <w:t xml:space="preserve">3. Interior loading shall be screened from view by solid, non-transparent doors which shall remain closed when the loading dock is not in use. The doors used to screen the docks shall be designed to be consistent with similar building elements, such as windows and doors, to reduce the industrial appearance of the loading area and be constructed of materials found elsewhere on the building.</w:t>
      </w:r>
    </w:p>
    <w:p>
      <w:pPr>
        <w:numPr>
          <w:ilvl w:val="0"/>
          <w:numId w:val="1361"/>
        </w:numPr>
      </w:pPr>
      <w:r>
        <w:t xml:space="preserve">4. The maximum width of the driveway access to the loading dock/area is 24 feet. Wider curb cuts may be permitted by waiver if it is demonstrated that loading cannot be reasonably accessed given site conditions.</w:t>
      </w:r>
    </w:p>
    <w:p>
      <w:pPr>
        <w:pStyle w:val="Compact"/>
        <w:numPr>
          <w:ilvl w:val="0"/>
          <w:numId w:val="1362"/>
        </w:numPr>
      </w:pPr>
    </w:p>
    <w:p>
      <w:pPr>
        <w:numPr>
          <w:ilvl w:val="1"/>
          <w:numId w:val="1363"/>
        </w:numPr>
      </w:pPr>
      <w:r>
        <w:t xml:space="preserve">I. View Corridors</w:t>
      </w:r>
    </w:p>
    <w:p>
      <w:pPr>
        <w:numPr>
          <w:ilvl w:val="1"/>
          <w:numId w:val="1000"/>
        </w:numPr>
      </w:pPr>
      <w:r>
        <w:t xml:space="preserve">1. View corridors are hereby established along Peck Street, Orange Street, Dorrance Street, Ship Street, Elm Street, and South Street to preserve important views to and from the Providence riverfront. The six view corridors shall be uninterrupted physical extensions of the existing right-ofway width and geometry of said streets, and extend to the riverfront edge, as indicated in the illustration below. Structures or landscaping located within view corridors shall not exceed a height of three feet. The permitting authority may waive this provision.</w:t>
      </w:r>
    </w:p>
    <w:p>
      <w:pPr>
        <w:numPr>
          <w:ilvl w:val="0"/>
          <w:numId w:val="1364"/>
        </w:numPr>
      </w:pPr>
      <w:r>
        <w:t xml:space="preserve">2. The view corridor streets are as follows: (Figure 6-4)</w:t>
      </w:r>
    </w:p>
    <w:p>
      <w:pPr>
        <w:pStyle w:val="Compact"/>
        <w:numPr>
          <w:ilvl w:val="0"/>
          <w:numId w:val="1365"/>
        </w:numPr>
      </w:pPr>
    </w:p>
    <w:p>
      <w:pPr>
        <w:numPr>
          <w:ilvl w:val="1"/>
          <w:numId w:val="1366"/>
        </w:numPr>
      </w:pPr>
      <w:r>
        <w:t xml:space="preserve">a. Peck Street, southeast from its intersection with Memorial Boulevard, to the Providence River</w:t>
      </w:r>
    </w:p>
    <w:p>
      <w:pPr>
        <w:numPr>
          <w:ilvl w:val="1"/>
          <w:numId w:val="1000"/>
        </w:numPr>
      </w:pPr>
      <w:r>
        <w:t xml:space="preserve">b. Orange Street, southeast from its intersection with Memorial Boulevard, to the Providence River</w:t>
      </w:r>
    </w:p>
    <w:p>
      <w:pPr>
        <w:numPr>
          <w:ilvl w:val="1"/>
          <w:numId w:val="1000"/>
        </w:numPr>
      </w:pPr>
      <w:r>
        <w:t xml:space="preserve">c. Dorrance Street, southeast from its intersection with Memorial Boulevard, to the Providence River</w:t>
      </w:r>
    </w:p>
    <w:p>
      <w:pPr>
        <w:pStyle w:val="Compact"/>
        <w:numPr>
          <w:ilvl w:val="0"/>
          <w:numId w:val="1367"/>
        </w:numPr>
      </w:pPr>
    </w:p>
    <w:p>
      <w:pPr>
        <w:numPr>
          <w:ilvl w:val="1"/>
          <w:numId w:val="1368"/>
        </w:numPr>
      </w:pPr>
      <w:r>
        <w:t xml:space="preserve">d. Ship Street, northeast from its intersection with Memorial Boulevard, to the Providence River</w:t>
      </w:r>
    </w:p>
    <w:p>
      <w:pPr>
        <w:numPr>
          <w:ilvl w:val="1"/>
          <w:numId w:val="1000"/>
        </w:numPr>
      </w:pPr>
      <w:r>
        <w:t xml:space="preserve">e. Elm Street, northeast from its intersection with Memorial Boulevard, to the Providence River</w:t>
      </w:r>
    </w:p>
    <w:p>
      <w:pPr>
        <w:numPr>
          <w:ilvl w:val="1"/>
          <w:numId w:val="1000"/>
        </w:numPr>
      </w:pPr>
      <w:r>
        <w:t xml:space="preserve">f. South Street, northeast from its intersection with Memorial Boulevard, to the Providence River</w:t>
      </w:r>
    </w:p>
    <w:bookmarkEnd w:id="52"/>
    <w:bookmarkStart w:id="53" w:name="X9250764464476420f7f7fac377bab0ac0f5f54c"/>
    <w:p>
      <w:pPr>
        <w:pStyle w:val="Heading2"/>
      </w:pPr>
      <w:r>
        <w:t xml:space="preserve">§ 605. DESIGN STANDARDS FOR ALTERATIONS TO EXISTING BUILDINGS</w:t>
      </w:r>
    </w:p>
    <w:p>
      <w:pPr>
        <w:pStyle w:val="FirstParagraph"/>
      </w:pPr>
      <w:r>
        <w:t xml:space="preserve">605 DESIGN STANDARDS FOR ALTERATIONS TO EXISTING BUILDINGS All exterior work on existing buildings in the D-1 District is subject to approval by the permitting authority and shall be regulated by these standards. The purpose of these standards is to preserve the urban fabric, and, in particular, the historic character of Downtown Providence. These standards are intended to preserve and restore the architectural integrity and historic character of buildings in the D-1 District.</w:t>
      </w:r>
    </w:p>
    <w:p>
      <w:pPr>
        <w:numPr>
          <w:ilvl w:val="0"/>
          <w:numId w:val="1369"/>
        </w:numPr>
      </w:pPr>
      <w:r>
        <w:t xml:space="preserve">A. The existing scale and proportions of buildings and streetscapes shall be preserved. The permitting authority shall review the following:</w:t>
      </w:r>
    </w:p>
    <w:p>
      <w:pPr>
        <w:numPr>
          <w:ilvl w:val="0"/>
          <w:numId w:val="1370"/>
        </w:numPr>
      </w:pPr>
      <w:r>
        <w:t xml:space="preserve">1. The preservation, repair or replacement of building features using the Secretary of the Interior’s Standards for the Treatment of Historic Properties, promulgated by the National Parks Service (Secretary’s Standards) as guidelines, which are hereby incorporated by reference.</w:t>
      </w:r>
    </w:p>
    <w:p>
      <w:pPr>
        <w:numPr>
          <w:ilvl w:val="0"/>
          <w:numId w:val="1371"/>
        </w:numPr>
      </w:pPr>
      <w:r>
        <w:t xml:space="preserve">2. Existing structures that have been designed for retail use on the first floor shall retain this design. Where such design no longer exists but would be compatible with the character of the building, applicants are encouraged to recreate the storefront design on the first floor.</w:t>
      </w:r>
    </w:p>
    <w:p>
      <w:pPr>
        <w:numPr>
          <w:ilvl w:val="0"/>
          <w:numId w:val="1372"/>
        </w:numPr>
      </w:pPr>
      <w:r>
        <w:t xml:space="preserve">3. The restoration or reconstruction of a building that has been altered through the years, using the Secretary’s Standards as guidelines. The Downtown Design Review Committee or permitting authority should consider pictorial, documentary, or physical evidence of the original configuration when reviewing applications.</w:t>
      </w:r>
    </w:p>
    <w:p>
      <w:pPr>
        <w:numPr>
          <w:ilvl w:val="0"/>
          <w:numId w:val="1373"/>
        </w:numPr>
      </w:pPr>
      <w:r>
        <w:t xml:space="preserve">4. New additions of less than 5,000 square feet of gross floor area, exterior alterations, or related new construction, using the Secretary’s Standards as guidelines. Additions of 5,000 square feet of gross floor area or more shall be treated as new construction subject to Section 606.</w:t>
      </w:r>
    </w:p>
    <w:p>
      <w:pPr>
        <w:numPr>
          <w:ilvl w:val="0"/>
          <w:numId w:val="1374"/>
        </w:numPr>
      </w:pPr>
      <w:r>
        <w:t xml:space="preserve">5. The transparency of building facades. Transparency shall be at least 70% of the wall area, between the height of one and 12 feet above grade, of each building façade. Renovations of the first floor of existing buildings shall not decrease the area of transparency, and, if the transparency area is less than 70% of the wall area, shall increase the amount of transparency in accordance with requirements for new construction. All buildings shall meet this requirement unless the original historic character of the ground-floor building facade has less than 70% transparency. Upper story transparency shall not be reduced from its original design.</w:t>
      </w:r>
    </w:p>
    <w:p>
      <w:pPr>
        <w:numPr>
          <w:ilvl w:val="0"/>
          <w:numId w:val="1375"/>
        </w:numPr>
      </w:pPr>
      <w:r>
        <w:t xml:space="preserve">6. The design of all awnings to ensure that the design is in character with the building.</w:t>
      </w:r>
    </w:p>
    <w:p>
      <w:pPr>
        <w:numPr>
          <w:ilvl w:val="0"/>
          <w:numId w:val="1376"/>
        </w:numPr>
      </w:pPr>
      <w:r>
        <w:t xml:space="preserve">7. The installation of security devices to ensure that they are designed so as not to impact the historic quality of the building.</w:t>
      </w:r>
    </w:p>
    <w:bookmarkEnd w:id="53"/>
    <w:bookmarkStart w:id="54" w:name="design-standards-for-new-construction"/>
    <w:p>
      <w:pPr>
        <w:pStyle w:val="Heading2"/>
      </w:pPr>
      <w:r>
        <w:t xml:space="preserve">§ 606. DESIGN STANDARDS FOR NEW CONSTRUCTION</w:t>
      </w:r>
    </w:p>
    <w:p>
      <w:pPr>
        <w:pStyle w:val="FirstParagraph"/>
      </w:pPr>
      <w:r>
        <w:t xml:space="preserve">606 DESIGN STANDARDS FOR NEW CONSTRUCTION All new construction, including additions of 5,000 square feet of gross floor area shall be approved by the permitting authority and regulated by these standards. The purpose of these standards is to preserve the urban fabric of Downtown Providence and ensure that new construction complements the historic character and architectural integrity of existing structures. The following are minimum standards for all new construction:</w:t>
      </w:r>
    </w:p>
    <w:p>
      <w:pPr>
        <w:numPr>
          <w:ilvl w:val="0"/>
          <w:numId w:val="1377"/>
        </w:numPr>
      </w:pPr>
      <w:r>
        <w:t xml:space="preserve">A. Building Height and Massing</w:t>
      </w:r>
    </w:p>
    <w:p>
      <w:pPr>
        <w:numPr>
          <w:ilvl w:val="0"/>
          <w:numId w:val="1000"/>
        </w:numPr>
      </w:pPr>
      <w:r>
        <w:t xml:space="preserve">1. Buildings shall be at least three stories in height. The permitting authority may grant a waiver to allow a building of two stories. (Figure 6-5)</w:t>
      </w:r>
    </w:p>
    <w:p>
      <w:pPr>
        <w:numPr>
          <w:ilvl w:val="0"/>
          <w:numId w:val="1378"/>
        </w:numPr>
      </w:pPr>
      <w:r>
        <w:t xml:space="preserve">2. Building height and massing shall relate to adjacent structures. (Figure 6-5) This provision may be waived by the permitting authority.</w:t>
      </w:r>
    </w:p>
    <w:p>
      <w:pPr>
        <w:numPr>
          <w:ilvl w:val="0"/>
          <w:numId w:val="1379"/>
        </w:numPr>
      </w:pPr>
      <w:r>
        <w:t xml:space="preserve">3. Ground floors shall be a minimum of 12 feet from floor to ceiling to enhance the pedestrian streetscape, regardless of the overall building height. However, the first-floor height of additions may align with the first-floor height of the existing building. (Figure 6-5)</w:t>
      </w:r>
    </w:p>
    <w:p>
      <w:pPr>
        <w:numPr>
          <w:ilvl w:val="0"/>
          <w:numId w:val="1380"/>
        </w:numPr>
      </w:pPr>
      <w:r>
        <w:t xml:space="preserve">4. On both A and B Street facades, buildings over six stories shall have a recess line of at least ten feet above the third story and below the seventh story. The recess line should relate to the form of any buildings adjacent to or across the street from the building. The permitting authority may grant a waiver to allow a building in excess of six stories not to have a recess line if it is determined that the building can exist compatibly with neighboring buildings. In such cases, a transition line may be required. (Figure 6-5)</w:t>
      </w:r>
    </w:p>
    <w:p>
      <w:pPr>
        <w:pStyle w:val="Compact"/>
        <w:numPr>
          <w:ilvl w:val="0"/>
          <w:numId w:val="1381"/>
        </w:numPr>
      </w:pPr>
    </w:p>
    <w:p>
      <w:pPr>
        <w:numPr>
          <w:ilvl w:val="1"/>
          <w:numId w:val="1382"/>
        </w:numPr>
      </w:pPr>
      <w:r>
        <w:t xml:space="preserve">B. Building Materials</w:t>
      </w:r>
    </w:p>
    <w:p>
      <w:pPr>
        <w:numPr>
          <w:ilvl w:val="1"/>
          <w:numId w:val="1000"/>
        </w:numPr>
      </w:pPr>
      <w:r>
        <w:t xml:space="preserve">1. The primary exterior finish materials on the facade shall be brick, limestone, sandstone, granite, terra cotta, cast stone, glass, metal, painted wood, cement-based composites, phenolic resinbased composites, or other similar material.</w:t>
      </w:r>
    </w:p>
    <w:p>
      <w:pPr>
        <w:numPr>
          <w:ilvl w:val="0"/>
          <w:numId w:val="1383"/>
        </w:numPr>
      </w:pPr>
      <w:r>
        <w:t xml:space="preserve">2. The use of non-durable materials such as vinyl and other similar products is prohibited on the first floor and discouraged on upper floors.</w:t>
      </w:r>
    </w:p>
    <w:p>
      <w:pPr>
        <w:numPr>
          <w:ilvl w:val="0"/>
          <w:numId w:val="1384"/>
        </w:numPr>
      </w:pPr>
      <w:r>
        <w:t xml:space="preserve">3. Exterior insulating finish systems (EIFS) is permitted on the ground floor by waiver from the permitting authority. An application for waiver under this subsection shall be approved provided that the following conditions are satisfied: a. Only EIFS that include an integral air and moisture barrier is permitted.</w:t>
      </w:r>
    </w:p>
    <w:p>
      <w:pPr>
        <w:pStyle w:val="Compact"/>
        <w:numPr>
          <w:ilvl w:val="0"/>
          <w:numId w:val="1385"/>
        </w:numPr>
      </w:pPr>
    </w:p>
    <w:p>
      <w:pPr>
        <w:numPr>
          <w:ilvl w:val="1"/>
          <w:numId w:val="1386"/>
        </w:numPr>
      </w:pPr>
      <w:r>
        <w:t xml:space="preserve">b. So that it is impact resistant, for areas up to 8 feet above grade, the EIFS shall include a base mesh layer weighing a minimum 20 oz./sq. yd., followed by a second mesh layer weighing a minimum of 4 oz./sq. yd. For all areas exposed to direct impact higher than 8 feet above grade (such as balconies), the use of a single layer of reinforcing mesh with a minimum weight of 12 oz./sq. yd. is required.</w:t>
      </w:r>
    </w:p>
    <w:p>
      <w:pPr>
        <w:pStyle w:val="Compact"/>
        <w:numPr>
          <w:ilvl w:val="0"/>
          <w:numId w:val="1387"/>
        </w:numPr>
      </w:pPr>
    </w:p>
    <w:p>
      <w:pPr>
        <w:numPr>
          <w:ilvl w:val="1"/>
          <w:numId w:val="1388"/>
        </w:numPr>
      </w:pPr>
      <w:r>
        <w:t xml:space="preserve">c. The material shall be an aesthetically-appropriate facsimile of stone, brick, stucco, metal panel, or other traditional building material.</w:t>
      </w:r>
    </w:p>
    <w:p>
      <w:pPr>
        <w:pStyle w:val="Compact"/>
        <w:numPr>
          <w:ilvl w:val="0"/>
          <w:numId w:val="1389"/>
        </w:numPr>
      </w:pPr>
    </w:p>
    <w:p>
      <w:pPr>
        <w:numPr>
          <w:ilvl w:val="1"/>
          <w:numId w:val="1390"/>
        </w:numPr>
      </w:pPr>
      <w:r>
        <w:t xml:space="preserve">d. Removal or covering of historic features in order to install EIFS shall be prohibited.</w:t>
      </w:r>
    </w:p>
    <w:p>
      <w:pPr>
        <w:pStyle w:val="Compact"/>
        <w:numPr>
          <w:ilvl w:val="0"/>
          <w:numId w:val="1391"/>
        </w:numPr>
      </w:pPr>
    </w:p>
    <w:p>
      <w:pPr>
        <w:numPr>
          <w:ilvl w:val="1"/>
          <w:numId w:val="1392"/>
        </w:numPr>
      </w:pPr>
      <w:r>
        <w:t xml:space="preserve">C. Entrance Design</w:t>
      </w:r>
    </w:p>
    <w:p>
      <w:pPr>
        <w:numPr>
          <w:ilvl w:val="1"/>
          <w:numId w:val="1000"/>
        </w:numPr>
      </w:pPr>
      <w:r>
        <w:t xml:space="preserve">1. Buildings shall have their main entrance from a sidewalk on an A Street, or if the building has no A Street frontage, on a B Street.</w:t>
      </w:r>
    </w:p>
    <w:p>
      <w:pPr>
        <w:numPr>
          <w:ilvl w:val="0"/>
          <w:numId w:val="1393"/>
        </w:numPr>
      </w:pPr>
      <w:r>
        <w:t xml:space="preserve">2. Buildings shall be designed to have multiple entrances, with no more than 35 feet between entrances. This provision may be waived by the permitting authority.</w:t>
      </w:r>
    </w:p>
    <w:p>
      <w:pPr>
        <w:pStyle w:val="Compact"/>
        <w:numPr>
          <w:ilvl w:val="0"/>
          <w:numId w:val="1394"/>
        </w:numPr>
      </w:pPr>
    </w:p>
    <w:p>
      <w:pPr>
        <w:numPr>
          <w:ilvl w:val="1"/>
          <w:numId w:val="1395"/>
        </w:numPr>
      </w:pPr>
      <w:r>
        <w:t xml:space="preserve">D. Façade Design</w:t>
      </w:r>
    </w:p>
    <w:p>
      <w:pPr>
        <w:numPr>
          <w:ilvl w:val="1"/>
          <w:numId w:val="1000"/>
        </w:numPr>
      </w:pPr>
      <w:r>
        <w:t xml:space="preserve">1. Building facades shall be built within a build-to zone of between zero and eight feet from the street line. Such facades shall occupy this build-to zone for at least 80% of each lot frontage of the property. These provisions may be waived to create court yards, wider sidewalks, open space, and/or outdoor seating. It is preferable that such areas contribute to a planned network of connected pedestrian and bike ways and parks. These provisions may also be waived to create accessory parking areas along B Streets developed in accordance with Section 604.G.4. (Figure 6- 6)</w:t>
      </w:r>
    </w:p>
    <w:p>
      <w:pPr>
        <w:pStyle w:val="Compact"/>
        <w:numPr>
          <w:ilvl w:val="0"/>
          <w:numId w:val="1396"/>
        </w:numPr>
      </w:pPr>
    </w:p>
    <w:p>
      <w:pPr>
        <w:pStyle w:val="Compact"/>
        <w:numPr>
          <w:ilvl w:val="1"/>
          <w:numId w:val="1397"/>
        </w:numPr>
      </w:pPr>
    </w:p>
    <w:p>
      <w:pPr>
        <w:numPr>
          <w:ilvl w:val="2"/>
          <w:numId w:val="1398"/>
        </w:numPr>
      </w:pPr>
      <w:r>
        <w:t xml:space="preserve">a. Where the lot frontage is curved, the facade shall follow. The permitting authority may grant a waiver to permit the building to be built on the chord or the tangent.</w:t>
      </w:r>
    </w:p>
    <w:p>
      <w:pPr>
        <w:numPr>
          <w:ilvl w:val="0"/>
          <w:numId w:val="1399"/>
        </w:numPr>
      </w:pPr>
      <w:r>
        <w:t xml:space="preserve">2. A building facade shall have a transition line. Transition lines shall be designed in proportion to the overall height and mass of the proposed building to create a distinction between upper and lower stories. Transition lines shall relate to existing adjoining buildings (Figure 6-7). This provision may be waived by the permitting authority.</w:t>
      </w:r>
    </w:p>
    <w:p>
      <w:pPr>
        <w:pStyle w:val="Compact"/>
        <w:numPr>
          <w:ilvl w:val="0"/>
          <w:numId w:val="1400"/>
        </w:numPr>
      </w:pPr>
    </w:p>
    <w:p>
      <w:pPr>
        <w:numPr>
          <w:ilvl w:val="1"/>
          <w:numId w:val="1401"/>
        </w:numPr>
      </w:pPr>
      <w:r>
        <w:t xml:space="preserve">E. Fenestration Design</w:t>
      </w:r>
    </w:p>
    <w:p>
      <w:pPr>
        <w:numPr>
          <w:ilvl w:val="1"/>
          <w:numId w:val="1000"/>
        </w:numPr>
      </w:pPr>
      <w:r>
        <w:t xml:space="preserve">1. All building facades shall provide areas of transparency equal to at least 70% of the wall area, between the height of one and 12 feet from the ground, of each building facade. This provision may be waived by the permitting authority. (Figure 6-8)</w:t>
      </w:r>
    </w:p>
    <w:p>
      <w:pPr>
        <w:numPr>
          <w:ilvl w:val="0"/>
          <w:numId w:val="1402"/>
        </w:numPr>
      </w:pPr>
      <w:r>
        <w:t xml:space="preserve">2. Blank walls shall be separated by areas of transparency of at least three feet in width. This provision may be waived by the permitting authority. (Figure 6-8)</w:t>
      </w:r>
    </w:p>
    <w:p>
      <w:pPr>
        <w:numPr>
          <w:ilvl w:val="0"/>
          <w:numId w:val="1403"/>
        </w:numPr>
      </w:pPr>
      <w:r>
        <w:t xml:space="preserve">3. Upper story façade shall provide areas of transparency equal to at least 35% of the wall area of the story. For parking structures, the area of transparency may be met with windowless openings. This provision may be waived by the permitting authority. (Figure 6-8)</w:t>
      </w:r>
    </w:p>
    <w:p>
      <w:pPr>
        <w:numPr>
          <w:ilvl w:val="0"/>
          <w:numId w:val="1404"/>
        </w:numPr>
      </w:pPr>
      <w:r>
        <w:t xml:space="preserve">4. Windows shall only be composed of clear or lightly tinted glass. Highly reflective window coatings are prohibited.</w:t>
      </w:r>
    </w:p>
    <w:p>
      <w:pPr>
        <w:pStyle w:val="Compact"/>
        <w:numPr>
          <w:ilvl w:val="0"/>
          <w:numId w:val="1405"/>
        </w:numPr>
      </w:pPr>
    </w:p>
    <w:p>
      <w:pPr>
        <w:numPr>
          <w:ilvl w:val="1"/>
          <w:numId w:val="1406"/>
        </w:numPr>
      </w:pPr>
      <w:r>
        <w:t xml:space="preserve">F. Parking Structure Design The following design standards apply to the construction of new parking structures, and may be waived by the permitting authority.</w:t>
      </w:r>
    </w:p>
    <w:p>
      <w:pPr>
        <w:numPr>
          <w:ilvl w:val="0"/>
          <w:numId w:val="1407"/>
        </w:numPr>
      </w:pPr>
      <w:r>
        <w:t xml:space="preserve">1. Parking structure openings which face any street shall be horizontally and vertically aligned. (Figure 6-9)</w:t>
      </w:r>
    </w:p>
    <w:p>
      <w:pPr>
        <w:numPr>
          <w:ilvl w:val="0"/>
          <w:numId w:val="1408"/>
        </w:numPr>
      </w:pPr>
      <w:r>
        <w:t xml:space="preserve">2. Parking structure access ramps shall not be exposed on A Street facades.</w:t>
      </w:r>
    </w:p>
    <w:p>
      <w:pPr>
        <w:numPr>
          <w:ilvl w:val="0"/>
          <w:numId w:val="1409"/>
        </w:numPr>
      </w:pPr>
      <w:r>
        <w:t xml:space="preserve">3. Parking structure facades shall conceal from view the entirety of all parked vehicles from view of a pedestrian from within the portion of right-of-way of an A Street abutting the property containing the parking structure. (Figure 6-10)</w:t>
      </w:r>
    </w:p>
    <w:bookmarkEnd w:id="54"/>
    <w:bookmarkStart w:id="55" w:name="general-standards-of-applicability-2"/>
    <w:p>
      <w:pPr>
        <w:pStyle w:val="Heading2"/>
      </w:pPr>
      <w:r>
        <w:t xml:space="preserve">§ 607. GENERAL STANDARDS OF APPLICABILITY</w:t>
      </w:r>
    </w:p>
    <w:p>
      <w:pPr>
        <w:pStyle w:val="FirstParagraph"/>
      </w:pPr>
      <w:r>
        <w:t xml:space="preserve">607 GENERAL STANDARDS OF APPLICABILITY</w:t>
      </w:r>
    </w:p>
    <w:p>
      <w:pPr>
        <w:pStyle w:val="BodyText"/>
      </w:pPr>
      <w:r>
        <w:t xml:space="preserve">A. Site Development Standards</w:t>
      </w:r>
    </w:p>
    <w:p>
      <w:pPr>
        <w:pStyle w:val="BodyText"/>
      </w:pPr>
      <w:r>
        <w:t xml:space="preserve">See Article 13 for additional site development standards and requirements, such as exterior lighting, accessory structures and uses, and permitted encroachments.</w:t>
      </w:r>
    </w:p>
    <w:p>
      <w:pPr>
        <w:numPr>
          <w:ilvl w:val="0"/>
          <w:numId w:val="1410"/>
        </w:numPr>
      </w:pPr>
      <w:r>
        <w:t xml:space="preserve">B. Off-Street Parking and Loading See Article 14 for off-street parking and loading standards.</w:t>
      </w:r>
    </w:p>
    <w:p>
      <w:pPr>
        <w:numPr>
          <w:ilvl w:val="0"/>
          <w:numId w:val="1411"/>
        </w:numPr>
      </w:pPr>
      <w:r>
        <w:t xml:space="preserve">C. Trees and Landscaping See Article 15 for landscape requirements.</w:t>
      </w:r>
    </w:p>
    <w:p>
      <w:pPr>
        <w:numPr>
          <w:ilvl w:val="0"/>
          <w:numId w:val="1412"/>
        </w:numPr>
      </w:pPr>
      <w:r>
        <w:t xml:space="preserve">D. Signs See Article 16 for sign standards.</w:t>
      </w:r>
    </w:p>
    <w:bookmarkEnd w:id="55"/>
    <w:bookmarkStart w:id="56" w:name="institutional-districts"/>
    <w:p>
      <w:pPr>
        <w:pStyle w:val="Heading1"/>
      </w:pPr>
      <w:r>
        <w:t xml:space="preserve">§ 7. INSTITUTIONAL DISTRICTS</w:t>
      </w:r>
    </w:p>
    <w:p>
      <w:pPr>
        <w:pStyle w:val="FirstParagraph"/>
      </w:pPr>
      <w:r>
        <w:t xml:space="preserve">ARTICLE 7. INSTITUTIONAL DISTRICTS 701 USES 702 DIMENSIONAL STANDARDS</w:t>
      </w:r>
    </w:p>
    <w:bookmarkEnd w:id="56"/>
    <w:bookmarkStart w:id="57" w:name="purpose-statements-3"/>
    <w:p>
      <w:pPr>
        <w:pStyle w:val="Heading2"/>
      </w:pPr>
      <w:r>
        <w:t xml:space="preserve">§ 700. PURPOSE STATEMENTS</w:t>
      </w:r>
    </w:p>
    <w:p>
      <w:pPr>
        <w:pStyle w:val="FirstParagraph"/>
      </w:pPr>
      <w:r>
        <w:t xml:space="preserve">700 PURPOSE STATEMENTS</w:t>
      </w:r>
    </w:p>
    <w:p>
      <w:pPr>
        <w:pStyle w:val="BodyText"/>
      </w:pPr>
      <w:r>
        <w:t xml:space="preserve">A. I-1 Healthcare Institutional District The I-1 Healthcare Institutional District is intended to permit health care facilities and their expansion in a planned manner while protecting the surrounding neighborhoods. The I-1 District is divided into two height sub-districts: the I-1-75 Sub-district that allows a maximum height of 75 feet, and the I-1-200 Sub-district that allows a maximum height of 200 feet.</w:t>
      </w:r>
    </w:p>
    <w:p>
      <w:pPr>
        <w:numPr>
          <w:ilvl w:val="0"/>
          <w:numId w:val="1413"/>
        </w:numPr>
      </w:pPr>
      <w:r>
        <w:t xml:space="preserve">B. I-2 Educational Institutional District The I-2 Educational Institutional District is intended to permit higher education institutions and their expansion in a planned manner while protecting the surrounding neighborhoods.</w:t>
      </w:r>
    </w:p>
    <w:bookmarkEnd w:id="57"/>
    <w:bookmarkStart w:id="58" w:name="uses-3"/>
    <w:p>
      <w:pPr>
        <w:pStyle w:val="Heading2"/>
      </w:pPr>
      <w:r>
        <w:t xml:space="preserve">§ 701. USES</w:t>
      </w:r>
    </w:p>
    <w:p>
      <w:pPr>
        <w:pStyle w:val="FirstParagraph"/>
      </w:pPr>
      <w:r>
        <w:t xml:space="preserve">701 USES Article 12 lists permitted and special principal uses and temporary uses for the institutional districts.</w:t>
      </w:r>
    </w:p>
    <w:bookmarkEnd w:id="58"/>
    <w:bookmarkStart w:id="59" w:name="dimensional-standards-3"/>
    <w:p>
      <w:pPr>
        <w:pStyle w:val="Heading2"/>
      </w:pPr>
      <w:r>
        <w:t xml:space="preserve">§ 702. DIMENSIONAL STANDARDS</w:t>
      </w:r>
    </w:p>
    <w:p>
      <w:pPr>
        <w:pStyle w:val="FirstParagraph"/>
      </w:pPr>
      <w:r>
        <w:t xml:space="preserve">702 DIMENSIONAL STANDARDS Table 7-1: Institutional District Dimensional Standards establishes the dimensional standards for the institutional districts. These regulations apply to all uses within each district unless a different standard is listed for a specific use.</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pStyle w:val="Compact"/>
            </w:pPr>
          </w:p>
        </w:tc>
        <w:tc>
          <w:tcPr/>
          <w:p>
            <w:pPr>
              <w:pStyle w:val="Compact"/>
            </w:pPr>
          </w:p>
        </w:tc>
        <w:tc>
          <w:tcPr/>
          <w:p>
            <w:pPr>
              <w:pStyle w:val="Compact"/>
              <w:jc w:val="left"/>
            </w:pPr>
            <w:r>
              <w:t xml:space="preserve">TABLE 7-1: INSTITUTIONAL DISTRICT</w:t>
            </w:r>
          </w:p>
        </w:tc>
        <w:tc>
          <w:tcPr/>
          <w:p>
            <w:pPr>
              <w:pStyle w:val="Compact"/>
              <w:jc w:val="left"/>
            </w:pPr>
            <w:r>
              <w:t xml:space="preserve">DIMENSIONAL STANDARDS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I-1</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jc w:val="left"/>
            </w:pPr>
            <w:r>
              <w:t xml:space="preserve">I-2</w:t>
            </w:r>
          </w:p>
        </w:tc>
        <w:tc>
          <w:tcPr/>
          <w:p>
            <w:pPr>
              <w:pStyle w:val="Compact"/>
            </w:pPr>
          </w:p>
        </w:tc>
      </w:tr>
      <w:tr>
        <w:tc>
          <w:tcPr/>
          <w:p>
            <w:pPr>
              <w:pStyle w:val="Compact"/>
            </w:pPr>
          </w:p>
        </w:tc>
        <w:tc>
          <w:tcPr/>
          <w:p>
            <w:pPr>
              <w:pStyle w:val="Compact"/>
            </w:pPr>
          </w:p>
        </w:tc>
        <w:tc>
          <w:tcPr/>
          <w:p>
            <w:pPr>
              <w:pStyle w:val="Compact"/>
              <w:jc w:val="left"/>
            </w:pPr>
            <w:r>
              <w:t xml:space="preserve">I-1-75</w:t>
            </w:r>
          </w:p>
        </w:tc>
        <w:tc>
          <w:tcPr/>
          <w:p>
            <w:pPr>
              <w:pStyle w:val="Compact"/>
              <w:jc w:val="left"/>
            </w:pPr>
            <w:r>
              <w:t xml:space="preserve">I-1-200</w:t>
            </w:r>
          </w:p>
        </w:tc>
        <w:tc>
          <w:tcPr/>
          <w:p>
            <w:pPr>
              <w:pStyle w:val="Compact"/>
            </w:pPr>
          </w:p>
        </w:tc>
        <w:tc>
          <w:tcPr/>
          <w:p>
            <w:pPr>
              <w:pStyle w:val="Compact"/>
            </w:pPr>
          </w:p>
        </w:tc>
      </w:tr>
      <w:tr>
        <w:tc>
          <w:tcPr/>
          <w:p>
            <w:pPr>
              <w:pStyle w:val="Compact"/>
            </w:pPr>
          </w:p>
        </w:tc>
        <w:tc>
          <w:tcPr/>
          <w:p>
            <w:pPr>
              <w:pStyle w:val="Compact"/>
              <w:jc w:val="left"/>
            </w:pPr>
            <w:r>
              <w:t xml:space="preserve">Bulk Standards</w:t>
            </w: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Minimum Lot Area</w:t>
            </w:r>
          </w:p>
        </w:tc>
        <w:tc>
          <w:tcPr/>
          <w:p>
            <w:pPr>
              <w:pStyle w:val="Compact"/>
              <w:jc w:val="left"/>
            </w:pPr>
            <w:r>
              <w:t xml:space="preserve">None</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Maximum Building Height</w:t>
            </w:r>
          </w:p>
        </w:tc>
        <w:tc>
          <w:tcPr/>
          <w:p>
            <w:pPr>
              <w:pStyle w:val="Compact"/>
              <w:jc w:val="left"/>
            </w:pPr>
            <w:r>
              <w:t xml:space="preserve">75’ with following setback/height sliding scale:  When a residential district is located on the opposite side of the street, then 30’ height at lot line then 1’ additional in height for each 1’ additional setback up to 75 ’. (Figure 7-1)  When abutting a residential district, then 40’ height at lot line for 30’ setback then 1’ additional in height for each 1’ additional setback up to 75’. (Figure 7-2)</w:t>
            </w:r>
          </w:p>
        </w:tc>
        <w:tc>
          <w:tcPr/>
          <w:p>
            <w:pPr>
              <w:pStyle w:val="Compact"/>
              <w:jc w:val="left"/>
            </w:pPr>
            <w:r>
              <w:t xml:space="preserve">200’ with following setback/height sliding scale:  When a residential district is located on the opposite side of the street, then 30’ height at lot line then 1’ additional in height for each 1’ additional setback up to 200 ’. (Figure 7-1)  When abutting a residential district, then 40’ height at lot line for 30’ setback then 1’ additional in height for each 1’ additional setback up to 200’. (Figure 7-2)</w:t>
            </w:r>
          </w:p>
        </w:tc>
        <w:tc>
          <w:tcPr/>
          <w:p>
            <w:pPr>
              <w:pStyle w:val="Compact"/>
              <w:jc w:val="left"/>
            </w:pPr>
            <w:r>
              <w:t xml:space="preserve">75’ with following setback/height sliding scale:  When a residential district is located on the opposite side of the street, then 30’ height at lot line then 1’ additional in height for each 1’ additional setback up to 75’. (Figure 7-1)  When abutting a residential district, then 40’ height at lot line for 30’ setback then 1’ additional in height for each 1’ additional setback up to 75’. (Figure 7-2)</w:t>
            </w:r>
          </w:p>
        </w:tc>
        <w:tc>
          <w:tcPr/>
          <w:p>
            <w:pPr>
              <w:pStyle w:val="Compact"/>
            </w:pPr>
          </w:p>
        </w:tc>
      </w:tr>
      <w:tr>
        <w:tc>
          <w:tcPr/>
          <w:p>
            <w:pPr>
              <w:pStyle w:val="Compact"/>
            </w:pPr>
          </w:p>
        </w:tc>
        <w:tc>
          <w:tcPr/>
          <w:p>
            <w:pPr>
              <w:pStyle w:val="Compact"/>
              <w:jc w:val="left"/>
            </w:pPr>
            <w:r>
              <w:t xml:space="preserve">Setback Requirements</w:t>
            </w: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Front Setback</w:t>
            </w:r>
          </w:p>
        </w:tc>
        <w:tc>
          <w:tcPr/>
          <w:p>
            <w:pPr>
              <w:pStyle w:val="Compact"/>
              <w:jc w:val="left"/>
            </w:pPr>
            <w:r>
              <w:t xml:space="preserve">None</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Interior Side Setback</w:t>
            </w:r>
          </w:p>
        </w:tc>
        <w:tc>
          <w:tcPr/>
          <w:p>
            <w:pPr>
              <w:pStyle w:val="Compact"/>
              <w:jc w:val="left"/>
            </w:pPr>
            <w:r>
              <w:t xml:space="preserve">None, unless abutting a residential district then a minimum of 6’ plus 4’ for each 12’ in height over the first 12’</w:t>
            </w:r>
          </w:p>
        </w:tc>
        <w:tc>
          <w:tcPr/>
          <w:p>
            <w:pPr>
              <w:pStyle w:val="Compact"/>
              <w:jc w:val="left"/>
            </w:pPr>
            <w:r>
              <w:t xml:space="preserve">None, unless abutting a residential district then a minimum of 6’ plus 4’ for each 12’ in height over the first 12’</w:t>
            </w:r>
          </w:p>
        </w:tc>
        <w:tc>
          <w:tcPr/>
          <w:p>
            <w:pPr>
              <w:pStyle w:val="Compact"/>
              <w:jc w:val="left"/>
            </w:pPr>
            <w:r>
              <w:t xml:space="preserve">None, unless abutting a residential district then a minimum of 6’ plus 4’ for each 12’ in height over the first 12’</w:t>
            </w:r>
          </w:p>
        </w:tc>
        <w:tc>
          <w:tcPr/>
          <w:p>
            <w:pPr>
              <w:pStyle w:val="Compact"/>
            </w:pPr>
          </w:p>
        </w:tc>
      </w:tr>
      <w:tr>
        <w:tc>
          <w:tcPr/>
          <w:p>
            <w:pPr>
              <w:pStyle w:val="Compact"/>
            </w:pPr>
          </w:p>
        </w:tc>
        <w:tc>
          <w:tcPr/>
          <w:p>
            <w:pPr>
              <w:pStyle w:val="Compact"/>
              <w:jc w:val="left"/>
            </w:pPr>
            <w:r>
              <w:t xml:space="preserve">Corner Side Setback</w:t>
            </w:r>
          </w:p>
        </w:tc>
        <w:tc>
          <w:tcPr/>
          <w:p>
            <w:pPr>
              <w:pStyle w:val="Compact"/>
              <w:jc w:val="left"/>
            </w:pPr>
            <w:r>
              <w:t xml:space="preserve">None</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Rear Setback</w:t>
            </w:r>
          </w:p>
        </w:tc>
        <w:tc>
          <w:tcPr/>
          <w:p>
            <w:pPr>
              <w:pStyle w:val="Compact"/>
              <w:jc w:val="left"/>
            </w:pPr>
            <w:r>
              <w:t xml:space="preserve">None, unless abutting residential district, then 30’</w:t>
            </w:r>
          </w:p>
        </w:tc>
        <w:tc>
          <w:tcPr/>
          <w:p>
            <w:pPr>
              <w:pStyle w:val="Compact"/>
              <w:jc w:val="left"/>
            </w:pPr>
            <w:r>
              <w:t xml:space="preserve">None, unless abutting residential district, then 30’</w:t>
            </w:r>
          </w:p>
        </w:tc>
        <w:tc>
          <w:tcPr/>
          <w:p>
            <w:pPr>
              <w:pStyle w:val="Compact"/>
              <w:jc w:val="left"/>
            </w:pPr>
            <w:r>
              <w:t xml:space="preserve">None, unless abutting residential district, then 30’</w:t>
            </w:r>
          </w:p>
        </w:tc>
        <w:tc>
          <w:tcPr/>
          <w:p>
            <w:pPr>
              <w:pStyle w:val="Compact"/>
            </w:pPr>
          </w:p>
        </w:tc>
      </w:tr>
    </w:tbl>
    <w:bookmarkEnd w:id="59"/>
    <w:bookmarkStart w:id="60" w:name="general-standards-of-applicability-3"/>
    <w:p>
      <w:pPr>
        <w:pStyle w:val="Heading2"/>
      </w:pPr>
      <w:r>
        <w:t xml:space="preserve">§ 703. GENERAL STANDARDS OF APPLICABILITY</w:t>
      </w:r>
    </w:p>
    <w:p>
      <w:pPr>
        <w:pStyle w:val="FirstParagraph"/>
      </w:pPr>
      <w:r>
        <w:t xml:space="preserve">703 GENERAL STANDARDS OF APPLICABILITY</w:t>
      </w:r>
    </w:p>
    <w:p>
      <w:pPr>
        <w:pStyle w:val="BodyText"/>
      </w:pPr>
      <w:r>
        <w:t xml:space="preserve">A. Site Development Standards</w:t>
      </w:r>
    </w:p>
    <w:p>
      <w:pPr>
        <w:pStyle w:val="BodyText"/>
      </w:pPr>
      <w:r>
        <w:t xml:space="preserve">See Article 13 for additional site development standards and requirements, such as exterior lighting, accessory structures and uses, and permitted encroachments.</w:t>
      </w:r>
    </w:p>
    <w:p>
      <w:pPr>
        <w:numPr>
          <w:ilvl w:val="0"/>
          <w:numId w:val="1414"/>
        </w:numPr>
      </w:pPr>
      <w:r>
        <w:t xml:space="preserve">B. Off-Street Parking and Loading See Article 14 for off-street parking and loading standards.</w:t>
      </w:r>
    </w:p>
    <w:p>
      <w:pPr>
        <w:numPr>
          <w:ilvl w:val="0"/>
          <w:numId w:val="1415"/>
        </w:numPr>
      </w:pPr>
      <w:r>
        <w:t xml:space="preserve">C. Trees and Landscaping See Article 15 for landscape requirements.</w:t>
      </w:r>
    </w:p>
    <w:p>
      <w:pPr>
        <w:numPr>
          <w:ilvl w:val="0"/>
          <w:numId w:val="1416"/>
        </w:numPr>
      </w:pPr>
      <w:r>
        <w:t xml:space="preserve">D. Signs See Article 16 for sign standards.</w:t>
      </w:r>
    </w:p>
    <w:bookmarkEnd w:id="60"/>
    <w:bookmarkStart w:id="61" w:name="industrial-districts"/>
    <w:p>
      <w:pPr>
        <w:pStyle w:val="Heading1"/>
      </w:pPr>
      <w:r>
        <w:t xml:space="preserve">§ 8. INDUSTRIAL DISTRICTS</w:t>
      </w:r>
    </w:p>
    <w:p>
      <w:pPr>
        <w:pStyle w:val="FirstParagraph"/>
      </w:pPr>
      <w:r>
        <w:t xml:space="preserve">ARTICLE 8. INDUSTRIAL DISTRICTS 801 USES 802 DIMENSIONAL STANDARDS 803 DESIGN STANDARDS</w:t>
      </w:r>
    </w:p>
    <w:bookmarkEnd w:id="61"/>
    <w:bookmarkStart w:id="62" w:name="purpose-statements-4"/>
    <w:p>
      <w:pPr>
        <w:pStyle w:val="Heading2"/>
      </w:pPr>
      <w:r>
        <w:t xml:space="preserve">§ 800. PURPOSE STATEMENTS</w:t>
      </w:r>
    </w:p>
    <w:p>
      <w:pPr>
        <w:pStyle w:val="FirstParagraph"/>
      </w:pPr>
      <w:r>
        <w:t xml:space="preserve">800 PURPOSE STATEMENTS</w:t>
      </w:r>
    </w:p>
    <w:p>
      <w:pPr>
        <w:pStyle w:val="BodyText"/>
      </w:pPr>
      <w:r>
        <w:t xml:space="preserve">A. M-MU Mixed-Use Industrial District The M-MU Mixed-Use Industrial District is intended to encourage the reuse of older industrial buildings, and compatible new development, for mixed-use environment of light industrial use and a variety of other non-industrial uses, such as live/work dwellings, higher density residential, commercial, and limited institutional uses. The M-MU District is divided into two height sub-districts: the M-MU-75 Sub- District that allows a maximum height of 75 feet, and the M-MU-90 Sub-District that allows a maximum height of 90 feet.</w:t>
      </w:r>
    </w:p>
    <w:p>
      <w:pPr>
        <w:numPr>
          <w:ilvl w:val="0"/>
          <w:numId w:val="1417"/>
        </w:numPr>
      </w:pPr>
      <w:r>
        <w:t xml:space="preserve">B. M-1 Light Industrial District The M-1 Light Industrial District is intended for light industrial and office park uses that accommodate a variety of manufacturing, assembly, storage of durable goods, and related activities provided that they do not pose toxic, explosive or environmental hazard in the City.</w:t>
      </w:r>
    </w:p>
    <w:p>
      <w:pPr>
        <w:numPr>
          <w:ilvl w:val="0"/>
          <w:numId w:val="1418"/>
        </w:numPr>
      </w:pPr>
      <w:r>
        <w:t xml:space="preserve">C. M-2 General Industrial District The M-2 General Industrial District is intended to provide areas for moderate and heavy intensity industrial uses, especially for those uses that are potentially hazardous, noxious, or incompatible with the uses in other districts.</w:t>
      </w:r>
    </w:p>
    <w:bookmarkEnd w:id="62"/>
    <w:bookmarkStart w:id="63" w:name="uses-4"/>
    <w:p>
      <w:pPr>
        <w:pStyle w:val="Heading2"/>
      </w:pPr>
      <w:r>
        <w:t xml:space="preserve">§ 801. USES</w:t>
      </w:r>
    </w:p>
    <w:p>
      <w:pPr>
        <w:pStyle w:val="FirstParagraph"/>
      </w:pPr>
      <w:r>
        <w:t xml:space="preserve">801 USES Article 12 lists permitted and special principal uses and temporary uses for the industrial districts.</w:t>
      </w:r>
    </w:p>
    <w:bookmarkEnd w:id="63"/>
    <w:bookmarkStart w:id="64" w:name="dimensional-standards-4"/>
    <w:p>
      <w:pPr>
        <w:pStyle w:val="Heading2"/>
      </w:pPr>
      <w:r>
        <w:t xml:space="preserve">§ 802. DIMENSIONAL STANDARDS</w:t>
      </w:r>
    </w:p>
    <w:p>
      <w:pPr>
        <w:pStyle w:val="FirstParagraph"/>
      </w:pPr>
      <w:r>
        <w:t xml:space="preserve">802 DIMENSIONAL STANDARDS Table 8-1: Industrial Districts Dimensional Standards establishes the dimensional standards for the industrial districts. These regulations apply to all uses within each district unless a different standard is listed for a specific use.</w:t>
      </w:r>
    </w:p>
    <w:p>
      <w:pPr>
        <w:pStyle w:val="BodyText"/>
      </w:pPr>
      <w:r>
        <w:t xml:space="preserve">TABLE 8-1: INDUSTRIAL DISTRICT DIMENSIONAL STANDARDS M-MU M-1 M-2 M-MU-75 M-MU-90 Bulk Standards Minimum Lot Area None None None None Maximum Building 75’ 90’ 75’ 90’ Height</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TABLE</w:t>
            </w:r>
          </w:p>
        </w:tc>
        <w:tc>
          <w:tcPr/>
          <w:p>
            <w:pPr>
              <w:pStyle w:val="Compact"/>
              <w:jc w:val="left"/>
            </w:pPr>
            <w:r>
              <w:t xml:space="preserve">8-1: INDUSTRIAL DISTRICT</w:t>
            </w:r>
          </w:p>
        </w:tc>
        <w:tc>
          <w:tcPr/>
          <w:p>
            <w:pPr>
              <w:pStyle w:val="Compact"/>
              <w:jc w:val="left"/>
            </w:pPr>
            <w:r>
              <w:t xml:space="preserve">DIMENSIONAL STANDARDS</w:t>
            </w:r>
          </w:p>
        </w:tc>
        <w:tc>
          <w:tcPr/>
          <w:p>
            <w:pPr>
              <w:pStyle w:val="Compact"/>
            </w:pPr>
          </w:p>
        </w:tc>
      </w:tr>
      <w:tr>
        <w:tc>
          <w:tcPr/>
          <w:p>
            <w:pPr>
              <w:pStyle w:val="Compact"/>
            </w:pPr>
          </w:p>
        </w:tc>
        <w:tc>
          <w:tcPr/>
          <w:p>
            <w:pPr>
              <w:pStyle w:val="Compact"/>
              <w:jc w:val="left"/>
            </w:pPr>
            <w:r>
              <w:t xml:space="preserve">M-MU</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M-1</w:t>
            </w:r>
          </w:p>
        </w:tc>
        <w:tc>
          <w:tcPr/>
          <w:p>
            <w:pPr>
              <w:pStyle w:val="Compact"/>
              <w:jc w:val="left"/>
            </w:pPr>
            <w:r>
              <w:t xml:space="preserve">M-2</w:t>
            </w:r>
          </w:p>
        </w:tc>
      </w:tr>
      <w:tr>
        <w:tc>
          <w:tcPr/>
          <w:p>
            <w:pPr>
              <w:pStyle w:val="Compact"/>
            </w:pPr>
          </w:p>
        </w:tc>
        <w:tc>
          <w:tcPr/>
          <w:p>
            <w:pPr>
              <w:pStyle w:val="Compact"/>
              <w:jc w:val="left"/>
            </w:pPr>
            <w:r>
              <w:t xml:space="preserve">M-MU-75</w:t>
            </w:r>
          </w:p>
        </w:tc>
        <w:tc>
          <w:tcPr/>
          <w:p>
            <w:pPr>
              <w:pStyle w:val="Compact"/>
              <w:jc w:val="left"/>
            </w:pPr>
            <w:r>
              <w:t xml:space="preserve">M-MU-90</w:t>
            </w:r>
          </w:p>
        </w:tc>
        <w:tc>
          <w:tcPr/>
          <w:p>
            <w:pPr>
              <w:pStyle w:val="Compact"/>
            </w:pPr>
          </w:p>
        </w:tc>
        <w:tc>
          <w:tcPr/>
          <w:p>
            <w:pPr>
              <w:pStyle w:val="Compact"/>
            </w:pPr>
          </w:p>
        </w:tc>
      </w:tr>
      <w:tr>
        <w:tc>
          <w:tcPr/>
          <w:p>
            <w:pPr>
              <w:pStyle w:val="Compact"/>
              <w:jc w:val="left"/>
            </w:pPr>
            <w:r>
              <w:t xml:space="preserve">Bulk Standards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Minimum Lot Area</w:t>
            </w:r>
          </w:p>
        </w:tc>
        <w:tc>
          <w:tcPr/>
          <w:p>
            <w:pPr>
              <w:pStyle w:val="Compact"/>
              <w:jc w:val="left"/>
            </w:pPr>
            <w:r>
              <w:t xml:space="preserve">None</w:t>
            </w:r>
          </w:p>
        </w:tc>
        <w:tc>
          <w:tcPr/>
          <w:p>
            <w:pPr>
              <w:pStyle w:val="Compact"/>
              <w:jc w:val="left"/>
            </w:pPr>
            <w:r>
              <w:t xml:space="preserve">None</w:t>
            </w:r>
          </w:p>
        </w:tc>
        <w:tc>
          <w:tcPr/>
          <w:p>
            <w:pPr>
              <w:pStyle w:val="Compact"/>
              <w:jc w:val="left"/>
            </w:pPr>
            <w:r>
              <w:t xml:space="preserve">None</w:t>
            </w:r>
          </w:p>
        </w:tc>
        <w:tc>
          <w:tcPr/>
          <w:p>
            <w:pPr>
              <w:pStyle w:val="Compact"/>
              <w:jc w:val="left"/>
            </w:pPr>
            <w:r>
              <w:t xml:space="preserve">None</w:t>
            </w:r>
          </w:p>
        </w:tc>
      </w:tr>
      <w:tr>
        <w:tc>
          <w:tcPr/>
          <w:p>
            <w:pPr>
              <w:pStyle w:val="Compact"/>
              <w:jc w:val="left"/>
            </w:pPr>
            <w:r>
              <w:t xml:space="preserve">Maximum Building Height</w:t>
            </w:r>
          </w:p>
        </w:tc>
        <w:tc>
          <w:tcPr/>
          <w:p>
            <w:pPr>
              <w:pStyle w:val="Compact"/>
              <w:jc w:val="left"/>
            </w:pPr>
            <w:r>
              <w:t xml:space="preserve">75’</w:t>
            </w:r>
          </w:p>
        </w:tc>
        <w:tc>
          <w:tcPr/>
          <w:p>
            <w:pPr>
              <w:pStyle w:val="Compact"/>
              <w:jc w:val="left"/>
            </w:pPr>
            <w:r>
              <w:t xml:space="preserve">90’</w:t>
            </w:r>
          </w:p>
        </w:tc>
        <w:tc>
          <w:tcPr/>
          <w:p>
            <w:pPr>
              <w:pStyle w:val="Compact"/>
              <w:jc w:val="left"/>
            </w:pPr>
            <w:r>
              <w:t xml:space="preserve">75’</w:t>
            </w:r>
          </w:p>
        </w:tc>
        <w:tc>
          <w:tcPr/>
          <w:p>
            <w:pPr>
              <w:pStyle w:val="Compact"/>
              <w:jc w:val="left"/>
            </w:pPr>
            <w:r>
              <w:t xml:space="preserve">90’</w:t>
            </w:r>
          </w:p>
        </w:tc>
      </w:tr>
      <w:tr>
        <w:tc>
          <w:tcPr/>
          <w:p>
            <w:pPr>
              <w:pStyle w:val="Compact"/>
              <w:jc w:val="left"/>
            </w:pPr>
            <w:r>
              <w:t xml:space="preserve">Minimum Setbacks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Front Setback</w:t>
            </w:r>
          </w:p>
        </w:tc>
        <w:tc>
          <w:tcPr/>
          <w:p>
            <w:pPr>
              <w:pStyle w:val="Compact"/>
              <w:jc w:val="left"/>
            </w:pPr>
            <w:r>
              <w:t xml:space="preserve">None, unless a residential district is located on the opposite side of the street, then 10’</w:t>
            </w:r>
          </w:p>
        </w:tc>
        <w:tc>
          <w:tcPr/>
          <w:p>
            <w:pPr>
              <w:pStyle w:val="Compact"/>
              <w:jc w:val="left"/>
            </w:pPr>
            <w:r>
              <w:t xml:space="preserve">None, unless a residential district is located on the opposite side of the street, then 10’</w:t>
            </w:r>
          </w:p>
        </w:tc>
        <w:tc>
          <w:tcPr/>
          <w:p>
            <w:pPr>
              <w:pStyle w:val="Compact"/>
              <w:jc w:val="left"/>
            </w:pPr>
            <w:r>
              <w:t xml:space="preserve">None, unless a residential district is located on the opposite side of the street, then 10’</w:t>
            </w:r>
          </w:p>
        </w:tc>
        <w:tc>
          <w:tcPr/>
          <w:p>
            <w:pPr>
              <w:pStyle w:val="Compact"/>
              <w:jc w:val="left"/>
            </w:pPr>
            <w:r>
              <w:t xml:space="preserve">None, unless a residential district is located on the opposite side of the street, then 20’</w:t>
            </w:r>
          </w:p>
        </w:tc>
      </w:tr>
      <w:tr>
        <w:tc>
          <w:tcPr/>
          <w:p>
            <w:pPr>
              <w:pStyle w:val="Compact"/>
              <w:jc w:val="left"/>
            </w:pPr>
            <w:r>
              <w:t xml:space="preserve">Interior Side Setback</w:t>
            </w:r>
          </w:p>
        </w:tc>
        <w:tc>
          <w:tcPr/>
          <w:p>
            <w:pPr>
              <w:pStyle w:val="Compact"/>
              <w:jc w:val="left"/>
            </w:pPr>
            <w:r>
              <w:t xml:space="preserve">None, unless abutting a residential district, then 10’</w:t>
            </w:r>
          </w:p>
        </w:tc>
        <w:tc>
          <w:tcPr/>
          <w:p>
            <w:pPr>
              <w:pStyle w:val="Compact"/>
              <w:jc w:val="left"/>
            </w:pPr>
            <w:r>
              <w:t xml:space="preserve">None, unless abutting a residential district, then 10’</w:t>
            </w:r>
          </w:p>
        </w:tc>
        <w:tc>
          <w:tcPr/>
          <w:p>
            <w:pPr>
              <w:pStyle w:val="Compact"/>
              <w:jc w:val="left"/>
            </w:pPr>
            <w:r>
              <w:t xml:space="preserve">None, unless abutting a residential district, then 20’</w:t>
            </w:r>
          </w:p>
        </w:tc>
        <w:tc>
          <w:tcPr/>
          <w:p>
            <w:pPr>
              <w:pStyle w:val="Compact"/>
              <w:jc w:val="left"/>
            </w:pPr>
            <w:r>
              <w:t xml:space="preserve">None, unless abutting a residential district, then 20’</w:t>
            </w:r>
          </w:p>
        </w:tc>
      </w:tr>
      <w:tr>
        <w:tc>
          <w:tcPr/>
          <w:p>
            <w:pPr>
              <w:pStyle w:val="Compact"/>
              <w:jc w:val="left"/>
            </w:pPr>
            <w:r>
              <w:t xml:space="preserve">Corner Side Setback</w:t>
            </w:r>
          </w:p>
        </w:tc>
        <w:tc>
          <w:tcPr/>
          <w:p>
            <w:pPr>
              <w:pStyle w:val="Compact"/>
              <w:jc w:val="left"/>
            </w:pPr>
            <w:r>
              <w:t xml:space="preserve">None, unless a residential district is located on the opposite side of the street, then 10’</w:t>
            </w:r>
          </w:p>
        </w:tc>
        <w:tc>
          <w:tcPr/>
          <w:p>
            <w:pPr>
              <w:pStyle w:val="Compact"/>
              <w:jc w:val="left"/>
            </w:pPr>
            <w:r>
              <w:t xml:space="preserve">None, unless a residential district is located on the opposite side of the street, then 10’</w:t>
            </w:r>
          </w:p>
        </w:tc>
        <w:tc>
          <w:tcPr/>
          <w:p>
            <w:pPr>
              <w:pStyle w:val="Compact"/>
              <w:jc w:val="left"/>
            </w:pPr>
            <w:r>
              <w:t xml:space="preserve">None, unless a residential district is located on the opposite side of the street, then 20’</w:t>
            </w:r>
          </w:p>
        </w:tc>
        <w:tc>
          <w:tcPr/>
          <w:p>
            <w:pPr>
              <w:pStyle w:val="Compact"/>
              <w:jc w:val="left"/>
            </w:pPr>
            <w:r>
              <w:t xml:space="preserve">None, unless a residential district is located on the opposite side of the street, then 20’</w:t>
            </w:r>
          </w:p>
        </w:tc>
      </w:tr>
    </w:tbl>
    <w:p>
      <w:pPr>
        <w:pStyle w:val="BodyText"/>
      </w:pPr>
      <w:r>
        <w:t xml:space="preserve">Rear Setback residential district, then residential district, then residential district, then residential district, then 20’ 20’ 20’ 20’</w:t>
      </w:r>
    </w:p>
    <w:bookmarkEnd w:id="64"/>
    <w:bookmarkStart w:id="65" w:name="design-standards-1"/>
    <w:p>
      <w:pPr>
        <w:pStyle w:val="Heading2"/>
      </w:pPr>
      <w:r>
        <w:t xml:space="preserve">§ 803. DESIGN STANDARDS</w:t>
      </w:r>
    </w:p>
    <w:p>
      <w:pPr>
        <w:pStyle w:val="FirstParagraph"/>
      </w:pPr>
      <w:r>
        <w:t xml:space="preserve">803 DESIGN STANDARDS The following design standards apply to new construction, including additions to existing structures, and substantial repair or rehabilitation of the exterior façade of an existing structure. In the case of repair or rehabilitation, only those standards that relate to the specific actions taken apply. The permitting authority may waive these design standards through Development Plan Review. Residential dwellings, except for multi-family and mixed-use development, are not subject to these standards, but rather the principal use standards for that particular dwelling type, as indicated in Section 1202.</w:t>
      </w:r>
    </w:p>
    <w:p>
      <w:pPr>
        <w:numPr>
          <w:ilvl w:val="0"/>
          <w:numId w:val="1419"/>
        </w:numPr>
      </w:pPr>
      <w:r>
        <w:t xml:space="preserve">A. Site Layout</w:t>
      </w:r>
    </w:p>
    <w:p>
      <w:pPr>
        <w:numPr>
          <w:ilvl w:val="0"/>
          <w:numId w:val="1000"/>
        </w:numPr>
      </w:pPr>
      <w:r>
        <w:t xml:space="preserve">1. Where office or guest facilities are part of the development, the entry to office or guest facilities shall have direct access from street frontages and parking areas. Manufacturing and warehouse structures should be set back towards the center of the site to minimize impact on adjacent parcels.</w:t>
      </w:r>
    </w:p>
    <w:p>
      <w:pPr>
        <w:numPr>
          <w:ilvl w:val="0"/>
          <w:numId w:val="1420"/>
        </w:numPr>
      </w:pPr>
      <w:r>
        <w:t xml:space="preserve">2. For campus developments, a distinct visual link shall be established among various buildings by using architectural or site design elements such as courtyards, plazas, landscaping, and walkways to unify the project. Campus developments shall provide a pedestrian link to adjacent commercial uses to provide safe pedestrian access between the campus and commercial uses outside the development.</w:t>
      </w:r>
    </w:p>
    <w:p>
      <w:pPr>
        <w:numPr>
          <w:ilvl w:val="0"/>
          <w:numId w:val="1421"/>
        </w:numPr>
      </w:pPr>
      <w:r>
        <w:t xml:space="preserve">3. The parking lot shall not be the dominant visual element of the site along the primary frontage. Smaller multiple parking lots separated by landscaping and buildings or placement behind buildings is required.</w:t>
      </w:r>
    </w:p>
    <w:p>
      <w:pPr>
        <w:pStyle w:val="Compact"/>
        <w:numPr>
          <w:ilvl w:val="0"/>
          <w:numId w:val="1422"/>
        </w:numPr>
      </w:pPr>
    </w:p>
    <w:p>
      <w:pPr>
        <w:numPr>
          <w:ilvl w:val="1"/>
          <w:numId w:val="1423"/>
        </w:numPr>
      </w:pPr>
      <w:r>
        <w:t xml:space="preserve">B. M-MU District Design Standards</w:t>
      </w:r>
    </w:p>
    <w:p>
      <w:pPr>
        <w:numPr>
          <w:ilvl w:val="1"/>
          <w:numId w:val="1000"/>
        </w:numPr>
      </w:pPr>
      <w:r>
        <w:t xml:space="preserve">1. Multi-Tenant Retail Centers Multi-tenant retail centers in M-MU Districts shall comply with the following additional design standards. (Figure 8-1).</w:t>
      </w:r>
    </w:p>
    <w:p>
      <w:pPr>
        <w:pStyle w:val="Compact"/>
        <w:numPr>
          <w:ilvl w:val="0"/>
          <w:numId w:val="1424"/>
        </w:numPr>
      </w:pPr>
    </w:p>
    <w:p>
      <w:pPr>
        <w:pStyle w:val="Compact"/>
        <w:numPr>
          <w:ilvl w:val="1"/>
          <w:numId w:val="1425"/>
        </w:numPr>
      </w:pPr>
    </w:p>
    <w:p>
      <w:pPr>
        <w:numPr>
          <w:ilvl w:val="2"/>
          <w:numId w:val="1426"/>
        </w:numPr>
      </w:pPr>
      <w:r>
        <w:t xml:space="preserve">a. When a multi-tenant retail center is situated behind a large parking lot, a street presence for the shopping center shall be created by locating part of the center or an outlot building within 0 to 10 feet of the lot line at the primary street corner or the shopping center entrance. When a center’s frontage on the primary street exceeds 250 feet, outlot buildings shall be built to within 0 feet to 10 feet of the front lot line for at least 25% of the frontage.</w:t>
      </w:r>
    </w:p>
    <w:p>
      <w:pPr>
        <w:pStyle w:val="Compact"/>
        <w:numPr>
          <w:ilvl w:val="0"/>
          <w:numId w:val="1427"/>
        </w:numPr>
      </w:pPr>
    </w:p>
    <w:p>
      <w:pPr>
        <w:pStyle w:val="Compact"/>
        <w:numPr>
          <w:ilvl w:val="1"/>
          <w:numId w:val="1428"/>
        </w:numPr>
      </w:pPr>
    </w:p>
    <w:p>
      <w:pPr>
        <w:numPr>
          <w:ilvl w:val="2"/>
          <w:numId w:val="1429"/>
        </w:numPr>
      </w:pPr>
      <w:r>
        <w:t xml:space="preserve">b. If outlot buildings are part of a multi-tenant retail center, outlot buildings shall define the street frontage by placement within 0 feet to 10 feet of the lot line at the primary street with showcase windows and entrances oriented toward the street and the interior parking lot.</w:t>
      </w:r>
    </w:p>
    <w:p>
      <w:pPr>
        <w:pStyle w:val="Compact"/>
        <w:numPr>
          <w:ilvl w:val="0"/>
          <w:numId w:val="1430"/>
        </w:numPr>
      </w:pPr>
    </w:p>
    <w:p>
      <w:pPr>
        <w:pStyle w:val="Compact"/>
        <w:numPr>
          <w:ilvl w:val="1"/>
          <w:numId w:val="1431"/>
        </w:numPr>
      </w:pPr>
    </w:p>
    <w:p>
      <w:pPr>
        <w:numPr>
          <w:ilvl w:val="2"/>
          <w:numId w:val="1432"/>
        </w:numPr>
      </w:pPr>
      <w:r>
        <w:t xml:space="preserve">c. The primary facade of the building shall be oriented toward the street with entrances facing or clearly visible from the primary street. Main entrances to the buildings shall be well defined.</w:t>
      </w:r>
    </w:p>
    <w:p>
      <w:pPr>
        <w:pStyle w:val="Compact"/>
        <w:numPr>
          <w:ilvl w:val="0"/>
          <w:numId w:val="1433"/>
        </w:numPr>
      </w:pPr>
    </w:p>
    <w:p>
      <w:pPr>
        <w:pStyle w:val="Compact"/>
        <w:numPr>
          <w:ilvl w:val="1"/>
          <w:numId w:val="1434"/>
        </w:numPr>
      </w:pPr>
    </w:p>
    <w:p>
      <w:pPr>
        <w:numPr>
          <w:ilvl w:val="2"/>
          <w:numId w:val="1435"/>
        </w:numPr>
      </w:pPr>
      <w:r>
        <w:t xml:space="preserve">d. The site shall be designed so that there is safe pedestrian access to the center from the public right-of-way and safe pedestrian circulation within the development.</w:t>
      </w:r>
    </w:p>
    <w:p>
      <w:pPr>
        <w:pStyle w:val="Compact"/>
        <w:numPr>
          <w:ilvl w:val="0"/>
          <w:numId w:val="1436"/>
        </w:numPr>
      </w:pPr>
    </w:p>
    <w:p>
      <w:pPr>
        <w:pStyle w:val="Compact"/>
        <w:numPr>
          <w:ilvl w:val="1"/>
          <w:numId w:val="1437"/>
        </w:numPr>
      </w:pPr>
    </w:p>
    <w:p>
      <w:pPr>
        <w:numPr>
          <w:ilvl w:val="2"/>
          <w:numId w:val="1438"/>
        </w:numPr>
      </w:pPr>
      <w:r>
        <w:t xml:space="preserve">e. A cohesive character is required through the use of coordinated hardscape treatment (special paving materials, lighting, street furniture, etc.) and landscaping.</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TABLE</w:t>
            </w:r>
          </w:p>
        </w:tc>
        <w:tc>
          <w:tcPr/>
          <w:p>
            <w:pPr>
              <w:pStyle w:val="Compact"/>
              <w:jc w:val="left"/>
            </w:pPr>
            <w:r>
              <w:t xml:space="preserve">8-1: INDUSTRIAL DISTRICT</w:t>
            </w:r>
          </w:p>
        </w:tc>
        <w:tc>
          <w:tcPr/>
          <w:p>
            <w:pPr>
              <w:pStyle w:val="Compact"/>
              <w:jc w:val="left"/>
            </w:pPr>
            <w:r>
              <w:t xml:space="preserve">DIMENSIONAL STANDARDS</w:t>
            </w:r>
          </w:p>
        </w:tc>
        <w:tc>
          <w:tcPr/>
          <w:p>
            <w:pPr>
              <w:pStyle w:val="Compact"/>
            </w:pPr>
          </w:p>
        </w:tc>
      </w:tr>
      <w:tr>
        <w:tc>
          <w:tcPr/>
          <w:p>
            <w:pPr>
              <w:pStyle w:val="Compact"/>
            </w:pPr>
          </w:p>
        </w:tc>
        <w:tc>
          <w:tcPr/>
          <w:p>
            <w:pPr>
              <w:pStyle w:val="Compact"/>
              <w:jc w:val="left"/>
            </w:pPr>
            <w:r>
              <w:t xml:space="preserve">M-MU</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M-1</w:t>
            </w:r>
          </w:p>
        </w:tc>
        <w:tc>
          <w:tcPr/>
          <w:p>
            <w:pPr>
              <w:pStyle w:val="Compact"/>
              <w:jc w:val="left"/>
            </w:pPr>
            <w:r>
              <w:t xml:space="preserve">M-2</w:t>
            </w:r>
          </w:p>
        </w:tc>
      </w:tr>
      <w:tr>
        <w:tc>
          <w:tcPr/>
          <w:p>
            <w:pPr>
              <w:pStyle w:val="Compact"/>
            </w:pPr>
          </w:p>
        </w:tc>
        <w:tc>
          <w:tcPr/>
          <w:p>
            <w:pPr>
              <w:pStyle w:val="Compact"/>
              <w:jc w:val="left"/>
            </w:pPr>
            <w:r>
              <w:t xml:space="preserve">M-MU-75</w:t>
            </w:r>
          </w:p>
        </w:tc>
        <w:tc>
          <w:tcPr/>
          <w:p>
            <w:pPr>
              <w:pStyle w:val="Compact"/>
              <w:jc w:val="left"/>
            </w:pPr>
            <w:r>
              <w:t xml:space="preserve">M-MU-90</w:t>
            </w:r>
          </w:p>
        </w:tc>
        <w:tc>
          <w:tcPr/>
          <w:p>
            <w:pPr>
              <w:pStyle w:val="Compact"/>
            </w:pPr>
          </w:p>
        </w:tc>
        <w:tc>
          <w:tcPr/>
          <w:p>
            <w:pPr>
              <w:pStyle w:val="Compact"/>
            </w:pPr>
          </w:p>
        </w:tc>
      </w:tr>
      <w:tr>
        <w:tc>
          <w:tcPr/>
          <w:p>
            <w:pPr>
              <w:pStyle w:val="Compact"/>
              <w:jc w:val="left"/>
            </w:pPr>
            <w:r>
              <w:t xml:space="preserve">Rear Setback</w:t>
            </w:r>
          </w:p>
        </w:tc>
        <w:tc>
          <w:tcPr/>
          <w:p>
            <w:pPr>
              <w:pStyle w:val="Compact"/>
              <w:jc w:val="left"/>
            </w:pPr>
            <w:r>
              <w:t xml:space="preserve">None, unless abutting a residential district, then 20’</w:t>
            </w:r>
          </w:p>
        </w:tc>
        <w:tc>
          <w:tcPr/>
          <w:p>
            <w:pPr>
              <w:pStyle w:val="Compact"/>
              <w:jc w:val="left"/>
            </w:pPr>
            <w:r>
              <w:t xml:space="preserve">None, unless abutting a residential district, then 20’</w:t>
            </w:r>
          </w:p>
        </w:tc>
        <w:tc>
          <w:tcPr/>
          <w:p>
            <w:pPr>
              <w:pStyle w:val="Compact"/>
              <w:jc w:val="left"/>
            </w:pPr>
            <w:r>
              <w:t xml:space="preserve">None, unless abutting a residential district, then 20’</w:t>
            </w:r>
          </w:p>
        </w:tc>
        <w:tc>
          <w:tcPr/>
          <w:p>
            <w:pPr>
              <w:pStyle w:val="Compact"/>
              <w:jc w:val="left"/>
            </w:pPr>
            <w:r>
              <w:t xml:space="preserve">None, unless abutting a residential district, then 20’</w:t>
            </w:r>
          </w:p>
        </w:tc>
      </w:tr>
      <w:tr>
        <w:tc>
          <w:tcPr/>
          <w:p>
            <w:pPr>
              <w:pStyle w:val="Compact"/>
              <w:jc w:val="left"/>
            </w:pPr>
            <w:r>
              <w:t xml:space="preserve">803 DESIGN The following substantial rehabilitation, may waive multi-family standards for A. Site Layout Where 1. shall For 2. using to uses The 3. Smaller is B. M-MU 1. a. b. c. d. e.</w:t>
            </w:r>
          </w:p>
        </w:tc>
        <w:tc>
          <w:tcPr/>
          <w:p>
            <w:pPr>
              <w:pStyle w:val="Compact"/>
              <w:jc w:val="left"/>
            </w:pPr>
            <w:r>
              <w:t xml:space="preserve">STANDARDS design standards apply repair or rehabilitation of only those standards these design standards and mixed-use development, that particular dwelling office or guest facilities have direct access structures should be set back campus developments, architectural or site unify the project. Campus to provide safe pedestrian development. parking lot shall not be multiple parking lots required. District Design Standards Multi-Tenant Retail Centers Multi-tenant retail centers standards. (Figure 8-1). When a multi-tenant the shopping center shall to 10 feet of the lot line center’s frontage on the 0 feet to 10 feet of the If outlot buildings are frontage by placement windows and entrances The primary facade of clearly visible from the The site shall be designed right-of-way and safe A cohesive character is paving materials, lighting,</w:t>
            </w:r>
          </w:p>
        </w:tc>
        <w:tc>
          <w:tcPr/>
          <w:p>
            <w:pPr>
              <w:pStyle w:val="Compact"/>
              <w:jc w:val="left"/>
            </w:pPr>
            <w:r>
              <w:t xml:space="preserve">to new construction, the exterior façade of that relate to the specific through Developmentare not subject to type, as indicated inare part of the from street frontages and towards the center of a distinct visual link design elements such as developments shall access between the dominant visual separated by landscaping in M-MU Districts shall retail center is situatedbe created by locating at the primary street primary street exceeds front lot line for at least part of a multi-tenant retail within 0 feet to 10 feet of oriented toward the the building shall be primary street. Mainso that there is safe pedestrian circulation within required through the street furniture, etc.)</w:t>
            </w:r>
          </w:p>
        </w:tc>
        <w:tc>
          <w:tcPr/>
          <w:p>
            <w:pPr>
              <w:pStyle w:val="Compact"/>
              <w:jc w:val="left"/>
            </w:pPr>
            <w:r>
              <w:t xml:space="preserve">including additions to an existing structure. actions taken apply. Plan Review. Residential these standards, but Section 1202. development, the entry to parking areas. the site to minimize impact shall be established among courtyards, plazas, provide a pedestrian link the campus and element of the site along and buildings or comply with the behind a large parking part of the center or an corner or the shopping 250 feet, outlot buildings 25% of the frontage. center, outlot buildings the lot line at the primary street and the interior parking oriented toward the street entrances to the buildings pedestrian access to the development. use of coordinated and landscaping.</w:t>
            </w:r>
          </w:p>
        </w:tc>
        <w:tc>
          <w:tcPr/>
          <w:p>
            <w:pPr>
              <w:pStyle w:val="Compact"/>
              <w:jc w:val="left"/>
            </w:pPr>
            <w:r>
              <w:t xml:space="preserve">existing structures, and In the case of repair or The permitting authority dwellings, except for rather the principal use office or guest facilities Manufacturing and warehouse on adjacent parcels. various buildings by landscaping, and walkways to adjacent commercial commercial uses outside the the primary frontage. placement behind buildings following additional design lot, a street presence for outlot building within 0 center entrance. When a shall be built to within shall define the street street with showcase lot. with entrances facing or shall be well defined. the center from the public hardscape treatment (special</w:t>
            </w:r>
          </w:p>
        </w:tc>
      </w:tr>
    </w:tbl>
    <w:bookmarkEnd w:id="65"/>
    <w:bookmarkStart w:id="66" w:name="general-standards-of-applicability-4"/>
    <w:p>
      <w:pPr>
        <w:pStyle w:val="Heading2"/>
      </w:pPr>
      <w:r>
        <w:t xml:space="preserve">§ 804. GENERAL STANDARDS OF APPLICABILITY</w:t>
      </w:r>
    </w:p>
    <w:p>
      <w:pPr>
        <w:pStyle w:val="FirstParagraph"/>
      </w:pPr>
      <w:r>
        <w:t xml:space="preserve">804 GENERAL STANDARDS OF APPLICABILITY</w:t>
      </w:r>
    </w:p>
    <w:p>
      <w:pPr>
        <w:pStyle w:val="BodyText"/>
      </w:pPr>
      <w:r>
        <w:t xml:space="preserve">A. Site Development Standards</w:t>
      </w:r>
    </w:p>
    <w:p>
      <w:pPr>
        <w:pStyle w:val="BodyText"/>
      </w:pPr>
      <w:r>
        <w:t xml:space="preserve">See Article 13 for additional site development standards and requirements, such as exterior lighting, accessory structures and uses, and permitted encroachments.</w:t>
      </w:r>
    </w:p>
    <w:p>
      <w:pPr>
        <w:numPr>
          <w:ilvl w:val="0"/>
          <w:numId w:val="1439"/>
        </w:numPr>
      </w:pPr>
      <w:r>
        <w:t xml:space="preserve">B. Off-Street Parking and Loading See Article 14 for off-street parking and loading standards.</w:t>
      </w:r>
    </w:p>
    <w:p>
      <w:pPr>
        <w:numPr>
          <w:ilvl w:val="0"/>
          <w:numId w:val="1440"/>
        </w:numPr>
      </w:pPr>
      <w:r>
        <w:t xml:space="preserve">C. Trees and Landscaping See Article 15 for landscape requirements.</w:t>
      </w:r>
    </w:p>
    <w:p>
      <w:pPr>
        <w:numPr>
          <w:ilvl w:val="0"/>
          <w:numId w:val="1441"/>
        </w:numPr>
      </w:pPr>
      <w:r>
        <w:t xml:space="preserve">D. Signs See Article 16 for sign standards.</w:t>
      </w:r>
    </w:p>
    <w:bookmarkEnd w:id="66"/>
    <w:bookmarkStart w:id="67" w:name="waterfront-districts"/>
    <w:p>
      <w:pPr>
        <w:pStyle w:val="Heading1"/>
      </w:pPr>
      <w:r>
        <w:t xml:space="preserve">§ 9. WATERFRONT DISTRICTS</w:t>
      </w:r>
    </w:p>
    <w:p>
      <w:pPr>
        <w:pStyle w:val="FirstParagraph"/>
      </w:pPr>
      <w:r>
        <w:t xml:space="preserve">ARTICLE 9. WATERFRONT DISTRICTS 901 USES 902 DIMENSIONAL STANDARDS 903 W-2 DISTRICT DESIGN STANDARDS</w:t>
      </w:r>
    </w:p>
    <w:bookmarkEnd w:id="67"/>
    <w:bookmarkStart w:id="68" w:name="purpose-statements-5"/>
    <w:p>
      <w:pPr>
        <w:pStyle w:val="Heading2"/>
      </w:pPr>
      <w:r>
        <w:t xml:space="preserve">§ 900. PURPOSE STATEMENTS</w:t>
      </w:r>
    </w:p>
    <w:p>
      <w:pPr>
        <w:pStyle w:val="FirstParagraph"/>
      </w:pPr>
      <w:r>
        <w:t xml:space="preserve">900 PURPOSE STATEMENTS</w:t>
      </w:r>
    </w:p>
    <w:p>
      <w:pPr>
        <w:pStyle w:val="BodyText"/>
      </w:pPr>
      <w:r>
        <w:t xml:space="preserve">A. W-2 Mixed-Use Waterfront District The W-2 Mixed Use Waterfront District is intended to promote a balance among appropriately scaled residential and commercial development. The W-2 District encourages compatible development with adjacent areas and surrounding residential neighborhoods and enhances and creates public access to the waterfront as a public resource.</w:t>
      </w:r>
    </w:p>
    <w:p>
      <w:pPr>
        <w:numPr>
          <w:ilvl w:val="0"/>
          <w:numId w:val="1442"/>
        </w:numPr>
      </w:pPr>
      <w:r>
        <w:t xml:space="preserve">B. W-3 Port/Maritime Industrial Waterfront District The W-3 Port/Maritime Industrial Waterfront District is intended to promote maritime industrial and commercial uses within the areas of Providence's waterfront, protect the waterfront as a resource for water-dependent industrial uses, and facilitate the renewed use of a vital waterfront.</w:t>
      </w:r>
    </w:p>
    <w:bookmarkEnd w:id="68"/>
    <w:bookmarkStart w:id="69" w:name="uses-5"/>
    <w:p>
      <w:pPr>
        <w:pStyle w:val="Heading2"/>
      </w:pPr>
      <w:r>
        <w:t xml:space="preserve">§ 901. USES</w:t>
      </w:r>
    </w:p>
    <w:p>
      <w:pPr>
        <w:pStyle w:val="FirstParagraph"/>
      </w:pPr>
      <w:r>
        <w:t xml:space="preserve">901 USES Article 12 lists permitted and special principal uses and temporary uses for the waterfront districts. In the W- 3 District, all permitted and special uses shall be a part of a marine enterprise or dependent on access to the waterfront.</w:t>
      </w:r>
    </w:p>
    <w:bookmarkEnd w:id="69"/>
    <w:bookmarkStart w:id="70" w:name="dimensional-standards-5"/>
    <w:p>
      <w:pPr>
        <w:pStyle w:val="Heading2"/>
      </w:pPr>
      <w:r>
        <w:t xml:space="preserve">§ 902. DIMENSIONAL STANDARDS</w:t>
      </w:r>
    </w:p>
    <w:p>
      <w:pPr>
        <w:pStyle w:val="FirstParagraph"/>
      </w:pPr>
      <w:r>
        <w:t xml:space="preserve">902 DIMENSIONAL STANDARDS Table 9-1: Waterfront District Dimensional Standards establishes the dimensional standards for the waterfront districts. These regulations apply to all uses within each district unless a different standard is listed for a specific use.</w:t>
      </w:r>
    </w:p>
    <w:p>
      <w:pPr>
        <w:pStyle w:val="BodyText"/>
      </w:pPr>
      <w:r>
        <w:t xml:space="preserve">TABLE 9-1: WATERFRONT DISTRICT DIMENSIONAL STANDARDS W-2 W-3 Bulk Standards Minimum Lot Area None None Minimum Lot Width None None Maximum Building Height 75’ 90’ Minimum Setback Requirements Front Setback None None Interior Side Setback 6’ 6’ Corner Side Setback None None None, unless abutting a residential None, unless abutting a residential Rear Setback district, then 20’ district, then 30’</w:t>
      </w:r>
    </w:p>
    <w:bookmarkEnd w:id="70"/>
    <w:bookmarkStart w:id="71" w:name="w-2-district-design-standards"/>
    <w:p>
      <w:pPr>
        <w:pStyle w:val="Heading2"/>
      </w:pPr>
      <w:r>
        <w:t xml:space="preserve">§ 903. W-2 DISTRICT DESIGN STANDARDS</w:t>
      </w:r>
    </w:p>
    <w:p>
      <w:pPr>
        <w:pStyle w:val="FirstParagraph"/>
      </w:pPr>
      <w:r>
        <w:t xml:space="preserve">903 W-2 DISTRICT DESIGN STANDARDS The following design standards apply to new construction, including additions to existing structures, and substantial repair or rehabilitation of the exterior façade of an existing structure. In the case of repair or rehabilitation, only those standards that relate to the specific actions taken apply. These design standards apply to new and existing non-residential structures, including mixed-use development. Residential dwellings, except for multi-family and mixed-use developments, are not subject to these standards, but rather the standards for that particular dwelling type. The permitting authority may waive these design standards through Development Plan Review.</w:t>
      </w:r>
    </w:p>
    <w:p>
      <w:pPr>
        <w:numPr>
          <w:ilvl w:val="0"/>
          <w:numId w:val="1443"/>
        </w:numPr>
      </w:pPr>
      <w:r>
        <w:t xml:space="preserve">A. Façade</w:t>
      </w:r>
    </w:p>
    <w:p>
      <w:pPr>
        <w:numPr>
          <w:ilvl w:val="0"/>
          <w:numId w:val="1000"/>
        </w:numPr>
      </w:pPr>
      <w:r>
        <w:t xml:space="preserve">1. Building facades up to 100 linear feet in length shall not contain blank wall areas that exceed 25 linear feet, measured parallel to the street. Building facades that are 100 linear feet or more shall include a repeating architectural pattern with two or more of the following elements: color change, texture change, material change, or a wall articulation change such as a reveal, pilaster, or projecting rib.</w:t>
      </w:r>
    </w:p>
    <w:p>
      <w:pPr>
        <w:numPr>
          <w:ilvl w:val="0"/>
          <w:numId w:val="1444"/>
        </w:numPr>
      </w:pPr>
      <w:r>
        <w:t xml:space="preserve">B. Building Entry</w:t>
      </w:r>
    </w:p>
    <w:p>
      <w:pPr>
        <w:numPr>
          <w:ilvl w:val="0"/>
          <w:numId w:val="1000"/>
        </w:numPr>
      </w:pPr>
      <w:r>
        <w:t xml:space="preserve">1. All buildings shall have an entrance oriented to the sidewalk along the primary building frontage.</w:t>
      </w:r>
    </w:p>
    <w:p>
      <w:pPr>
        <w:numPr>
          <w:ilvl w:val="0"/>
          <w:numId w:val="1445"/>
        </w:numPr>
      </w:pPr>
      <w:r>
        <w:t xml:space="preserve">2. Building facades that are 100 or more linear feet in length shall incorporate building entrances no less than every 40 linear feet of building frontage along the primary building frontage. (Figure 9-1)</w:t>
      </w:r>
    </w:p>
    <w:p>
      <w:pPr>
        <w:pStyle w:val="Compact"/>
        <w:numPr>
          <w:ilvl w:val="0"/>
          <w:numId w:val="1446"/>
        </w:numPr>
      </w:pPr>
    </w:p>
    <w:p>
      <w:pPr>
        <w:numPr>
          <w:ilvl w:val="1"/>
          <w:numId w:val="1447"/>
        </w:numPr>
      </w:pPr>
      <w:r>
        <w:t xml:space="preserve">C. Fenestration</w:t>
      </w:r>
    </w:p>
    <w:p>
      <w:pPr>
        <w:numPr>
          <w:ilvl w:val="1"/>
          <w:numId w:val="1000"/>
        </w:numPr>
      </w:pPr>
      <w:r>
        <w:t xml:space="preserve">1. Ground floor façades shall contain a total area of transparency of 50% or more of the wall area of the ground floor, measured between two and nine feet above the adjacent grade. This requirement shall not apply to the portions of building façades that front on side lot lines on corner lots. For existing structures originally designed for retail use on the ground floor, the ground floor shall maintain the original storefront design and is not subject to the transparency minimum. For multifamily dwellings or residential portions of mixed-use buildings there shall be a total area of transparency of 15% or more of the wall area of the ground floor.</w:t>
      </w:r>
    </w:p>
    <w:p>
      <w:pPr>
        <w:numPr>
          <w:ilvl w:val="0"/>
          <w:numId w:val="1448"/>
        </w:numPr>
      </w:pPr>
      <w:r>
        <w:t xml:space="preserve">2. Ground floor and upper story windows in new and existing buildings shall be composed of glass with a visible light transmittance (VLT) of at least 50% and a maximum exterior reflectivity of no more than 12%. The use of opaque materials such as brick, metal, or sheet rock to cover or fill a window opening is prohibited.</w:t>
      </w:r>
    </w:p>
    <w:p>
      <w:pPr>
        <w:numPr>
          <w:ilvl w:val="0"/>
          <w:numId w:val="1449"/>
        </w:numPr>
      </w:pPr>
      <w:r>
        <w:t xml:space="preserve">3. Each upper story façade shall provide areas of transparency equal to at least 10% of the wall area of the story.</w:t>
      </w:r>
    </w:p>
    <w:p>
      <w:pPr>
        <w:numPr>
          <w:ilvl w:val="0"/>
          <w:numId w:val="1450"/>
        </w:numPr>
      </w:pPr>
      <w:r>
        <w:t xml:space="preserve">4. For windows on the ground floor of a building, the bottom of the window frame shall be located no higher than two feet above the adjacent grade. This provision shall not apply to windows for residential uses or the portions of building façades that front on side lot lines on corner lots.</w:t>
      </w:r>
    </w:p>
    <w:p>
      <w:pPr>
        <w:numPr>
          <w:ilvl w:val="0"/>
          <w:numId w:val="1451"/>
        </w:numPr>
      </w:pPr>
      <w:r>
        <w:t xml:space="preserve">5. Solid surface roll down security window guards are prohibited.</w:t>
      </w:r>
    </w:p>
    <w:p>
      <w:pPr>
        <w:pStyle w:val="Compact"/>
        <w:numPr>
          <w:ilvl w:val="0"/>
          <w:numId w:val="1452"/>
        </w:numPr>
      </w:pPr>
    </w:p>
    <w:p>
      <w:pPr>
        <w:numPr>
          <w:ilvl w:val="1"/>
          <w:numId w:val="1453"/>
        </w:numPr>
      </w:pPr>
      <w:r>
        <w:t xml:space="preserve">D. Roof</w:t>
      </w:r>
    </w:p>
    <w:p>
      <w:pPr>
        <w:numPr>
          <w:ilvl w:val="1"/>
          <w:numId w:val="1000"/>
        </w:numPr>
      </w:pPr>
      <w:r>
        <w:t xml:space="preserve">1. Parapet walls along the roof shall feature three-dimensional cornice treatments or other shadowcreating details.</w:t>
      </w:r>
    </w:p>
    <w:p>
      <w:pPr>
        <w:numPr>
          <w:ilvl w:val="0"/>
          <w:numId w:val="1454"/>
        </w:numPr>
      </w:pPr>
      <w:r>
        <w:t xml:space="preserve">2. Green roof, blue roof, and white roof designs are encouraged.</w:t>
      </w:r>
    </w:p>
    <w:p>
      <w:pPr>
        <w:numPr>
          <w:ilvl w:val="0"/>
          <w:numId w:val="1455"/>
        </w:numPr>
      </w:pPr>
      <w:r>
        <w:t xml:space="preserve">3. Reflective surfaces that produce glare are prohibited, except for solar panels and white roofs intended to radiate absorbed or non-reflected solar energy and reduce heat transfer to the building.</w:t>
      </w:r>
    </w:p>
    <w:p>
      <w:pPr>
        <w:pStyle w:val="Compact"/>
        <w:numPr>
          <w:ilvl w:val="0"/>
          <w:numId w:val="1456"/>
        </w:numPr>
      </w:pPr>
    </w:p>
    <w:p>
      <w:pPr>
        <w:numPr>
          <w:ilvl w:val="1"/>
          <w:numId w:val="1457"/>
        </w:numPr>
      </w:pPr>
      <w:r>
        <w:t xml:space="preserve">E. Building Materials</w:t>
      </w:r>
    </w:p>
    <w:p>
      <w:pPr>
        <w:numPr>
          <w:ilvl w:val="1"/>
          <w:numId w:val="1000"/>
        </w:numPr>
      </w:pPr>
      <w:r>
        <w:t xml:space="preserve">a. The following building materials are prohibited on any façade: i. Plain concrete block ii. Glass block iii. Exposed aggregate (rough finish) concrete wall panels iv. T-111 composite plywood siding v. Plastic vi. Vinyl (excluding cellular vinyl trim) is prohibited on first-story façades b. The following building materials are prohibited on any façade; however, such materials may be used as decorative or detail elements for up to 25% of the façade: i. Corrugated metal ii. Cellular vinyl trim c. Exterior insulating finish systems (EIFS) is permitted on the ground floor by waiver. An application for waiver under this subsection shall be approved provided that the following conditions are satisfied: i. Only EIFS that include an integral air and moisture barrier is permitted.</w:t>
      </w:r>
    </w:p>
    <w:p>
      <w:pPr>
        <w:pStyle w:val="Compact"/>
        <w:numPr>
          <w:ilvl w:val="0"/>
          <w:numId w:val="1458"/>
        </w:numPr>
      </w:pPr>
    </w:p>
    <w:p>
      <w:pPr>
        <w:pStyle w:val="Compact"/>
        <w:numPr>
          <w:ilvl w:val="1"/>
          <w:numId w:val="1459"/>
        </w:numPr>
      </w:pPr>
    </w:p>
    <w:p>
      <w:pPr>
        <w:numPr>
          <w:ilvl w:val="2"/>
          <w:numId w:val="1460"/>
        </w:numPr>
      </w:pPr>
      <w:r>
        <w:t xml:space="preserve">ii. So that it is impact resistant, for areas up to 8 feet above grade, the EIFS shall include a base mesh layer weighing a minimum 20 oz./sq. yd., followed by a second mesh layer weighing a minimum of 4 oz./sq. yd. For all areas exposed to direct impact higher than 8 feet above grade (such as balconies), the use of a single layer of reinforcing mesh with a minimum weight of 12 oz./sq. yd. is required.</w:t>
      </w:r>
    </w:p>
    <w:p>
      <w:pPr>
        <w:pStyle w:val="Compact"/>
        <w:numPr>
          <w:ilvl w:val="0"/>
          <w:numId w:val="1461"/>
        </w:numPr>
      </w:pPr>
    </w:p>
    <w:p>
      <w:pPr>
        <w:pStyle w:val="Compact"/>
        <w:numPr>
          <w:ilvl w:val="1"/>
          <w:numId w:val="1462"/>
        </w:numPr>
      </w:pPr>
    </w:p>
    <w:p>
      <w:pPr>
        <w:numPr>
          <w:ilvl w:val="2"/>
          <w:numId w:val="1463"/>
        </w:numPr>
      </w:pPr>
      <w:r>
        <w:t xml:space="preserve">iii. The material shall be an aesthetically-appropriate facsimile of stone, brick, stucco, metal panel, or other traditional building material.</w:t>
      </w:r>
    </w:p>
    <w:p>
      <w:pPr>
        <w:pStyle w:val="Compact"/>
        <w:numPr>
          <w:ilvl w:val="0"/>
          <w:numId w:val="1464"/>
        </w:numPr>
      </w:pPr>
    </w:p>
    <w:p>
      <w:pPr>
        <w:pStyle w:val="Compact"/>
        <w:numPr>
          <w:ilvl w:val="1"/>
          <w:numId w:val="1465"/>
        </w:numPr>
      </w:pPr>
    </w:p>
    <w:p>
      <w:pPr>
        <w:numPr>
          <w:ilvl w:val="2"/>
          <w:numId w:val="1466"/>
        </w:numPr>
      </w:pPr>
      <w:r>
        <w:t xml:space="preserve">iv. Removal or covering of historic features in order to install EIFS shall be prohibited.</w:t>
      </w:r>
    </w:p>
    <w:p>
      <w:pPr>
        <w:pStyle w:val="Compact"/>
        <w:numPr>
          <w:ilvl w:val="0"/>
          <w:numId w:val="1467"/>
        </w:numPr>
      </w:pPr>
    </w:p>
    <w:p>
      <w:pPr>
        <w:numPr>
          <w:ilvl w:val="1"/>
          <w:numId w:val="1468"/>
        </w:numPr>
      </w:pPr>
      <w:r>
        <w:t xml:space="preserve">F. Waterfront</w:t>
      </w:r>
    </w:p>
    <w:p>
      <w:pPr>
        <w:numPr>
          <w:ilvl w:val="1"/>
          <w:numId w:val="1000"/>
        </w:numPr>
      </w:pPr>
      <w:r>
        <w:t xml:space="preserve">1. New development is encouraged to maintain the view of the waterfront from any public street that extends to the waterfront or terminates prior to reaching the waterfront, but abuts the boundaries of this district.</w:t>
      </w:r>
    </w:p>
    <w:p>
      <w:pPr>
        <w:numPr>
          <w:ilvl w:val="0"/>
          <w:numId w:val="1469"/>
        </w:numPr>
      </w:pPr>
      <w:r>
        <w:t xml:space="preserve">2. Active ground floor uses are encouraged along waterfront facades. Outdoor extension of such uses, such as outdoor dining areas and plazas, are permitted.</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TABLE 9-1:</w:t>
            </w:r>
          </w:p>
        </w:tc>
        <w:tc>
          <w:tcPr/>
          <w:p>
            <w:pPr>
              <w:pStyle w:val="Compact"/>
              <w:jc w:val="left"/>
            </w:pPr>
            <w:r>
              <w:t xml:space="preserve">WATERFRONT DISTRICT DIMENSIONAL</w:t>
            </w:r>
          </w:p>
        </w:tc>
        <w:tc>
          <w:tcPr/>
          <w:p>
            <w:pPr>
              <w:pStyle w:val="Compact"/>
              <w:jc w:val="left"/>
            </w:pPr>
            <w:r>
              <w:t xml:space="preserve">STANDARDS</w:t>
            </w:r>
          </w:p>
        </w:tc>
        <w:tc>
          <w:tcPr/>
          <w:p>
            <w:pPr>
              <w:pStyle w:val="Compact"/>
            </w:pPr>
          </w:p>
        </w:tc>
      </w:tr>
      <w:tr>
        <w:tc>
          <w:tcPr/>
          <w:p>
            <w:pPr>
              <w:pStyle w:val="Compact"/>
            </w:pPr>
          </w:p>
        </w:tc>
        <w:tc>
          <w:tcPr/>
          <w:p>
            <w:pPr>
              <w:pStyle w:val="Compact"/>
            </w:pPr>
          </w:p>
        </w:tc>
        <w:tc>
          <w:tcPr/>
          <w:p>
            <w:pPr>
              <w:pStyle w:val="Compact"/>
              <w:jc w:val="left"/>
            </w:pPr>
            <w:r>
              <w:t xml:space="preserve">W-2</w:t>
            </w:r>
          </w:p>
        </w:tc>
        <w:tc>
          <w:tcPr/>
          <w:p>
            <w:pPr>
              <w:pStyle w:val="Compact"/>
              <w:jc w:val="left"/>
            </w:pPr>
            <w:r>
              <w:t xml:space="preserve">W-3</w:t>
            </w:r>
          </w:p>
        </w:tc>
        <w:tc>
          <w:tcPr/>
          <w:p>
            <w:pPr>
              <w:pStyle w:val="Compact"/>
            </w:pPr>
          </w:p>
        </w:tc>
      </w:tr>
      <w:tr>
        <w:tc>
          <w:tcPr/>
          <w:p>
            <w:pPr>
              <w:pStyle w:val="Compact"/>
            </w:pPr>
          </w:p>
        </w:tc>
        <w:tc>
          <w:tcPr/>
          <w:p>
            <w:pPr>
              <w:pStyle w:val="Compact"/>
              <w:jc w:val="left"/>
            </w:pPr>
            <w:r>
              <w:t xml:space="preserve">Bulk Standards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Minimum Lot Area</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Minimum Lot Width</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Maximum Building Height</w:t>
            </w:r>
          </w:p>
        </w:tc>
        <w:tc>
          <w:tcPr/>
          <w:p>
            <w:pPr>
              <w:pStyle w:val="Compact"/>
              <w:jc w:val="left"/>
            </w:pPr>
            <w:r>
              <w:t xml:space="preserve">75’</w:t>
            </w:r>
          </w:p>
        </w:tc>
        <w:tc>
          <w:tcPr/>
          <w:p>
            <w:pPr>
              <w:pStyle w:val="Compact"/>
              <w:jc w:val="left"/>
            </w:pPr>
            <w:r>
              <w:t xml:space="preserve">90’</w:t>
            </w:r>
          </w:p>
        </w:tc>
        <w:tc>
          <w:tcPr/>
          <w:p>
            <w:pPr>
              <w:pStyle w:val="Compact"/>
            </w:pPr>
          </w:p>
        </w:tc>
      </w:tr>
      <w:tr>
        <w:tc>
          <w:tcPr/>
          <w:p>
            <w:pPr>
              <w:pStyle w:val="Compact"/>
            </w:pPr>
          </w:p>
        </w:tc>
        <w:tc>
          <w:tcPr/>
          <w:p>
            <w:pPr>
              <w:pStyle w:val="Compact"/>
              <w:jc w:val="left"/>
            </w:pPr>
            <w:r>
              <w:t xml:space="preserve">Minimum Setback Requirements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Front Setback</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Interior Side Setback</w:t>
            </w:r>
          </w:p>
        </w:tc>
        <w:tc>
          <w:tcPr/>
          <w:p>
            <w:pPr>
              <w:pStyle w:val="Compact"/>
              <w:jc w:val="left"/>
            </w:pPr>
            <w:r>
              <w:t xml:space="preserve">6’</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Corner Side Setback</w:t>
            </w:r>
          </w:p>
        </w:tc>
        <w:tc>
          <w:tcPr/>
          <w:p>
            <w:pPr>
              <w:pStyle w:val="Compact"/>
              <w:jc w:val="left"/>
            </w:pPr>
            <w:r>
              <w:t xml:space="preserve">None</w:t>
            </w:r>
          </w:p>
        </w:tc>
        <w:tc>
          <w:tcPr/>
          <w:p>
            <w:pPr>
              <w:pStyle w:val="Compact"/>
              <w:jc w:val="left"/>
            </w:pPr>
            <w:r>
              <w:t xml:space="preserve">None</w:t>
            </w:r>
          </w:p>
        </w:tc>
        <w:tc>
          <w:tcPr/>
          <w:p>
            <w:pPr>
              <w:pStyle w:val="Compact"/>
            </w:pPr>
          </w:p>
        </w:tc>
      </w:tr>
      <w:tr>
        <w:tc>
          <w:tcPr/>
          <w:p>
            <w:pPr>
              <w:pStyle w:val="Compact"/>
            </w:pPr>
          </w:p>
        </w:tc>
        <w:tc>
          <w:tcPr/>
          <w:p>
            <w:pPr>
              <w:pStyle w:val="Compact"/>
              <w:jc w:val="left"/>
            </w:pPr>
            <w:r>
              <w:t xml:space="preserve">Rear Setback</w:t>
            </w:r>
          </w:p>
        </w:tc>
        <w:tc>
          <w:tcPr/>
          <w:p>
            <w:pPr>
              <w:pStyle w:val="Compact"/>
              <w:jc w:val="left"/>
            </w:pPr>
            <w:r>
              <w:t xml:space="preserve">None, unless abutting a residential district, then 20’</w:t>
            </w:r>
          </w:p>
        </w:tc>
        <w:tc>
          <w:tcPr/>
          <w:p>
            <w:pPr>
              <w:pStyle w:val="Compact"/>
              <w:jc w:val="left"/>
            </w:pPr>
            <w:r>
              <w:t xml:space="preserve">None, unless abutting a residential district, then 30’</w:t>
            </w:r>
          </w:p>
        </w:tc>
        <w:tc>
          <w:tcPr/>
          <w:p>
            <w:pPr>
              <w:pStyle w:val="Compact"/>
            </w:pPr>
          </w:p>
        </w:tc>
      </w:tr>
      <w:tr>
        <w:tc>
          <w:tcPr/>
          <w:p>
            <w:pPr>
              <w:pStyle w:val="Compact"/>
              <w:jc w:val="left"/>
            </w:pPr>
            <w:r>
              <w:t xml:space="preserve">903</w:t>
            </w:r>
          </w:p>
        </w:tc>
        <w:tc>
          <w:tcPr/>
          <w:p>
            <w:pPr>
              <w:pStyle w:val="Compact"/>
              <w:jc w:val="left"/>
            </w:pPr>
            <w:r>
              <w:t xml:space="preserve">W-2 DISTRICT DESIGN STANDARDS The following design standards substantial repair or rehabilitation rehabilitation, only those standards apply to new and existing dwellings, except for multi-family rather the standards for that standards through Development</w:t>
            </w:r>
          </w:p>
        </w:tc>
        <w:tc>
          <w:tcPr/>
          <w:p>
            <w:pPr>
              <w:pStyle w:val="Compact"/>
              <w:jc w:val="left"/>
            </w:pPr>
            <w:r>
              <w:t xml:space="preserve">apply to new construction, including of the exterior façade of an that relate to the specific actions non-residential structures, including and mixed-use developments, particular dwelling type. The permitting Plan Review.</w:t>
            </w:r>
          </w:p>
        </w:tc>
        <w:tc>
          <w:tcPr/>
          <w:p>
            <w:pPr>
              <w:pStyle w:val="Compact"/>
              <w:jc w:val="left"/>
            </w:pPr>
            <w:r>
              <w:t xml:space="preserve">additions to existing structures, existing structure. In the case of taken apply. These design mixed-use development. are not subject to these standards, authority may waive these</w:t>
            </w:r>
          </w:p>
        </w:tc>
        <w:tc>
          <w:tcPr/>
          <w:p>
            <w:pPr>
              <w:pStyle w:val="Compact"/>
              <w:jc w:val="left"/>
            </w:pPr>
            <w:r>
              <w:t xml:space="preserve">and repair or standards Residentialbut design</w:t>
            </w:r>
          </w:p>
        </w:tc>
      </w:tr>
    </w:tbl>
    <w:bookmarkEnd w:id="71"/>
    <w:bookmarkStart w:id="72" w:name="general-standards-of-applicability-5"/>
    <w:p>
      <w:pPr>
        <w:pStyle w:val="Heading2"/>
      </w:pPr>
      <w:r>
        <w:t xml:space="preserve">§ 904. GENERAL STANDARDS OF APPLICABILITY</w:t>
      </w:r>
    </w:p>
    <w:p>
      <w:pPr>
        <w:pStyle w:val="FirstParagraph"/>
      </w:pPr>
      <w:r>
        <w:t xml:space="preserve">904 GENERAL STANDARDS OF APPLICABILITY</w:t>
      </w:r>
    </w:p>
    <w:p>
      <w:pPr>
        <w:pStyle w:val="BodyText"/>
      </w:pPr>
      <w:r>
        <w:t xml:space="preserve">A. Site Development Standards</w:t>
      </w:r>
    </w:p>
    <w:p>
      <w:pPr>
        <w:pStyle w:val="BodyText"/>
      </w:pPr>
      <w:r>
        <w:t xml:space="preserve">See Article 13 for additional site development standards and requirements, such as exterior lighting, accessory structures and uses, and permitted encroachments.</w:t>
      </w:r>
    </w:p>
    <w:p>
      <w:pPr>
        <w:numPr>
          <w:ilvl w:val="0"/>
          <w:numId w:val="1470"/>
        </w:numPr>
      </w:pPr>
      <w:r>
        <w:t xml:space="preserve">B. Off-Street Parking and Loading See Article 14 for off-street parking and loading standards.</w:t>
      </w:r>
    </w:p>
    <w:p>
      <w:pPr>
        <w:numPr>
          <w:ilvl w:val="0"/>
          <w:numId w:val="1471"/>
        </w:numPr>
      </w:pPr>
      <w:r>
        <w:t xml:space="preserve">C. Trees and Landscaping See Article 15 for landscape requirements.</w:t>
      </w:r>
    </w:p>
    <w:p>
      <w:pPr>
        <w:numPr>
          <w:ilvl w:val="0"/>
          <w:numId w:val="1472"/>
        </w:numPr>
      </w:pPr>
      <w:r>
        <w:t xml:space="preserve">D. Signs See Article 16 for sign standards.</w:t>
      </w:r>
    </w:p>
    <w:bookmarkEnd w:id="72"/>
    <w:bookmarkStart w:id="73" w:name="open-space-and-public-space-districts"/>
    <w:p>
      <w:pPr>
        <w:pStyle w:val="Heading1"/>
      </w:pPr>
      <w:r>
        <w:t xml:space="preserve">§ 10. OPEN SPACE AND PUBLIC SPACE DISTRICTS</w:t>
      </w:r>
    </w:p>
    <w:p>
      <w:pPr>
        <w:pStyle w:val="FirstParagraph"/>
      </w:pPr>
      <w:r>
        <w:t xml:space="preserve">ARTICLE 10. OPEN SPACE AND PUBLIC SPACE DISTRICTS 1001 USES 1002 DIMENSIONAL STANDARDS 1003 REGULATIONS FOR CONSERVATION DISTRICTS</w:t>
      </w:r>
    </w:p>
    <w:bookmarkEnd w:id="73"/>
    <w:bookmarkStart w:id="74" w:name="purpose-statements-6"/>
    <w:p>
      <w:pPr>
        <w:pStyle w:val="Heading2"/>
      </w:pPr>
      <w:r>
        <w:t xml:space="preserve">§ 1000. PURPOSE STATEMENTS</w:t>
      </w:r>
    </w:p>
    <w:p>
      <w:pPr>
        <w:pStyle w:val="FirstParagraph"/>
      </w:pPr>
      <w:r>
        <w:t xml:space="preserve">1000 PURPOSE STATEMENTS</w:t>
      </w:r>
    </w:p>
    <w:p>
      <w:pPr>
        <w:pStyle w:val="BodyText"/>
      </w:pPr>
      <w:r>
        <w:t xml:space="preserve">A. OS Open Space District The OS Open Space District is intended to preserve open space areas, conservation areas, and outdoor recreation areas. The OS District includes parks, wetlands, flood plains, cemeteries, conservation areas, and areas that cannot be developed.</w:t>
      </w:r>
    </w:p>
    <w:p>
      <w:pPr>
        <w:numPr>
          <w:ilvl w:val="0"/>
          <w:numId w:val="1473"/>
        </w:numPr>
      </w:pPr>
      <w:r>
        <w:t xml:space="preserve">B. PS Public Space District The PS Public Space District is intended to preserve open space areas and areas for public buildings and facilities. The PS District includes park and recreation areas, public buildings, and schools.</w:t>
      </w:r>
    </w:p>
    <w:p>
      <w:pPr>
        <w:numPr>
          <w:ilvl w:val="0"/>
          <w:numId w:val="1474"/>
        </w:numPr>
      </w:pPr>
      <w:r>
        <w:t xml:space="preserve">C. CD Conservation District The CD Conservation District is intended to protect City-owned conservation areas.</w:t>
      </w:r>
    </w:p>
    <w:bookmarkEnd w:id="74"/>
    <w:bookmarkStart w:id="75" w:name="uses-6"/>
    <w:p>
      <w:pPr>
        <w:pStyle w:val="Heading2"/>
      </w:pPr>
      <w:r>
        <w:t xml:space="preserve">§ 1001. USES</w:t>
      </w:r>
    </w:p>
    <w:p>
      <w:pPr>
        <w:pStyle w:val="FirstParagraph"/>
      </w:pPr>
      <w:r>
        <w:t xml:space="preserve">1001 USES Article 12 lists permitted and special principal uses and temporary uses for the open space and public space districts.</w:t>
      </w:r>
    </w:p>
    <w:bookmarkEnd w:id="75"/>
    <w:bookmarkStart w:id="76" w:name="dimensional-standards-6"/>
    <w:p>
      <w:pPr>
        <w:pStyle w:val="Heading2"/>
      </w:pPr>
      <w:r>
        <w:t xml:space="preserve">§ 1002. DIMENSIONAL STANDARDS</w:t>
      </w:r>
    </w:p>
    <w:p>
      <w:pPr>
        <w:pStyle w:val="FirstParagraph"/>
      </w:pPr>
      <w:r>
        <w:t xml:space="preserve">1002 DIMENSIONAL STANDARDS Table 10-1: Open Space and Public Space District Dimensional Standards establish the dimensional standards for the open space districts. These regulations apply to all uses within each district unless a different standard is listed for a specific use. Because of the unique nature of a conservation area, there are no dimensional standards for the CD District.</w:t>
      </w:r>
    </w:p>
    <w:p>
      <w:pPr>
        <w:pStyle w:val="BodyText"/>
      </w:pPr>
      <w:r>
        <w:t xml:space="preserve">TABLE 10-1: OPEN SPACE AND PUBLIC SPACE DISTRICT DIMENSIONAL STANDARDS OS PS Bulk Standards Minimum Lot Area 0 0 Minimum Lot Width 0 0 Maximum Building Height 50’ 50’ Minimum Setback Requirements Front Setback 10’ 10’ Interior Side Setback 6’ 6’ Corner Side Setback 10’ 10’ Rear Setback 25’ 25’</w:t>
      </w:r>
    </w:p>
    <w:bookmarkEnd w:id="76"/>
    <w:bookmarkStart w:id="77" w:name="regulations-for-conservation-districts"/>
    <w:p>
      <w:pPr>
        <w:pStyle w:val="Heading2"/>
      </w:pPr>
      <w:r>
        <w:t xml:space="preserve">§ 1003. REGULATIONS FOR CONSERVATION DISTRICTS</w:t>
      </w:r>
    </w:p>
    <w:p>
      <w:pPr>
        <w:pStyle w:val="FirstParagraph"/>
      </w:pPr>
      <w:r>
        <w:t xml:space="preserve">1003 REGULATIONS FOR CONSERVATION DISTRICTS CD Conservation Districts shall be maintained pursuant to a management plan for the district approved by the Board of Park Commissioners. The management plan shall be consistent with the following regulations.</w:t>
      </w:r>
    </w:p>
    <w:p>
      <w:pPr>
        <w:numPr>
          <w:ilvl w:val="0"/>
          <w:numId w:val="1475"/>
        </w:numPr>
      </w:pPr>
      <w:r>
        <w:t xml:space="preserve">A. Permitted Uses and Activities in the CD Conservation District The following uses and activities are permitted in the CD Conservation District:</w:t>
      </w:r>
    </w:p>
    <w:p>
      <w:pPr>
        <w:numPr>
          <w:ilvl w:val="0"/>
          <w:numId w:val="1476"/>
        </w:numPr>
      </w:pPr>
      <w:r>
        <w:t xml:space="preserve">1. Passive enjoyment of the woodlands, rivers, streams, ponds and foot trails.</w:t>
      </w:r>
    </w:p>
    <w:p>
      <w:pPr>
        <w:numPr>
          <w:ilvl w:val="0"/>
          <w:numId w:val="1477"/>
        </w:numPr>
      </w:pPr>
      <w:r>
        <w:t xml:space="preserve">2. Protection and maintenance, including restoration as needed, of the natural woodlands for the safety and enjoyment of the residents of the City.</w:t>
      </w:r>
    </w:p>
    <w:p>
      <w:pPr>
        <w:numPr>
          <w:ilvl w:val="0"/>
          <w:numId w:val="1478"/>
        </w:numPr>
      </w:pPr>
      <w:r>
        <w:t xml:space="preserve">3. Maintenance and restoration of the foot trails that run through the woodlands and scenic views from the foot trails.</w:t>
      </w:r>
    </w:p>
    <w:p>
      <w:pPr>
        <w:numPr>
          <w:ilvl w:val="0"/>
          <w:numId w:val="1479"/>
        </w:numPr>
      </w:pPr>
      <w:r>
        <w:t xml:space="preserve">4. Maintenance and restoration of the vegetation, with occasional thinning and appropriate additional planting, and protection of the banks of rivers, streams, ponds, and coastal areas to prevent erosion.</w:t>
      </w:r>
    </w:p>
    <w:p>
      <w:pPr>
        <w:numPr>
          <w:ilvl w:val="0"/>
          <w:numId w:val="1480"/>
        </w:numPr>
      </w:pPr>
      <w:r>
        <w:t xml:space="preserve">5. Limited dredging of rivers, ponds, and coastal areas for restoration purposes.</w:t>
      </w:r>
    </w:p>
    <w:p>
      <w:pPr>
        <w:numPr>
          <w:ilvl w:val="0"/>
          <w:numId w:val="1481"/>
        </w:numPr>
      </w:pPr>
      <w:r>
        <w:t xml:space="preserve">6. Maintenance and restoration of streams, rivers, ponds, and wetlands.</w:t>
      </w:r>
    </w:p>
    <w:p>
      <w:pPr>
        <w:numPr>
          <w:ilvl w:val="0"/>
          <w:numId w:val="1482"/>
        </w:numPr>
      </w:pPr>
      <w:r>
        <w:t xml:space="preserve">7. Protection and encouragement of wildlife natural to the area.</w:t>
      </w:r>
    </w:p>
    <w:p>
      <w:pPr>
        <w:numPr>
          <w:ilvl w:val="0"/>
          <w:numId w:val="1483"/>
        </w:numPr>
      </w:pPr>
      <w:r>
        <w:t xml:space="preserve">8. Placement and maintenance of benches and trash receptacles for the enjoyment and health of the users of the urban forest.</w:t>
      </w:r>
    </w:p>
    <w:p>
      <w:pPr>
        <w:numPr>
          <w:ilvl w:val="0"/>
          <w:numId w:val="1484"/>
        </w:numPr>
      </w:pPr>
      <w:r>
        <w:t xml:space="preserve">9. Fishing (unless otherwise prohibited).</w:t>
      </w:r>
    </w:p>
    <w:p>
      <w:pPr>
        <w:numPr>
          <w:ilvl w:val="0"/>
          <w:numId w:val="1485"/>
        </w:numPr>
      </w:pPr>
      <w:r>
        <w:t xml:space="preserve">10. Such other uses as are consistent therewith.</w:t>
      </w:r>
    </w:p>
    <w:p>
      <w:pPr>
        <w:pStyle w:val="Compact"/>
        <w:numPr>
          <w:ilvl w:val="0"/>
          <w:numId w:val="1486"/>
        </w:numPr>
      </w:pPr>
    </w:p>
    <w:p>
      <w:pPr>
        <w:numPr>
          <w:ilvl w:val="1"/>
          <w:numId w:val="1487"/>
        </w:numPr>
      </w:pPr>
      <w:r>
        <w:t xml:space="preserve">B. Uses and Activities Prohibited in the CD Conservation Districts The following uses and activities are not permitted in the CD Conservation District:</w:t>
      </w:r>
    </w:p>
    <w:p>
      <w:pPr>
        <w:numPr>
          <w:ilvl w:val="0"/>
          <w:numId w:val="1488"/>
        </w:numPr>
      </w:pPr>
      <w:r>
        <w:t xml:space="preserve">1. Placement or construction of any buildings or structures, including fenced enclosures for domestic or other animals, or other improvements of any kind that are unrelated to the preservation and maintenance of the urban forest.</w:t>
      </w:r>
    </w:p>
    <w:p>
      <w:pPr>
        <w:numPr>
          <w:ilvl w:val="0"/>
          <w:numId w:val="1489"/>
        </w:numPr>
      </w:pPr>
      <w:r>
        <w:t xml:space="preserve">2. Development of the urban forest in any manner other than to restore or maintain the foot trails, woodlands, rivers, ponds and coastal areas.</w:t>
      </w:r>
    </w:p>
    <w:p>
      <w:pPr>
        <w:numPr>
          <w:ilvl w:val="0"/>
          <w:numId w:val="1490"/>
        </w:numPr>
      </w:pPr>
      <w:r>
        <w:t xml:space="preserve">3. All vehicles, including motorcycles, motorized bicycles, snowmobiles, all-terrain vehicles, except police, emergency, and maintenance vehicles.</w:t>
      </w:r>
    </w:p>
    <w:p>
      <w:pPr>
        <w:numPr>
          <w:ilvl w:val="0"/>
          <w:numId w:val="1491"/>
        </w:numPr>
      </w:pPr>
      <w:r>
        <w:t xml:space="preserve">4. Ditching, draining, diking, filling, excavating, dredging, mining or drilling, removal of topsoil, sand, gravel, rock, minerals, or other materials, or any building or roads or change in the topography of the land in any manner, except to restore or maintain the health of the woodlands, foot trails, rivers, streams, ponds and coastal areas.</w:t>
      </w:r>
    </w:p>
    <w:p>
      <w:pPr>
        <w:numPr>
          <w:ilvl w:val="0"/>
          <w:numId w:val="1492"/>
        </w:numPr>
      </w:pPr>
      <w:r>
        <w:t xml:space="preserve">5. Removal, destruction, or cutting of trees or plants, except as is necessary for maintenance or required to construct foot trails pursuant to a management plan.</w:t>
      </w:r>
    </w:p>
    <w:p>
      <w:pPr>
        <w:numPr>
          <w:ilvl w:val="0"/>
          <w:numId w:val="1493"/>
        </w:numPr>
      </w:pPr>
      <w:r>
        <w:t xml:space="preserve">6. Use of fertilizers, spraying with biocides and introduction of non-native plants and animals, except as may be authorized by a management plan.</w:t>
      </w:r>
    </w:p>
    <w:p>
      <w:pPr>
        <w:numPr>
          <w:ilvl w:val="0"/>
          <w:numId w:val="1494"/>
        </w:numPr>
      </w:pPr>
      <w:r>
        <w:t xml:space="preserve">7. Dumping or storing of ashes, trash, garbage, wastes, refuse, debris or other materials, and the changing of the topography through the placement of solid or other substances or materials such as land fill or dredging spoils, except to restore or maintain the health of the woodlands or rivers, streams or ponds in accordance with a management plan.</w:t>
      </w:r>
    </w:p>
    <w:p>
      <w:pPr>
        <w:numPr>
          <w:ilvl w:val="0"/>
          <w:numId w:val="1495"/>
        </w:numPr>
      </w:pPr>
      <w:r>
        <w:t xml:space="preserve">8. Activities on areas adjoining the district that will adversely affect the woodlands, rivers, streams, ponds and wetlands, including erosion or siltation of same.</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TABLE 10-1: OPEN SPACE AND</w:t>
            </w:r>
          </w:p>
        </w:tc>
        <w:tc>
          <w:tcPr/>
          <w:p>
            <w:pPr>
              <w:pStyle w:val="Compact"/>
              <w:jc w:val="left"/>
            </w:pPr>
            <w:r>
              <w:t xml:space="preserve">PUBLIC SPACE DISTRICT</w:t>
            </w:r>
          </w:p>
        </w:tc>
        <w:tc>
          <w:tcPr/>
          <w:p>
            <w:pPr>
              <w:pStyle w:val="Compact"/>
              <w:jc w:val="left"/>
            </w:pPr>
            <w:r>
              <w:t xml:space="preserve">DIMENSIONAL STANDARDS</w:t>
            </w:r>
          </w:p>
        </w:tc>
        <w:tc>
          <w:tcPr/>
          <w:p>
            <w:pPr>
              <w:pStyle w:val="Compact"/>
            </w:pPr>
          </w:p>
        </w:tc>
      </w:tr>
      <w:tr>
        <w:tc>
          <w:tcPr/>
          <w:p>
            <w:pPr>
              <w:pStyle w:val="Compact"/>
            </w:pPr>
          </w:p>
        </w:tc>
        <w:tc>
          <w:tcPr/>
          <w:p>
            <w:pPr>
              <w:pStyle w:val="Compact"/>
            </w:pPr>
          </w:p>
        </w:tc>
        <w:tc>
          <w:tcPr/>
          <w:p>
            <w:pPr>
              <w:pStyle w:val="Compact"/>
              <w:jc w:val="left"/>
            </w:pPr>
            <w:r>
              <w:t xml:space="preserve">OS</w:t>
            </w:r>
          </w:p>
        </w:tc>
        <w:tc>
          <w:tcPr/>
          <w:p>
            <w:pPr>
              <w:pStyle w:val="Compact"/>
              <w:jc w:val="left"/>
            </w:pPr>
            <w:r>
              <w:t xml:space="preserve">PS</w:t>
            </w:r>
          </w:p>
        </w:tc>
        <w:tc>
          <w:tcPr/>
          <w:p>
            <w:pPr>
              <w:pStyle w:val="Compact"/>
            </w:pPr>
          </w:p>
        </w:tc>
      </w:tr>
      <w:tr>
        <w:tc>
          <w:tcPr/>
          <w:p>
            <w:pPr>
              <w:pStyle w:val="Compact"/>
            </w:pPr>
          </w:p>
        </w:tc>
        <w:tc>
          <w:tcPr/>
          <w:p>
            <w:pPr>
              <w:pStyle w:val="Compact"/>
              <w:jc w:val="left"/>
            </w:pPr>
            <w:r>
              <w:t xml:space="preserve">Bulk Standards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Minimum Lot Area</w:t>
            </w:r>
          </w:p>
        </w:tc>
        <w:tc>
          <w:tcPr/>
          <w:p>
            <w:pPr>
              <w:pStyle w:val="Compact"/>
              <w:jc w:val="left"/>
            </w:pPr>
            <w:r>
              <w:t xml:space="preserve">0</w:t>
            </w:r>
          </w:p>
        </w:tc>
        <w:tc>
          <w:tcPr/>
          <w:p>
            <w:pPr>
              <w:pStyle w:val="Compact"/>
              <w:jc w:val="left"/>
            </w:pPr>
            <w:r>
              <w:t xml:space="preserve">0</w:t>
            </w:r>
          </w:p>
        </w:tc>
        <w:tc>
          <w:tcPr/>
          <w:p>
            <w:pPr>
              <w:pStyle w:val="Compact"/>
            </w:pPr>
          </w:p>
        </w:tc>
      </w:tr>
      <w:tr>
        <w:tc>
          <w:tcPr/>
          <w:p>
            <w:pPr>
              <w:pStyle w:val="Compact"/>
            </w:pPr>
          </w:p>
        </w:tc>
        <w:tc>
          <w:tcPr/>
          <w:p>
            <w:pPr>
              <w:pStyle w:val="Compact"/>
              <w:jc w:val="left"/>
            </w:pPr>
            <w:r>
              <w:t xml:space="preserve">Minimum Lot Width</w:t>
            </w:r>
          </w:p>
        </w:tc>
        <w:tc>
          <w:tcPr/>
          <w:p>
            <w:pPr>
              <w:pStyle w:val="Compact"/>
              <w:jc w:val="left"/>
            </w:pPr>
            <w:r>
              <w:t xml:space="preserve">0</w:t>
            </w:r>
          </w:p>
        </w:tc>
        <w:tc>
          <w:tcPr/>
          <w:p>
            <w:pPr>
              <w:pStyle w:val="Compact"/>
              <w:jc w:val="left"/>
            </w:pPr>
            <w:r>
              <w:t xml:space="preserve">0</w:t>
            </w:r>
          </w:p>
        </w:tc>
        <w:tc>
          <w:tcPr/>
          <w:p>
            <w:pPr>
              <w:pStyle w:val="Compact"/>
            </w:pPr>
          </w:p>
        </w:tc>
      </w:tr>
      <w:tr>
        <w:tc>
          <w:tcPr/>
          <w:p>
            <w:pPr>
              <w:pStyle w:val="Compact"/>
            </w:pPr>
          </w:p>
        </w:tc>
        <w:tc>
          <w:tcPr/>
          <w:p>
            <w:pPr>
              <w:pStyle w:val="Compact"/>
              <w:jc w:val="left"/>
            </w:pPr>
            <w:r>
              <w:t xml:space="preserve">Maximum Building Height</w:t>
            </w:r>
          </w:p>
        </w:tc>
        <w:tc>
          <w:tcPr/>
          <w:p>
            <w:pPr>
              <w:pStyle w:val="Compact"/>
              <w:jc w:val="left"/>
            </w:pPr>
            <w:r>
              <w:t xml:space="preserve">50’</w:t>
            </w:r>
          </w:p>
        </w:tc>
        <w:tc>
          <w:tcPr/>
          <w:p>
            <w:pPr>
              <w:pStyle w:val="Compact"/>
              <w:jc w:val="left"/>
            </w:pPr>
            <w:r>
              <w:t xml:space="preserve">50’</w:t>
            </w:r>
          </w:p>
        </w:tc>
        <w:tc>
          <w:tcPr/>
          <w:p>
            <w:pPr>
              <w:pStyle w:val="Compact"/>
            </w:pPr>
          </w:p>
        </w:tc>
      </w:tr>
      <w:tr>
        <w:tc>
          <w:tcPr/>
          <w:p>
            <w:pPr>
              <w:pStyle w:val="Compact"/>
            </w:pPr>
          </w:p>
        </w:tc>
        <w:tc>
          <w:tcPr/>
          <w:p>
            <w:pPr>
              <w:pStyle w:val="Compact"/>
              <w:jc w:val="left"/>
            </w:pPr>
            <w:r>
              <w:t xml:space="preserve">Minimum Setback Requirements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Front Setback</w:t>
            </w:r>
          </w:p>
        </w:tc>
        <w:tc>
          <w:tcPr/>
          <w:p>
            <w:pPr>
              <w:pStyle w:val="Compact"/>
              <w:jc w:val="left"/>
            </w:pPr>
            <w:r>
              <w:t xml:space="preserve">10’</w:t>
            </w:r>
          </w:p>
        </w:tc>
        <w:tc>
          <w:tcPr/>
          <w:p>
            <w:pPr>
              <w:pStyle w:val="Compact"/>
              <w:jc w:val="left"/>
            </w:pPr>
            <w:r>
              <w:t xml:space="preserve">10’</w:t>
            </w:r>
          </w:p>
        </w:tc>
        <w:tc>
          <w:tcPr/>
          <w:p>
            <w:pPr>
              <w:pStyle w:val="Compact"/>
            </w:pPr>
          </w:p>
        </w:tc>
      </w:tr>
      <w:tr>
        <w:tc>
          <w:tcPr/>
          <w:p>
            <w:pPr>
              <w:pStyle w:val="Compact"/>
            </w:pPr>
          </w:p>
        </w:tc>
        <w:tc>
          <w:tcPr/>
          <w:p>
            <w:pPr>
              <w:pStyle w:val="Compact"/>
              <w:jc w:val="left"/>
            </w:pPr>
            <w:r>
              <w:t xml:space="preserve">Interior Side Setback</w:t>
            </w:r>
          </w:p>
        </w:tc>
        <w:tc>
          <w:tcPr/>
          <w:p>
            <w:pPr>
              <w:pStyle w:val="Compact"/>
              <w:jc w:val="left"/>
            </w:pPr>
            <w:r>
              <w:t xml:space="preserve">6’</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Corner Side Setback</w:t>
            </w:r>
          </w:p>
        </w:tc>
        <w:tc>
          <w:tcPr/>
          <w:p>
            <w:pPr>
              <w:pStyle w:val="Compact"/>
              <w:jc w:val="left"/>
            </w:pPr>
            <w:r>
              <w:t xml:space="preserve">10’</w:t>
            </w:r>
          </w:p>
        </w:tc>
        <w:tc>
          <w:tcPr/>
          <w:p>
            <w:pPr>
              <w:pStyle w:val="Compact"/>
              <w:jc w:val="left"/>
            </w:pPr>
            <w:r>
              <w:t xml:space="preserve">10’</w:t>
            </w:r>
          </w:p>
        </w:tc>
        <w:tc>
          <w:tcPr/>
          <w:p>
            <w:pPr>
              <w:pStyle w:val="Compact"/>
            </w:pPr>
          </w:p>
        </w:tc>
      </w:tr>
      <w:tr>
        <w:tc>
          <w:tcPr/>
          <w:p>
            <w:pPr>
              <w:pStyle w:val="Compact"/>
            </w:pPr>
          </w:p>
        </w:tc>
        <w:tc>
          <w:tcPr/>
          <w:p>
            <w:pPr>
              <w:pStyle w:val="Compact"/>
              <w:jc w:val="left"/>
            </w:pPr>
            <w:r>
              <w:t xml:space="preserve">Rear Setback</w:t>
            </w:r>
          </w:p>
        </w:tc>
        <w:tc>
          <w:tcPr/>
          <w:p>
            <w:pPr>
              <w:pStyle w:val="Compact"/>
              <w:jc w:val="left"/>
            </w:pPr>
            <w:r>
              <w:t xml:space="preserve">25’</w:t>
            </w:r>
          </w:p>
        </w:tc>
        <w:tc>
          <w:tcPr/>
          <w:p>
            <w:pPr>
              <w:pStyle w:val="Compact"/>
              <w:jc w:val="left"/>
            </w:pPr>
            <w:r>
              <w:t xml:space="preserve">25’</w:t>
            </w:r>
          </w:p>
        </w:tc>
        <w:tc>
          <w:tcPr/>
          <w:p>
            <w:pPr>
              <w:pStyle w:val="Compact"/>
            </w:pPr>
          </w:p>
        </w:tc>
      </w:tr>
      <w:tr>
        <w:tc>
          <w:tcPr/>
          <w:p>
            <w:pPr>
              <w:pStyle w:val="Compact"/>
              <w:jc w:val="left"/>
            </w:pPr>
            <w:r>
              <w:t xml:space="preserve">1003 CD Board A.</w:t>
            </w:r>
          </w:p>
        </w:tc>
        <w:tc>
          <w:tcPr/>
          <w:p>
            <w:pPr>
              <w:pStyle w:val="Compact"/>
              <w:jc w:val="left"/>
            </w:pPr>
            <w:r>
              <w:t xml:space="preserve">REGULATIONS FOR CONSERVATION Conservation Districts shall be maintained of Park Commissioners. The Permitted Uses and Activities in The following uses and activities are Passive enjoyment of the woodlands, 1.</w:t>
            </w:r>
          </w:p>
        </w:tc>
        <w:tc>
          <w:tcPr/>
          <w:p>
            <w:pPr>
              <w:pStyle w:val="Compact"/>
              <w:jc w:val="left"/>
            </w:pPr>
            <w:r>
              <w:t xml:space="preserve">DISTRICTS pursuant to a management management plan shall be consistent the CD Conservation District permitted in the CD Conservation rivers, streams, ponds</w:t>
            </w:r>
          </w:p>
        </w:tc>
        <w:tc>
          <w:tcPr/>
          <w:p>
            <w:pPr>
              <w:pStyle w:val="Compact"/>
              <w:jc w:val="left"/>
            </w:pPr>
            <w:r>
              <w:t xml:space="preserve">plan for the district with the following regulations. District: and foot trails.</w:t>
            </w:r>
          </w:p>
        </w:tc>
        <w:tc>
          <w:tcPr/>
          <w:p>
            <w:pPr>
              <w:pStyle w:val="Compact"/>
              <w:jc w:val="left"/>
            </w:pPr>
            <w:r>
              <w:t xml:space="preserve">approved by the</w:t>
            </w:r>
          </w:p>
        </w:tc>
      </w:tr>
    </w:tbl>
    <w:bookmarkEnd w:id="77"/>
    <w:bookmarkStart w:id="78" w:name="general-standards-of-applicability-6"/>
    <w:p>
      <w:pPr>
        <w:pStyle w:val="Heading2"/>
      </w:pPr>
      <w:r>
        <w:t xml:space="preserve">§ 1004. GENERAL STANDARDS OF APPLICABILITY</w:t>
      </w:r>
    </w:p>
    <w:p>
      <w:pPr>
        <w:pStyle w:val="FirstParagraph"/>
      </w:pPr>
      <w:r>
        <w:t xml:space="preserve">1004 GENERAL STANDARDS OF APPLICABILITY</w:t>
      </w:r>
    </w:p>
    <w:p>
      <w:pPr>
        <w:pStyle w:val="BodyText"/>
      </w:pPr>
      <w:r>
        <w:t xml:space="preserve">A. Site Development Standards</w:t>
      </w:r>
    </w:p>
    <w:p>
      <w:pPr>
        <w:pStyle w:val="BodyText"/>
      </w:pPr>
      <w:r>
        <w:t xml:space="preserve">See Article 13 for additional site development standards and requirements, such as exterior lighting, accessory structures and uses, and permitted encroachments.</w:t>
      </w:r>
    </w:p>
    <w:p>
      <w:pPr>
        <w:numPr>
          <w:ilvl w:val="0"/>
          <w:numId w:val="1496"/>
        </w:numPr>
      </w:pPr>
      <w:r>
        <w:t xml:space="preserve">B. Off-Street Parking and Loading See Article 14 for off-street parking and loading standards.</w:t>
      </w:r>
    </w:p>
    <w:p>
      <w:pPr>
        <w:numPr>
          <w:ilvl w:val="0"/>
          <w:numId w:val="1497"/>
        </w:numPr>
      </w:pPr>
      <w:r>
        <w:t xml:space="preserve">C. Trees and Landscaping See Article 15 for landscape requirements.</w:t>
      </w:r>
    </w:p>
    <w:p>
      <w:pPr>
        <w:numPr>
          <w:ilvl w:val="0"/>
          <w:numId w:val="1498"/>
        </w:numPr>
      </w:pPr>
      <w:r>
        <w:t xml:space="preserve">D. Signs See Article 16 for sign standards.</w:t>
      </w:r>
    </w:p>
    <w:bookmarkEnd w:id="78"/>
    <w:bookmarkStart w:id="79" w:name="special-purpose-districts"/>
    <w:p>
      <w:pPr>
        <w:pStyle w:val="Heading1"/>
      </w:pPr>
      <w:r>
        <w:t xml:space="preserve">§ 11. SPECIAL PURPOSE DISTRICTS</w:t>
      </w:r>
    </w:p>
    <w:p>
      <w:pPr>
        <w:pStyle w:val="FirstParagraph"/>
      </w:pPr>
      <w:r>
        <w:t xml:space="preserve">ARTICLE 11. SPECIAL PURPOSE DISTRICTS 1101 RESERVED 1102 DD DOWNCITY OVERLAY DISTRICT 1103 ES EAST SIDE I-195 OVERLAY DISTRICT 1104 HD HISTORIC DISTRICT OVERLAY DISTRICT 1105 TOD TRANSIT-ORIENTED DEVELOPMENT OVERLAY DISTRICT 1106 I-3E EDUCATIONAL INSTITUTIONAL OVERLAY DISTRICT 1107 I-3H HEALTH CARE INSTITUTIONAL OVERLAY DISTRICT</w:t>
      </w:r>
    </w:p>
    <w:bookmarkEnd w:id="79"/>
    <w:bookmarkStart w:id="80" w:name="purpose-statements-7"/>
    <w:p>
      <w:pPr>
        <w:pStyle w:val="Heading2"/>
      </w:pPr>
      <w:r>
        <w:t xml:space="preserve">§ 1100. PURPOSE STATEMENTS</w:t>
      </w:r>
    </w:p>
    <w:p>
      <w:pPr>
        <w:pStyle w:val="FirstParagraph"/>
      </w:pPr>
      <w:r>
        <w:t xml:space="preserve">1100 PURPOSE STATEMENTS</w:t>
      </w:r>
    </w:p>
    <w:p>
      <w:pPr>
        <w:pStyle w:val="BodyText"/>
      </w:pPr>
      <w:r>
        <w:t xml:space="preserve">A. Reserved</w:t>
      </w:r>
    </w:p>
    <w:p>
      <w:pPr>
        <w:numPr>
          <w:ilvl w:val="0"/>
          <w:numId w:val="1499"/>
        </w:numPr>
      </w:pPr>
      <w:r>
        <w:t xml:space="preserve">B. DD Downcity District Overlay District The DD Downcity District Overlay District is intended to regulate the design of buildings and open spaces in the historic core of Downtown Providence, and by fostering preservation of historic structures, to ensure that: new development is compatible with the existing historic building fabric and the historic character of downtown; historic structures are preserved, and design alterations are in keeping with historic character; development relates to the pedestrian; development promotes the arts, entertainment and housing; and, the goals of the Comprehensive Plan are achieved.</w:t>
      </w:r>
    </w:p>
    <w:p>
      <w:pPr>
        <w:numPr>
          <w:ilvl w:val="0"/>
          <w:numId w:val="1500"/>
        </w:numPr>
      </w:pPr>
      <w:r>
        <w:t xml:space="preserve">C. ES East Side I-195 Overlay District The ES East Side 1-195 Overlay District is intended to regulate future land use and development of East Side surplus land made available through the relocation of Interstate 195. The regulations provided in the overlay district will ensure that future development establishes an urban block structure, creates continuous building frontages, and promotes urban vibrancy. Furthermore, the regulations will foster development that is context-sensitive, pedestrian-friendly, and mixed-use, and improves pedestrian and vehicular accessibility in the Fox Point neighborhood and along the Providence Riverfront.</w:t>
      </w:r>
    </w:p>
    <w:p>
      <w:pPr>
        <w:numPr>
          <w:ilvl w:val="0"/>
          <w:numId w:val="1501"/>
        </w:numPr>
      </w:pPr>
      <w:r>
        <w:t xml:space="preserve">D. HD Historic District Overlay District The HD Historic District Overlay District covers designated districts or individual structures in the City of Providence. The purpose of historic districts is to safeguard the heritage of the city by preserving designated districts and individual structures of historic or architectural value which reflect elements of Providence's cultural, social, economic, political, and architectural history; to stabilize and improve property values in such districts or designated structures; to maintain and foster civic beauty; to strengthen the economy; and to promote the use of designated districts and structures for the education, pleasure and welfare of the citizens. Historic districts may include properties associated with broad patterns, events, and/or people significant in local, state or national history; which embody the distinctive characteristics of a broad range of building types and architectural styles and which may possess high artistic value and/or represent the work of a master builder, architect, landscape architect or other designer; and which lack individual distinction but which add to the historic district zone's status as a significant and distinguishable socio-cultural entity.</w:t>
      </w:r>
    </w:p>
    <w:p>
      <w:pPr>
        <w:numPr>
          <w:ilvl w:val="0"/>
          <w:numId w:val="1502"/>
        </w:numPr>
      </w:pPr>
      <w:r>
        <w:t xml:space="preserve">E. TOD Transit-Oriented Development Overlay District The TOD Transit-Oriented Development Overlay District is intended to encourage the location of uses and forms of development that maximizes access to transit and encourages transit ridership. The TOD Overlay District is intended to promote new, well-integrated residential and commercial development around existing and potential future transit stations. The TOD Overlay District standards ensure that new development occurs in the form of compatible, higher density, transit-friendly design in close proximity to transit systems, encourage a pedestrian-orientation in new development, decrease reliance on automobiles, and encourage multi-modal mobility.</w:t>
      </w:r>
    </w:p>
    <w:p>
      <w:pPr>
        <w:numPr>
          <w:ilvl w:val="0"/>
          <w:numId w:val="1503"/>
        </w:numPr>
      </w:pPr>
      <w:r>
        <w:t xml:space="preserve">F. I-3E Educational Institutional Overlay District The I-3E Educational Institutional Overlay District is intended to encourage development in Downtown and along the City’s commercial corridors by permitting higher education institutional uses, student housing, and practicums in addition to a variety of commercial, entertainment, residential, public, and other uses in select areas. Compatible and appropriate mixed-uses are encouraged to promote pedestrian activity at street levels while encouraging full and varied use on the upper floors. This district is intended to encourage the development of educational uses while preserving and fostering the economic vitality of the Downtown and the City’s commercial corridors.</w:t>
      </w:r>
    </w:p>
    <w:p>
      <w:pPr>
        <w:numPr>
          <w:ilvl w:val="0"/>
          <w:numId w:val="1504"/>
        </w:numPr>
      </w:pPr>
      <w:r>
        <w:t xml:space="preserve">G. I-3H Health Care Institutional Overlay District The I-3H Health Care Institutional Overlay District is intended to encourage development in Downtown and along the City’s commercial corridors by permitting health care institutional uses including related uses such as research and development facilities and offices, in addition to a variety of commercial, entertainment, residential, public, and other uses in select areas. Compatible and appropriate mixed-uses are encouraged to promote pedestrian activity at street levels while encouraging full and varied use on the upper floors. This district is intended to encourage the development of health care uses while preserving and fostering the economic vitality of the Downtown and the City’s commercial corridors.</w:t>
      </w:r>
    </w:p>
    <w:bookmarkEnd w:id="80"/>
    <w:bookmarkStart w:id="81" w:name="reserved"/>
    <w:p>
      <w:pPr>
        <w:pStyle w:val="Heading2"/>
      </w:pPr>
      <w:r>
        <w:t xml:space="preserve">§ 1101. RESERVED</w:t>
      </w:r>
    </w:p>
    <w:p>
      <w:pPr>
        <w:pStyle w:val="FirstParagraph"/>
      </w:pPr>
      <w:r>
        <w:t xml:space="preserve">1101 RESERVED</w:t>
      </w:r>
    </w:p>
    <w:bookmarkEnd w:id="81"/>
    <w:bookmarkStart w:id="82" w:name="dd-downcity-overlay-district"/>
    <w:p>
      <w:pPr>
        <w:pStyle w:val="Heading2"/>
      </w:pPr>
      <w:r>
        <w:t xml:space="preserve">§ 1102. DD DOWNCITY OVERLAY DISTRICT</w:t>
      </w:r>
    </w:p>
    <w:p>
      <w:pPr>
        <w:pStyle w:val="FirstParagraph"/>
      </w:pPr>
      <w:r>
        <w:t xml:space="preserve">1102 DD DOWNCITY OVERLAY DISTRICT</w:t>
      </w:r>
    </w:p>
    <w:p>
      <w:pPr>
        <w:numPr>
          <w:ilvl w:val="0"/>
          <w:numId w:val="1505"/>
        </w:numPr>
      </w:pPr>
      <w:r>
        <w:t xml:space="preserve">A. Application The DD Downcity Overlay District is intended to regulate the design of buildings and open space in the historic core of Downtown. The DD Overlay District is located entirely within the D-1 District.</w:t>
      </w:r>
    </w:p>
    <w:p>
      <w:pPr>
        <w:numPr>
          <w:ilvl w:val="0"/>
          <w:numId w:val="1506"/>
        </w:numPr>
      </w:pPr>
      <w:r>
        <w:t xml:space="preserve">B. Development Plan Review and Approval Development in the DD Overlay District is subject to Development Plan Review and is approved by the Downtown Design Review Committee.</w:t>
      </w:r>
    </w:p>
    <w:bookmarkEnd w:id="82"/>
    <w:bookmarkStart w:id="83" w:name="es-east-side-i-195-overlay-district"/>
    <w:p>
      <w:pPr>
        <w:pStyle w:val="Heading2"/>
      </w:pPr>
      <w:r>
        <w:t xml:space="preserve">§ 1103. ES EAST SIDE I-195 OVERLAY DISTRICT</w:t>
      </w:r>
    </w:p>
    <w:p>
      <w:pPr>
        <w:pStyle w:val="FirstParagraph"/>
      </w:pPr>
      <w:r>
        <w:t xml:space="preserve">1103 ES EAST SIDE I-195 OVERLAY DISTRICT</w:t>
      </w:r>
    </w:p>
    <w:p>
      <w:pPr>
        <w:numPr>
          <w:ilvl w:val="0"/>
          <w:numId w:val="1507"/>
        </w:numPr>
      </w:pPr>
      <w:r>
        <w:t xml:space="preserve">A. Application The design standards contained in this Section apply to all existing structures and new construction on property within the ES East Side I-195 Overlay District. The ES Overlay District applies to lots zoned the C-2, W-2, and OS District in the Fox Point neighborhood on the East Side of Providence.</w:t>
      </w:r>
    </w:p>
    <w:p>
      <w:pPr>
        <w:numPr>
          <w:ilvl w:val="0"/>
          <w:numId w:val="1508"/>
        </w:numPr>
      </w:pPr>
      <w:r>
        <w:t xml:space="preserve">B. Development Review and Approval All development in the ES Overlay District is subject to Development Plan Review by the Downtown Design Review Committee following the process outlined in Article 19.</w:t>
      </w:r>
    </w:p>
    <w:p>
      <w:pPr>
        <w:numPr>
          <w:ilvl w:val="0"/>
          <w:numId w:val="1509"/>
        </w:numPr>
      </w:pPr>
      <w:r>
        <w:t xml:space="preserve">C. Prohibited Uses The following uses are prohibited in the ES Overlay District:</w:t>
      </w:r>
    </w:p>
    <w:p>
      <w:pPr>
        <w:numPr>
          <w:ilvl w:val="0"/>
          <w:numId w:val="1510"/>
        </w:numPr>
      </w:pPr>
      <w:r>
        <w:t xml:space="preserve">1. Principal uses that require enclosed buildings that are not inhabited by people and have no windows.</w:t>
      </w:r>
    </w:p>
    <w:p>
      <w:pPr>
        <w:numPr>
          <w:ilvl w:val="0"/>
          <w:numId w:val="1511"/>
        </w:numPr>
      </w:pPr>
      <w:r>
        <w:t xml:space="preserve">2. Parking lots as a principal use.</w:t>
      </w:r>
    </w:p>
    <w:p>
      <w:pPr>
        <w:numPr>
          <w:ilvl w:val="0"/>
          <w:numId w:val="1512"/>
        </w:numPr>
      </w:pPr>
      <w:r>
        <w:t xml:space="preserve">3. Ground floor residential development along Wickenden Street frontage.</w:t>
      </w:r>
    </w:p>
    <w:p>
      <w:pPr>
        <w:numPr>
          <w:ilvl w:val="0"/>
          <w:numId w:val="1513"/>
        </w:numPr>
      </w:pPr>
      <w:r>
        <w:t xml:space="preserve">4. Single-family dwellings.</w:t>
      </w:r>
    </w:p>
    <w:p>
      <w:pPr>
        <w:numPr>
          <w:ilvl w:val="0"/>
          <w:numId w:val="1514"/>
        </w:numPr>
      </w:pPr>
      <w:r>
        <w:t xml:space="preserve">5. Auto-oriented or automotive uses including gas stations, car washes, vehicle service/repair, vehicle operation facility, and retail uses with drive-through facilities.</w:t>
      </w:r>
    </w:p>
    <w:p>
      <w:pPr>
        <w:pStyle w:val="Compact"/>
        <w:numPr>
          <w:ilvl w:val="0"/>
          <w:numId w:val="1515"/>
        </w:numPr>
      </w:pPr>
    </w:p>
    <w:p>
      <w:pPr>
        <w:numPr>
          <w:ilvl w:val="1"/>
          <w:numId w:val="1516"/>
        </w:numPr>
      </w:pPr>
      <w:r>
        <w:t xml:space="preserve">D. Design Standards These design regulations specify dimensional and performance standards that are in some cases more restrictive and in other cases less restrictive than the underlying zoning districts. The uses for the underlying districts shall be changed except as provided herein. Design standards for specific parcels in the ES Overlay District are addressed in item D below.</w:t>
      </w:r>
    </w:p>
    <w:p>
      <w:pPr>
        <w:numPr>
          <w:ilvl w:val="0"/>
          <w:numId w:val="1517"/>
        </w:numPr>
      </w:pPr>
      <w:r>
        <w:t xml:space="preserve">1. Façade Design</w:t>
      </w:r>
    </w:p>
    <w:p>
      <w:pPr>
        <w:numPr>
          <w:ilvl w:val="0"/>
          <w:numId w:val="1000"/>
        </w:numPr>
      </w:pPr>
      <w:r>
        <w:t xml:space="preserve">a. Building façades shall be built within a build-to zone of between zero and eight feet from the lot line. Such façades shall occupy this build-to zone for at least 80% of each lot frontage of the property. These provisions apply to all land within the ES Overlay District, with the exception of Parcel 1A. (Figure 11-1)</w:t>
      </w:r>
    </w:p>
    <w:p>
      <w:pPr>
        <w:pStyle w:val="Compact"/>
        <w:numPr>
          <w:ilvl w:val="0"/>
          <w:numId w:val="1518"/>
        </w:numPr>
      </w:pPr>
    </w:p>
    <w:p>
      <w:pPr>
        <w:numPr>
          <w:ilvl w:val="1"/>
          <w:numId w:val="1519"/>
        </w:numPr>
      </w:pPr>
      <w:r>
        <w:t xml:space="preserve">b. Minimum building height is two stories, with the exception of Parcel 1A.</w:t>
      </w:r>
    </w:p>
    <w:p>
      <w:pPr>
        <w:pStyle w:val="Compact"/>
        <w:numPr>
          <w:ilvl w:val="0"/>
          <w:numId w:val="1520"/>
        </w:numPr>
      </w:pPr>
    </w:p>
    <w:p>
      <w:pPr>
        <w:numPr>
          <w:ilvl w:val="1"/>
          <w:numId w:val="1521"/>
        </w:numPr>
      </w:pPr>
      <w:r>
        <w:t xml:space="preserve">c. Minimum building height for Parcel 1A is one story.</w:t>
      </w:r>
    </w:p>
    <w:p>
      <w:pPr>
        <w:pStyle w:val="Compact"/>
        <w:numPr>
          <w:ilvl w:val="0"/>
          <w:numId w:val="1522"/>
        </w:numPr>
      </w:pPr>
    </w:p>
    <w:p>
      <w:pPr>
        <w:numPr>
          <w:ilvl w:val="1"/>
          <w:numId w:val="1523"/>
        </w:numPr>
      </w:pPr>
      <w:r>
        <w:t xml:space="preserve">d. The design of the building base and upper stories shall be expressed in a manner that defines the pedestrian realm at ground-level and provides visual relief through the use of building step backs, façade articulation, material changes, and/or similar architectural features.</w:t>
      </w:r>
    </w:p>
    <w:p>
      <w:pPr>
        <w:pStyle w:val="Compact"/>
        <w:numPr>
          <w:ilvl w:val="0"/>
          <w:numId w:val="1524"/>
        </w:numPr>
      </w:pPr>
    </w:p>
    <w:p>
      <w:pPr>
        <w:numPr>
          <w:ilvl w:val="1"/>
          <w:numId w:val="1525"/>
        </w:numPr>
      </w:pPr>
      <w:r>
        <w:t xml:space="preserve">e. The primary exterior finish materials on the façade shall be brick, limestone, sandstone, granite, terra cotta, cast stone, glass, metal, painted wood, cement-based composites, phenolic resin-based composites, or other similar material. The use of non-durable materials such as vinyl and other similar products is prohibited on the first floor and is discouraged on upper floors.</w:t>
      </w:r>
    </w:p>
    <w:p>
      <w:pPr>
        <w:pStyle w:val="Compact"/>
        <w:numPr>
          <w:ilvl w:val="0"/>
          <w:numId w:val="1526"/>
        </w:numPr>
      </w:pPr>
    </w:p>
    <w:p>
      <w:pPr>
        <w:numPr>
          <w:ilvl w:val="1"/>
          <w:numId w:val="1527"/>
        </w:numPr>
      </w:pPr>
      <w:r>
        <w:t xml:space="preserve">f. Awnings on South Main Street, South Water Street and Wickenden Street are strongly encouraged. Awnings shall be designed to provide convenient and adequate covered area for pedestrians and conform to the following: i. Awnings shall be variations on the shed form.</w:t>
      </w:r>
    </w:p>
    <w:p>
      <w:pPr>
        <w:pStyle w:val="Compact"/>
        <w:numPr>
          <w:ilvl w:val="0"/>
          <w:numId w:val="1528"/>
        </w:numPr>
      </w:pPr>
    </w:p>
    <w:p>
      <w:pPr>
        <w:numPr>
          <w:ilvl w:val="1"/>
          <w:numId w:val="1529"/>
        </w:numPr>
      </w:pPr>
      <w:r>
        <w:t xml:space="preserve">ii. Use of one continuous awning across more than one building is prohibited.</w:t>
      </w:r>
    </w:p>
    <w:p>
      <w:pPr>
        <w:pStyle w:val="Compact"/>
        <w:numPr>
          <w:ilvl w:val="0"/>
          <w:numId w:val="1530"/>
        </w:numPr>
      </w:pPr>
    </w:p>
    <w:p>
      <w:pPr>
        <w:numPr>
          <w:ilvl w:val="1"/>
          <w:numId w:val="1531"/>
        </w:numPr>
      </w:pPr>
      <w:r>
        <w:t xml:space="preserve">iii. Awnings shall be constructed of metal, canvas, or fire-resistant acrylic. Use of plastic and vinyl is prohibited.</w:t>
      </w:r>
    </w:p>
    <w:p>
      <w:pPr>
        <w:pStyle w:val="Compact"/>
        <w:numPr>
          <w:ilvl w:val="0"/>
          <w:numId w:val="1532"/>
        </w:numPr>
      </w:pPr>
    </w:p>
    <w:p>
      <w:pPr>
        <w:numPr>
          <w:ilvl w:val="1"/>
          <w:numId w:val="1533"/>
        </w:numPr>
      </w:pPr>
      <w:r>
        <w:t xml:space="preserve">iv. Back-lit and waterfall awnings are prohibited.</w:t>
      </w:r>
    </w:p>
    <w:p>
      <w:pPr>
        <w:pStyle w:val="Compact"/>
        <w:numPr>
          <w:ilvl w:val="0"/>
          <w:numId w:val="1534"/>
        </w:numPr>
      </w:pPr>
    </w:p>
    <w:p>
      <w:pPr>
        <w:numPr>
          <w:ilvl w:val="1"/>
          <w:numId w:val="1535"/>
        </w:numPr>
      </w:pPr>
      <w:r>
        <w:t xml:space="preserve">v. Dome awnings are permitted only above building entryways. Only the address number or building name may be printed on the awning.</w:t>
      </w:r>
    </w:p>
    <w:p>
      <w:pPr>
        <w:pStyle w:val="Compact"/>
        <w:numPr>
          <w:ilvl w:val="0"/>
          <w:numId w:val="1536"/>
        </w:numPr>
      </w:pPr>
    </w:p>
    <w:p>
      <w:pPr>
        <w:numPr>
          <w:ilvl w:val="1"/>
          <w:numId w:val="1537"/>
        </w:numPr>
      </w:pPr>
      <w:r>
        <w:t xml:space="preserve">vi. Awnings may project up to eight feet into a public right-of-way.</w:t>
      </w:r>
    </w:p>
    <w:p>
      <w:pPr>
        <w:pStyle w:val="Compact"/>
        <w:numPr>
          <w:ilvl w:val="0"/>
          <w:numId w:val="1538"/>
        </w:numPr>
      </w:pPr>
    </w:p>
    <w:p>
      <w:pPr>
        <w:numPr>
          <w:ilvl w:val="1"/>
          <w:numId w:val="1539"/>
        </w:numPr>
      </w:pPr>
      <w:r>
        <w:t xml:space="preserve">g. Exterior insulating finish systems (EIFS) is permitted on the ground floor by waiver from the Downtown Design Review Committee. An application for waiver under this subsection shall be approved provided that the following conditions are satisfied: i. Only EIFS that include an integral air and moisture barrier is permitted.</w:t>
      </w:r>
    </w:p>
    <w:p>
      <w:pPr>
        <w:pStyle w:val="Compact"/>
        <w:numPr>
          <w:ilvl w:val="0"/>
          <w:numId w:val="1540"/>
        </w:numPr>
      </w:pPr>
    </w:p>
    <w:p>
      <w:pPr>
        <w:numPr>
          <w:ilvl w:val="1"/>
          <w:numId w:val="1541"/>
        </w:numPr>
      </w:pPr>
      <w:r>
        <w:t xml:space="preserve">ii. So that it is impact resistant, for areas up to 8 feet above grade, the EIFS shall include a base mesh layer weighing a minimum 20 oz./sq. yd., followed by a second mesh layer weighing a minimum of 4 oz./sq. yd. For all areas exposed to direct impact higher than 8 feet above grade (such as balconies), the use of a single layer of reinforcing mesh with a minimum weight of 12 oz./sq. yd. is required.</w:t>
      </w:r>
    </w:p>
    <w:p>
      <w:pPr>
        <w:pStyle w:val="Compact"/>
        <w:numPr>
          <w:ilvl w:val="0"/>
          <w:numId w:val="1542"/>
        </w:numPr>
      </w:pPr>
    </w:p>
    <w:p>
      <w:pPr>
        <w:numPr>
          <w:ilvl w:val="1"/>
          <w:numId w:val="1543"/>
        </w:numPr>
      </w:pPr>
      <w:r>
        <w:t xml:space="preserve">iii. The material shall be an aesthetically-appropriate facsimile of stone, brick, stucco, metal panel, or other traditional building material.</w:t>
      </w:r>
    </w:p>
    <w:p>
      <w:pPr>
        <w:pStyle w:val="Compact"/>
        <w:numPr>
          <w:ilvl w:val="0"/>
          <w:numId w:val="1544"/>
        </w:numPr>
      </w:pPr>
    </w:p>
    <w:p>
      <w:pPr>
        <w:numPr>
          <w:ilvl w:val="1"/>
          <w:numId w:val="1545"/>
        </w:numPr>
      </w:pPr>
      <w:r>
        <w:t xml:space="preserve">iv. Removal or covering of historic features in order to install EIFS shall be prohibited.</w:t>
      </w:r>
    </w:p>
    <w:p>
      <w:pPr>
        <w:numPr>
          <w:ilvl w:val="0"/>
          <w:numId w:val="1546"/>
        </w:numPr>
      </w:pPr>
      <w:r>
        <w:t xml:space="preserve">2. Residential Building Design</w:t>
      </w:r>
    </w:p>
    <w:p>
      <w:pPr>
        <w:numPr>
          <w:ilvl w:val="0"/>
          <w:numId w:val="1000"/>
        </w:numPr>
      </w:pPr>
      <w:r>
        <w:t xml:space="preserve">a. The ground floor façade of first floor residential units shall contain areas of transparency equal to at least 35% of the wall area of the story between the height of two feet and nine feet above grade. Each upper story façade shall provide areas of transparency equal to at least 25% of the wall area of the story. (Figure 11-2)</w:t>
      </w:r>
    </w:p>
    <w:p>
      <w:pPr>
        <w:pStyle w:val="Compact"/>
        <w:numPr>
          <w:ilvl w:val="0"/>
          <w:numId w:val="1547"/>
        </w:numPr>
      </w:pPr>
    </w:p>
    <w:p>
      <w:pPr>
        <w:numPr>
          <w:ilvl w:val="1"/>
          <w:numId w:val="1548"/>
        </w:numPr>
      </w:pPr>
      <w:r>
        <w:t xml:space="preserve">b. Front-loaded residential parking garages with primary vehicle access from a public right-of-way are prohibited.</w:t>
      </w:r>
    </w:p>
    <w:p>
      <w:pPr>
        <w:pStyle w:val="Compact"/>
        <w:numPr>
          <w:ilvl w:val="0"/>
          <w:numId w:val="1549"/>
        </w:numPr>
      </w:pPr>
    </w:p>
    <w:p>
      <w:pPr>
        <w:numPr>
          <w:ilvl w:val="1"/>
          <w:numId w:val="1550"/>
        </w:numPr>
      </w:pPr>
      <w:r>
        <w:t xml:space="preserve">c. Rear-loaded at-grade or “tuck-under" residential parking garages are encouraged and permitted so long as they are sited a minimum linear distance of 20 feet from a public right-ofway. (Figure 11-3)</w:t>
      </w:r>
    </w:p>
    <w:p>
      <w:pPr>
        <w:pStyle w:val="Compact"/>
        <w:numPr>
          <w:ilvl w:val="0"/>
          <w:numId w:val="1551"/>
        </w:numPr>
      </w:pPr>
    </w:p>
    <w:p>
      <w:pPr>
        <w:numPr>
          <w:ilvl w:val="1"/>
          <w:numId w:val="1552"/>
        </w:numPr>
      </w:pPr>
      <w:r>
        <w:t xml:space="preserve">d. Ground floor residential development shall be elevated 18 to 36 inches above grade along South Main Street and South Water Street and have primary building access from a public right-of-way.</w:t>
      </w:r>
    </w:p>
    <w:p>
      <w:pPr>
        <w:numPr>
          <w:ilvl w:val="0"/>
          <w:numId w:val="1553"/>
        </w:numPr>
      </w:pPr>
      <w:r>
        <w:t xml:space="preserve">3. Non-Residential Building Design</w:t>
      </w:r>
    </w:p>
    <w:p>
      <w:pPr>
        <w:numPr>
          <w:ilvl w:val="0"/>
          <w:numId w:val="1000"/>
        </w:numPr>
      </w:pPr>
      <w:r>
        <w:t xml:space="preserve">a. Variations in building materials, windows, color, articulation, signage, and awnings are encouraged and are permitted for ground floor retail and restaurant uses.</w:t>
      </w:r>
    </w:p>
    <w:p>
      <w:pPr>
        <w:pStyle w:val="Compact"/>
        <w:numPr>
          <w:ilvl w:val="0"/>
          <w:numId w:val="1554"/>
        </w:numPr>
      </w:pPr>
    </w:p>
    <w:p>
      <w:pPr>
        <w:numPr>
          <w:ilvl w:val="1"/>
          <w:numId w:val="1555"/>
        </w:numPr>
      </w:pPr>
      <w:r>
        <w:t xml:space="preserve">b. Commercial storefronts shall contain areas of transparency equal to at least 70% of the wall area of the story between the height of one foot and 12 feet above grade. Each upper story façade shall provide areas of transparency equal to at least 35% of the wall area of the story. This provision for upper stories may be waived if it conflicts with building or fire codes. (Figure 11-4)</w:t>
      </w:r>
    </w:p>
    <w:p>
      <w:pPr>
        <w:numPr>
          <w:ilvl w:val="0"/>
          <w:numId w:val="1556"/>
        </w:numPr>
      </w:pPr>
      <w:r>
        <w:t xml:space="preserve">4. Fence and Wall Design Fences and walls are permitted subject to the following regulations. The Design Review Committee may grant waivers to these provisions.</w:t>
      </w:r>
    </w:p>
    <w:p>
      <w:pPr>
        <w:pStyle w:val="Compact"/>
        <w:numPr>
          <w:ilvl w:val="0"/>
          <w:numId w:val="1557"/>
        </w:numPr>
      </w:pPr>
    </w:p>
    <w:p>
      <w:pPr>
        <w:numPr>
          <w:ilvl w:val="1"/>
          <w:numId w:val="1558"/>
        </w:numPr>
      </w:pPr>
      <w:r>
        <w:t xml:space="preserve">a. Exterior landscaping walls shall be faced to complement the surrounding architecture.</w:t>
      </w:r>
    </w:p>
    <w:p>
      <w:pPr>
        <w:pStyle w:val="Compact"/>
        <w:numPr>
          <w:ilvl w:val="0"/>
          <w:numId w:val="1559"/>
        </w:numPr>
      </w:pPr>
    </w:p>
    <w:p>
      <w:pPr>
        <w:numPr>
          <w:ilvl w:val="1"/>
          <w:numId w:val="1560"/>
        </w:numPr>
      </w:pPr>
      <w:r>
        <w:t xml:space="preserve">b. Walls of a uniform material shall vary in pattern, texture and color and employ elements such as columns, pilasters, banding, or cornices to interrupt the monotony of continuous lengths of wall.</w:t>
      </w:r>
    </w:p>
    <w:p>
      <w:pPr>
        <w:pStyle w:val="Compact"/>
        <w:numPr>
          <w:ilvl w:val="0"/>
          <w:numId w:val="1561"/>
        </w:numPr>
      </w:pPr>
    </w:p>
    <w:p>
      <w:pPr>
        <w:numPr>
          <w:ilvl w:val="1"/>
          <w:numId w:val="1562"/>
        </w:numPr>
      </w:pPr>
      <w:r>
        <w:t xml:space="preserve">c. Fences shall be constructed from steel, aluminum, or wrought iron and may include stone or brick piers. Fence colors shall be chosen to blend into the landscape.</w:t>
      </w:r>
    </w:p>
    <w:p>
      <w:pPr>
        <w:pStyle w:val="Compact"/>
        <w:numPr>
          <w:ilvl w:val="0"/>
          <w:numId w:val="1563"/>
        </w:numPr>
      </w:pPr>
    </w:p>
    <w:p>
      <w:pPr>
        <w:numPr>
          <w:ilvl w:val="1"/>
          <w:numId w:val="1564"/>
        </w:numPr>
      </w:pPr>
      <w:r>
        <w:t xml:space="preserve">d. Fences and walls shall not exceed six feet in height.</w:t>
      </w:r>
    </w:p>
    <w:p>
      <w:pPr>
        <w:numPr>
          <w:ilvl w:val="0"/>
          <w:numId w:val="1565"/>
        </w:numPr>
      </w:pPr>
      <w:r>
        <w:t xml:space="preserve">5. Parking Parking shall conform to the requirements of Article 14 of this Ordinance, along with the following provisions: a. Driveway access to parking lots and parking structures is permitted on James Street, Transit Street, Dollar Street, Pike Street, Tockwotten Street, and George M. Cohan Boulevard.</w:t>
      </w:r>
    </w:p>
    <w:p>
      <w:pPr>
        <w:pStyle w:val="Compact"/>
        <w:numPr>
          <w:ilvl w:val="0"/>
          <w:numId w:val="1566"/>
        </w:numPr>
      </w:pPr>
    </w:p>
    <w:p>
      <w:pPr>
        <w:numPr>
          <w:ilvl w:val="1"/>
          <w:numId w:val="1567"/>
        </w:numPr>
      </w:pPr>
      <w:r>
        <w:t xml:space="preserve">b. Driveway access to parking lots and parking structures is prohibited on South Main Street, South Water Street, and Wickenden Street, with the following exceptions: i. When the lot has no frontage on any of said streets.</w:t>
      </w:r>
    </w:p>
    <w:p>
      <w:pPr>
        <w:pStyle w:val="Compact"/>
        <w:numPr>
          <w:ilvl w:val="0"/>
          <w:numId w:val="1568"/>
        </w:numPr>
      </w:pPr>
    </w:p>
    <w:p>
      <w:pPr>
        <w:numPr>
          <w:ilvl w:val="1"/>
          <w:numId w:val="1569"/>
        </w:numPr>
      </w:pPr>
      <w:r>
        <w:t xml:space="preserve">ii. When supported by evidence indicating impracticality due to site conditions and approved by the City Traffic Engineer.</w:t>
      </w:r>
    </w:p>
    <w:p>
      <w:pPr>
        <w:pStyle w:val="Compact"/>
        <w:numPr>
          <w:ilvl w:val="0"/>
          <w:numId w:val="1570"/>
        </w:numPr>
      </w:pPr>
    </w:p>
    <w:p>
      <w:pPr>
        <w:numPr>
          <w:ilvl w:val="1"/>
          <w:numId w:val="1571"/>
        </w:numPr>
      </w:pPr>
      <w:r>
        <w:t xml:space="preserve">iii. To satisfy the provisions set forth in item D below.</w:t>
      </w:r>
    </w:p>
    <w:p>
      <w:pPr>
        <w:pStyle w:val="Compact"/>
        <w:numPr>
          <w:ilvl w:val="0"/>
          <w:numId w:val="1572"/>
        </w:numPr>
      </w:pPr>
    </w:p>
    <w:p>
      <w:pPr>
        <w:numPr>
          <w:ilvl w:val="1"/>
          <w:numId w:val="1573"/>
        </w:numPr>
      </w:pPr>
      <w:r>
        <w:t xml:space="preserve">c. The maximum width of a one-lane curb cut for driveway access to parking lots and parking structures is 12 feet. The maximum width of a two-lane curb cut for driveway access to parking lots and parking structures is 24 feet. The minimum linear distance between curb cuts is 50 feet. (Figure 11-5)</w:t>
      </w:r>
    </w:p>
    <w:p>
      <w:pPr>
        <w:pStyle w:val="Compact"/>
        <w:numPr>
          <w:ilvl w:val="0"/>
          <w:numId w:val="1574"/>
        </w:numPr>
      </w:pPr>
    </w:p>
    <w:p>
      <w:pPr>
        <w:numPr>
          <w:ilvl w:val="1"/>
          <w:numId w:val="1575"/>
        </w:numPr>
      </w:pPr>
      <w:r>
        <w:t xml:space="preserve">d. Surface parking is strongly discouraged in the ES Overlay District, and only permitted by waiver from the Design Review Committee as an accessory use subject to the following conditions:</w:t>
      </w:r>
    </w:p>
    <w:p>
      <w:pPr>
        <w:pStyle w:val="Compact"/>
        <w:numPr>
          <w:ilvl w:val="0"/>
          <w:numId w:val="1576"/>
        </w:numPr>
      </w:pPr>
    </w:p>
    <w:p>
      <w:pPr>
        <w:numPr>
          <w:ilvl w:val="1"/>
          <w:numId w:val="1577"/>
        </w:numPr>
      </w:pPr>
      <w:r>
        <w:t xml:space="preserve">i. Accessory use parking lots are only permitted on the same lot as a principal use building.</w:t>
      </w:r>
    </w:p>
    <w:p>
      <w:pPr>
        <w:pStyle w:val="Compact"/>
        <w:numPr>
          <w:ilvl w:val="0"/>
          <w:numId w:val="1578"/>
        </w:numPr>
      </w:pPr>
    </w:p>
    <w:p>
      <w:pPr>
        <w:numPr>
          <w:ilvl w:val="1"/>
          <w:numId w:val="1579"/>
        </w:numPr>
      </w:pPr>
      <w:r>
        <w:t xml:space="preserve">ii. Accessory use parking lots are prohibited within 20 feet of South Main Street, South Water Street, and Wickenden Street. For areas between the parking lot and South Main Street, South Water Street, and Wickenden Street that do not contain buildings, such areas shall be landscaped and fenced as required by the Design Review Committee. Such areas may contain hardscape elements. (Figure 11-6)</w:t>
      </w:r>
    </w:p>
    <w:p>
      <w:pPr>
        <w:pStyle w:val="Compact"/>
        <w:numPr>
          <w:ilvl w:val="0"/>
          <w:numId w:val="1580"/>
        </w:numPr>
      </w:pPr>
    </w:p>
    <w:p>
      <w:pPr>
        <w:numPr>
          <w:ilvl w:val="1"/>
          <w:numId w:val="1581"/>
        </w:numPr>
      </w:pPr>
      <w:r>
        <w:t xml:space="preserve">iii. Surface parking provided along James Street, Transit Street, Dollar Street, Pike Street, Tockwotten Street, or George M. Cohan Boulevard shall be separated from the public right-of-way by a landscaped strip in accordance with Section 1504. The Design Review Committee may require fences and/or walls to buffer the parking.</w:t>
      </w:r>
    </w:p>
    <w:p>
      <w:pPr>
        <w:pStyle w:val="Compact"/>
        <w:numPr>
          <w:ilvl w:val="0"/>
          <w:numId w:val="1582"/>
        </w:numPr>
      </w:pPr>
    </w:p>
    <w:p>
      <w:pPr>
        <w:numPr>
          <w:ilvl w:val="1"/>
          <w:numId w:val="1583"/>
        </w:numPr>
      </w:pPr>
      <w:r>
        <w:t xml:space="preserve">iv. The Design Review Committee may impose a time limit on the waiver that permits surface parking.</w:t>
      </w:r>
    </w:p>
    <w:p>
      <w:pPr>
        <w:pStyle w:val="Compact"/>
        <w:numPr>
          <w:ilvl w:val="0"/>
          <w:numId w:val="1584"/>
        </w:numPr>
      </w:pPr>
    </w:p>
    <w:p>
      <w:pPr>
        <w:numPr>
          <w:ilvl w:val="1"/>
          <w:numId w:val="1585"/>
        </w:numPr>
      </w:pPr>
      <w:r>
        <w:t xml:space="preserve">v. The parking surface shall utilize low-impact-development practices consistent with Providence Code of Ordinances and state laws to treat and discharge stormwater.</w:t>
      </w:r>
    </w:p>
    <w:p>
      <w:pPr>
        <w:pStyle w:val="Compact"/>
        <w:numPr>
          <w:ilvl w:val="0"/>
          <w:numId w:val="1586"/>
        </w:numPr>
      </w:pPr>
    </w:p>
    <w:p>
      <w:pPr>
        <w:numPr>
          <w:ilvl w:val="1"/>
          <w:numId w:val="1587"/>
        </w:numPr>
      </w:pPr>
      <w:r>
        <w:t xml:space="preserve">vi. Light poles may not exceed 18 feet in height, and their design shall conform to Section 1301.</w:t>
      </w:r>
    </w:p>
    <w:p>
      <w:pPr>
        <w:pStyle w:val="Compact"/>
        <w:numPr>
          <w:ilvl w:val="0"/>
          <w:numId w:val="1588"/>
        </w:numPr>
      </w:pPr>
    </w:p>
    <w:p>
      <w:pPr>
        <w:numPr>
          <w:ilvl w:val="1"/>
          <w:numId w:val="1589"/>
        </w:numPr>
      </w:pPr>
      <w:r>
        <w:t xml:space="preserve">vii. The Design Review Committee may impose further conditions to ensure that surface parking areas do not have a negative impact on the surroundings.</w:t>
      </w:r>
    </w:p>
    <w:p>
      <w:pPr>
        <w:pStyle w:val="Compact"/>
        <w:numPr>
          <w:ilvl w:val="0"/>
          <w:numId w:val="1590"/>
        </w:numPr>
      </w:pPr>
    </w:p>
    <w:p>
      <w:pPr>
        <w:numPr>
          <w:ilvl w:val="1"/>
          <w:numId w:val="1591"/>
        </w:numPr>
      </w:pPr>
      <w:r>
        <w:t xml:space="preserve">e. Ground floor parking structures shall be physically separated from South Main Street, South Water Street, and Wickenden Street by a linear distance of at least 20 feet. (Figure 11-7)</w:t>
      </w:r>
    </w:p>
    <w:p>
      <w:pPr>
        <w:pStyle w:val="Compact"/>
        <w:numPr>
          <w:ilvl w:val="0"/>
          <w:numId w:val="1592"/>
        </w:numPr>
      </w:pPr>
    </w:p>
    <w:p>
      <w:pPr>
        <w:numPr>
          <w:ilvl w:val="1"/>
          <w:numId w:val="1593"/>
        </w:numPr>
      </w:pPr>
      <w:r>
        <w:t xml:space="preserve">f. Parking structure façades shall conceal from view the entirety of all parked vehicles from the far side of any right-of-way that abuts the property containing the parking structure. (Figure 11- 8)</w:t>
      </w:r>
    </w:p>
    <w:p>
      <w:pPr>
        <w:numPr>
          <w:ilvl w:val="0"/>
          <w:numId w:val="1594"/>
        </w:numPr>
      </w:pPr>
      <w:r>
        <w:t xml:space="preserve">6. Loading Off-street loading docks and areas shall be provided in accordance with Article 14 and the following provisions: a. Driveway access to loading areas is permitted on James Street, Transit Street, Dollar Street, Pike Street, Tockwotten Street, and George M. Cohan Boulevard.</w:t>
      </w:r>
    </w:p>
    <w:p>
      <w:pPr>
        <w:pStyle w:val="Compact"/>
        <w:numPr>
          <w:ilvl w:val="0"/>
          <w:numId w:val="1595"/>
        </w:numPr>
      </w:pPr>
    </w:p>
    <w:p>
      <w:pPr>
        <w:numPr>
          <w:ilvl w:val="1"/>
          <w:numId w:val="1596"/>
        </w:numPr>
      </w:pPr>
      <w:r>
        <w:t xml:space="preserve">b. Driveway access to loading areas is prohibited on South Main Street, South Water Street, and Wickenden Street, with the following exceptions: i. When the lot has no frontage on any of said streets.</w:t>
      </w:r>
    </w:p>
    <w:p>
      <w:pPr>
        <w:pStyle w:val="Compact"/>
        <w:numPr>
          <w:ilvl w:val="0"/>
          <w:numId w:val="1597"/>
        </w:numPr>
      </w:pPr>
    </w:p>
    <w:p>
      <w:pPr>
        <w:numPr>
          <w:ilvl w:val="1"/>
          <w:numId w:val="1598"/>
        </w:numPr>
      </w:pPr>
      <w:r>
        <w:t xml:space="preserve">ii. When supported by evidence indicating impracticality due to site conditions and approved by the City Traffic Engineer.</w:t>
      </w:r>
    </w:p>
    <w:p>
      <w:pPr>
        <w:pStyle w:val="Compact"/>
        <w:numPr>
          <w:ilvl w:val="0"/>
          <w:numId w:val="1599"/>
        </w:numPr>
      </w:pPr>
    </w:p>
    <w:p>
      <w:pPr>
        <w:numPr>
          <w:ilvl w:val="1"/>
          <w:numId w:val="1600"/>
        </w:numPr>
      </w:pPr>
      <w:r>
        <w:t xml:space="preserve">iii. To satisfy the provisions set forth in item d below.</w:t>
      </w:r>
    </w:p>
    <w:p>
      <w:pPr>
        <w:pStyle w:val="Compact"/>
        <w:numPr>
          <w:ilvl w:val="0"/>
          <w:numId w:val="1601"/>
        </w:numPr>
      </w:pPr>
    </w:p>
    <w:p>
      <w:pPr>
        <w:numPr>
          <w:ilvl w:val="1"/>
          <w:numId w:val="1602"/>
        </w:numPr>
      </w:pPr>
      <w:r>
        <w:t xml:space="preserve">c. Interior loading shall be screened from view by solid, non-transparent doors that shall remain closed when the loading dock is not in use.</w:t>
      </w:r>
    </w:p>
    <w:p>
      <w:pPr>
        <w:pStyle w:val="Compact"/>
        <w:numPr>
          <w:ilvl w:val="0"/>
          <w:numId w:val="1603"/>
        </w:numPr>
      </w:pPr>
    </w:p>
    <w:p>
      <w:pPr>
        <w:numPr>
          <w:ilvl w:val="1"/>
          <w:numId w:val="1604"/>
        </w:numPr>
      </w:pPr>
      <w:r>
        <w:t xml:space="preserve">d. The maximum width of a one-lane curb cut for driveway access to loading areas is 12 feet. The maximum width of a two-lane curb cut for driveway access to loading areas is 24 feet. The minimum linear distance between curb cuts is 50 feet. Wider curb cuts may be permitted by waiver if it’s demonstrated that loading areas cannot be reasonably accessed given site conditions. (Figure 11-9)</w:t>
      </w:r>
    </w:p>
    <w:p>
      <w:pPr>
        <w:numPr>
          <w:ilvl w:val="0"/>
          <w:numId w:val="1605"/>
        </w:numPr>
      </w:pPr>
      <w:r>
        <w:t xml:space="preserve">7. Site Lighting Internal site lighting shall include decorative and/or concealed fixtures. Light spillage onto a public street or adjacent properties is prohibited.</w:t>
      </w:r>
    </w:p>
    <w:p>
      <w:pPr>
        <w:pStyle w:val="Compact"/>
        <w:numPr>
          <w:ilvl w:val="0"/>
          <w:numId w:val="1606"/>
        </w:numPr>
      </w:pPr>
    </w:p>
    <w:p>
      <w:pPr>
        <w:numPr>
          <w:ilvl w:val="1"/>
          <w:numId w:val="1607"/>
        </w:numPr>
      </w:pPr>
      <w:r>
        <w:t xml:space="preserve">E. Parcel-Specific Design Standards In addition to the above general design standards, the following parcel-specific design standards apply to development proposed for construction on the I-195 Relocation Surplus Parcels identified below. EAST SIDE I-195 RELOCATION SURPLUS LAND 1. Parcel 1A</w:t>
      </w:r>
    </w:p>
    <w:p>
      <w:pPr>
        <w:pStyle w:val="Compact"/>
        <w:numPr>
          <w:ilvl w:val="0"/>
          <w:numId w:val="1608"/>
        </w:numPr>
      </w:pPr>
    </w:p>
    <w:p>
      <w:pPr>
        <w:pStyle w:val="Compact"/>
        <w:numPr>
          <w:ilvl w:val="1"/>
          <w:numId w:val="1609"/>
        </w:numPr>
      </w:pPr>
    </w:p>
    <w:p>
      <w:pPr>
        <w:numPr>
          <w:ilvl w:val="2"/>
          <w:numId w:val="1610"/>
        </w:numPr>
      </w:pPr>
      <w:r>
        <w:t xml:space="preserve">a. Design Standards</w:t>
      </w:r>
    </w:p>
    <w:p>
      <w:pPr>
        <w:numPr>
          <w:ilvl w:val="2"/>
          <w:numId w:val="1000"/>
        </w:numPr>
      </w:pPr>
      <w:r>
        <w:t xml:space="preserve">i. The ground floor building façade of all new buildings fronting the riverfront and South Water Street shall contain areas of transparency at least 70% of the wall area of the story, between the height of one foot and 12 feet above grade, of each building façade.</w:t>
      </w:r>
    </w:p>
    <w:p>
      <w:pPr>
        <w:pStyle w:val="Compact"/>
        <w:numPr>
          <w:ilvl w:val="0"/>
          <w:numId w:val="1611"/>
        </w:numPr>
      </w:pPr>
    </w:p>
    <w:p>
      <w:pPr>
        <w:pStyle w:val="Compact"/>
        <w:numPr>
          <w:ilvl w:val="1"/>
          <w:numId w:val="1612"/>
        </w:numPr>
      </w:pPr>
    </w:p>
    <w:p>
      <w:pPr>
        <w:numPr>
          <w:ilvl w:val="2"/>
          <w:numId w:val="1613"/>
        </w:numPr>
      </w:pPr>
      <w:r>
        <w:t xml:space="preserve">ii. New buildings shall visually or physically reflect the historic alignment of the former Coin Street, Patriot Street, and Doubloon Street riverfront gangways through the use of signs, pavement markings, architecture, or other interpretive elements. (Figure 11-11)</w:t>
      </w:r>
    </w:p>
    <w:p>
      <w:pPr>
        <w:pStyle w:val="Compact"/>
        <w:numPr>
          <w:ilvl w:val="0"/>
          <w:numId w:val="1614"/>
        </w:numPr>
      </w:pPr>
    </w:p>
    <w:p>
      <w:pPr>
        <w:pStyle w:val="Compact"/>
        <w:numPr>
          <w:ilvl w:val="1"/>
          <w:numId w:val="1615"/>
        </w:numPr>
      </w:pPr>
    </w:p>
    <w:p>
      <w:pPr>
        <w:numPr>
          <w:ilvl w:val="2"/>
          <w:numId w:val="1616"/>
        </w:numPr>
      </w:pPr>
      <w:r>
        <w:t xml:space="preserve">iii. Surface parking lots and parking structures are prohibited.</w:t>
      </w:r>
    </w:p>
    <w:p>
      <w:pPr>
        <w:pStyle w:val="Compact"/>
        <w:numPr>
          <w:ilvl w:val="0"/>
          <w:numId w:val="1617"/>
        </w:numPr>
      </w:pPr>
    </w:p>
    <w:p>
      <w:pPr>
        <w:pStyle w:val="Compact"/>
        <w:numPr>
          <w:ilvl w:val="1"/>
          <w:numId w:val="1618"/>
        </w:numPr>
      </w:pPr>
    </w:p>
    <w:p>
      <w:pPr>
        <w:numPr>
          <w:ilvl w:val="2"/>
          <w:numId w:val="1619"/>
        </w:numPr>
      </w:pPr>
      <w:r>
        <w:t xml:space="preserve">iv. Curb cuts and driveway access are prohibited.</w:t>
      </w:r>
    </w:p>
    <w:p>
      <w:pPr>
        <w:pStyle w:val="Compact"/>
        <w:numPr>
          <w:ilvl w:val="0"/>
          <w:numId w:val="1620"/>
        </w:numPr>
      </w:pPr>
    </w:p>
    <w:p>
      <w:pPr>
        <w:pStyle w:val="Compact"/>
        <w:numPr>
          <w:ilvl w:val="1"/>
          <w:numId w:val="1621"/>
        </w:numPr>
      </w:pPr>
    </w:p>
    <w:p>
      <w:pPr>
        <w:numPr>
          <w:ilvl w:val="2"/>
          <w:numId w:val="1622"/>
        </w:numPr>
      </w:pPr>
      <w:r>
        <w:t xml:space="preserve">v. Off-street parking is not required.</w:t>
      </w:r>
    </w:p>
    <w:p>
      <w:pPr>
        <w:numPr>
          <w:ilvl w:val="0"/>
          <w:numId w:val="1623"/>
        </w:numPr>
      </w:pPr>
      <w:r>
        <w:t xml:space="preserve">2. Parcel 2</w:t>
      </w:r>
    </w:p>
    <w:p>
      <w:pPr>
        <w:pStyle w:val="Compact"/>
        <w:numPr>
          <w:ilvl w:val="0"/>
          <w:numId w:val="1624"/>
        </w:numPr>
      </w:pPr>
    </w:p>
    <w:p>
      <w:pPr>
        <w:numPr>
          <w:ilvl w:val="1"/>
          <w:numId w:val="1625"/>
        </w:numPr>
      </w:pPr>
      <w:r>
        <w:t xml:space="preserve">a. Design Standards</w:t>
      </w:r>
    </w:p>
    <w:p>
      <w:pPr>
        <w:numPr>
          <w:ilvl w:val="1"/>
          <w:numId w:val="1000"/>
        </w:numPr>
      </w:pPr>
      <w:r>
        <w:t xml:space="preserve">i. No parcel-specific design standards, except as provided in this Section.</w:t>
      </w:r>
    </w:p>
    <w:p>
      <w:pPr>
        <w:numPr>
          <w:ilvl w:val="0"/>
          <w:numId w:val="1626"/>
        </w:numPr>
      </w:pPr>
      <w:r>
        <w:t xml:space="preserve">3. Parcel 3</w:t>
      </w:r>
    </w:p>
    <w:p>
      <w:pPr>
        <w:pStyle w:val="Compact"/>
        <w:numPr>
          <w:ilvl w:val="0"/>
          <w:numId w:val="1627"/>
        </w:numPr>
      </w:pPr>
    </w:p>
    <w:p>
      <w:pPr>
        <w:numPr>
          <w:ilvl w:val="1"/>
          <w:numId w:val="1628"/>
        </w:numPr>
      </w:pPr>
      <w:r>
        <w:t xml:space="preserve">a. Design Standards</w:t>
      </w:r>
    </w:p>
    <w:p>
      <w:pPr>
        <w:numPr>
          <w:ilvl w:val="1"/>
          <w:numId w:val="1000"/>
        </w:numPr>
      </w:pPr>
      <w:r>
        <w:t xml:space="preserve">i. No parcel-specific design standards, except as provided in this Section.</w:t>
      </w:r>
    </w:p>
    <w:p>
      <w:pPr>
        <w:numPr>
          <w:ilvl w:val="0"/>
          <w:numId w:val="1629"/>
        </w:numPr>
      </w:pPr>
      <w:r>
        <w:t xml:space="preserve">4. Parcel 5</w:t>
      </w:r>
    </w:p>
    <w:p>
      <w:pPr>
        <w:pStyle w:val="Compact"/>
        <w:numPr>
          <w:ilvl w:val="0"/>
          <w:numId w:val="1630"/>
        </w:numPr>
      </w:pPr>
    </w:p>
    <w:p>
      <w:pPr>
        <w:numPr>
          <w:ilvl w:val="1"/>
          <w:numId w:val="1631"/>
        </w:numPr>
      </w:pPr>
      <w:r>
        <w:t xml:space="preserve">a. Design Standards</w:t>
      </w:r>
    </w:p>
    <w:p>
      <w:pPr>
        <w:numPr>
          <w:ilvl w:val="1"/>
          <w:numId w:val="1000"/>
        </w:numPr>
      </w:pPr>
      <w:r>
        <w:t xml:space="preserve">i. Building façades shall be constructed within a build-to zone of between zero and three feet from the lot line for 100% of the Wickenden Street frontage.</w:t>
      </w:r>
    </w:p>
    <w:p>
      <w:pPr>
        <w:pStyle w:val="Compact"/>
        <w:numPr>
          <w:ilvl w:val="0"/>
          <w:numId w:val="1632"/>
        </w:numPr>
      </w:pPr>
    </w:p>
    <w:p>
      <w:pPr>
        <w:numPr>
          <w:ilvl w:val="1"/>
          <w:numId w:val="1633"/>
        </w:numPr>
      </w:pPr>
      <w:r>
        <w:t xml:space="preserve">ii. A publicly-accessible mid-block connection of at least 20 feet in width shall be provided for pedestrian and/or vehicular circulation between South Main Street and South Water Street; the centerline for which shall be located within a linear distance of between 30% and 70% of the length of the South Water Street block frontage between Dollar Street and Wickenden Street (see map). Curb cuts for access to vehicle parking and loading areas are permitted along South Main Street and South Water Street at said mid-block location. (Figure 11-12 and Figure 11-13)</w:t>
      </w:r>
    </w:p>
    <w:p>
      <w:pPr>
        <w:numPr>
          <w:ilvl w:val="0"/>
          <w:numId w:val="1634"/>
        </w:numPr>
      </w:pPr>
      <w:r>
        <w:t xml:space="preserve">5. Parcel 6</w:t>
      </w:r>
    </w:p>
    <w:p>
      <w:pPr>
        <w:pStyle w:val="Compact"/>
        <w:numPr>
          <w:ilvl w:val="0"/>
          <w:numId w:val="1635"/>
        </w:numPr>
      </w:pPr>
    </w:p>
    <w:p>
      <w:pPr>
        <w:numPr>
          <w:ilvl w:val="1"/>
          <w:numId w:val="1636"/>
        </w:numPr>
      </w:pPr>
      <w:r>
        <w:t xml:space="preserve">a. Design Standards</w:t>
      </w:r>
    </w:p>
    <w:p>
      <w:pPr>
        <w:numPr>
          <w:ilvl w:val="1"/>
          <w:numId w:val="1000"/>
        </w:numPr>
      </w:pPr>
      <w:r>
        <w:t xml:space="preserve">i. Building façades shall be constructed within a build-to zone of between zero and three feet from the lot line for 100% of the Wickenden Street frontage.</w:t>
      </w:r>
    </w:p>
    <w:p>
      <w:pPr>
        <w:numPr>
          <w:ilvl w:val="0"/>
          <w:numId w:val="1637"/>
        </w:numPr>
      </w:pPr>
      <w:r>
        <w:t xml:space="preserve">6. Parcel 8</w:t>
      </w:r>
    </w:p>
    <w:p>
      <w:pPr>
        <w:pStyle w:val="Compact"/>
        <w:numPr>
          <w:ilvl w:val="0"/>
          <w:numId w:val="1638"/>
        </w:numPr>
      </w:pPr>
    </w:p>
    <w:p>
      <w:pPr>
        <w:numPr>
          <w:ilvl w:val="1"/>
          <w:numId w:val="1639"/>
        </w:numPr>
      </w:pPr>
      <w:r>
        <w:t xml:space="preserve">a. Design Standards</w:t>
      </w:r>
    </w:p>
    <w:p>
      <w:pPr>
        <w:numPr>
          <w:ilvl w:val="1"/>
          <w:numId w:val="1000"/>
        </w:numPr>
      </w:pPr>
      <w:r>
        <w:t xml:space="preserve">i. No parcel-specific design standards, except as provided in this Section.</w:t>
      </w:r>
    </w:p>
    <w:p>
      <w:pPr>
        <w:numPr>
          <w:ilvl w:val="0"/>
          <w:numId w:val="1640"/>
        </w:numPr>
      </w:pPr>
      <w:r>
        <w:t xml:space="preserve">7. Parcel 9</w:t>
      </w:r>
    </w:p>
    <w:p>
      <w:pPr>
        <w:pStyle w:val="Compact"/>
        <w:numPr>
          <w:ilvl w:val="0"/>
          <w:numId w:val="1641"/>
        </w:numPr>
      </w:pPr>
    </w:p>
    <w:p>
      <w:pPr>
        <w:numPr>
          <w:ilvl w:val="1"/>
          <w:numId w:val="1642"/>
        </w:numPr>
      </w:pPr>
      <w:r>
        <w:t xml:space="preserve">a. Design Standards</w:t>
      </w:r>
    </w:p>
    <w:p>
      <w:pPr>
        <w:numPr>
          <w:ilvl w:val="1"/>
          <w:numId w:val="1000"/>
        </w:numPr>
      </w:pPr>
      <w:r>
        <w:t xml:space="preserve">i. No parcel-specific design standards, except as provided in this Section.</w:t>
      </w:r>
    </w:p>
    <w:p>
      <w:pPr>
        <w:numPr>
          <w:ilvl w:val="0"/>
          <w:numId w:val="1643"/>
        </w:numPr>
      </w:pPr>
      <w:r>
        <w:t xml:space="preserve">8. Parcel P1</w:t>
      </w:r>
    </w:p>
    <w:p>
      <w:pPr>
        <w:pStyle w:val="Compact"/>
        <w:numPr>
          <w:ilvl w:val="0"/>
          <w:numId w:val="1644"/>
        </w:numPr>
      </w:pPr>
    </w:p>
    <w:p>
      <w:pPr>
        <w:numPr>
          <w:ilvl w:val="1"/>
          <w:numId w:val="1645"/>
        </w:numPr>
      </w:pPr>
      <w:r>
        <w:t xml:space="preserve">a. Design Standards</w:t>
      </w:r>
    </w:p>
    <w:p>
      <w:pPr>
        <w:numPr>
          <w:ilvl w:val="1"/>
          <w:numId w:val="1000"/>
        </w:numPr>
      </w:pPr>
      <w:r>
        <w:t xml:space="preserve">i. No parcel-specific design standards, except as provided in this Section.</w:t>
      </w:r>
    </w:p>
    <w:p>
      <w:pPr>
        <w:pStyle w:val="Compact"/>
        <w:numPr>
          <w:ilvl w:val="0"/>
          <w:numId w:val="1646"/>
        </w:numPr>
      </w:pPr>
    </w:p>
    <w:p>
      <w:pPr>
        <w:numPr>
          <w:ilvl w:val="1"/>
          <w:numId w:val="1647"/>
        </w:numPr>
      </w:pPr>
      <w:r>
        <w:t xml:space="preserve">F. Development Incentives</w:t>
      </w:r>
    </w:p>
    <w:p>
      <w:pPr>
        <w:numPr>
          <w:ilvl w:val="1"/>
          <w:numId w:val="1000"/>
        </w:numPr>
      </w:pPr>
      <w:r>
        <w:t xml:space="preserve">1. There exists a significant opportunity to create an active, mixed-use, pedestrian-friendly, and amenity-rich urban environment on the East Side I-195 surplus land and reconnect the Fox Point neighborhood to its waterfront. In order to achieve this vision, the City seeks to encourage development that has significant public benefits, strengthens the South Main Street and South Water Street corridors, and enhances east-west pedestrian connections to the Providence Riverfront. Height bonuses are intended to give property owners incentives to provide additional community amenities, such as passive and active recreational open space, active ground floor land uses, mixed-use development, and transportation infrastructure, in conjunction with the proposed development.</w:t>
      </w:r>
    </w:p>
    <w:p>
      <w:pPr>
        <w:numPr>
          <w:ilvl w:val="0"/>
          <w:numId w:val="1648"/>
        </w:numPr>
      </w:pPr>
      <w:r>
        <w:t xml:space="preserve">2. For proposed developments within the ES Overlay District, the Design Review Committee is authorized to grant height bonuses of up to two stories above the maximum building height of the underlying zoning district if one or more of the following are provided as part of the proposed project.</w:t>
      </w:r>
    </w:p>
    <w:p>
      <w:pPr>
        <w:pStyle w:val="Compact"/>
        <w:numPr>
          <w:ilvl w:val="0"/>
          <w:numId w:val="1649"/>
        </w:numPr>
      </w:pPr>
    </w:p>
    <w:p>
      <w:pPr>
        <w:numPr>
          <w:ilvl w:val="1"/>
          <w:numId w:val="1650"/>
        </w:numPr>
      </w:pPr>
      <w:r>
        <w:t xml:space="preserve">a. Provision of 50% or more of off-street parking in a parking structure in conformance to the provisions set forth in this Section.</w:t>
      </w:r>
    </w:p>
    <w:p>
      <w:pPr>
        <w:pStyle w:val="Compact"/>
        <w:numPr>
          <w:ilvl w:val="0"/>
          <w:numId w:val="1651"/>
        </w:numPr>
      </w:pPr>
    </w:p>
    <w:p>
      <w:pPr>
        <w:numPr>
          <w:ilvl w:val="1"/>
          <w:numId w:val="1652"/>
        </w:numPr>
      </w:pPr>
      <w:r>
        <w:t xml:space="preserve">b. Provision of on-site, publicly-accessible open space for passive and/or active recreation within the ES Overlay District totaling a minimum of 10% of the lot area, with the condition that the open space is available for use every day, year-round, during daylight hours, and maintained by the property owner.</w:t>
      </w:r>
    </w:p>
    <w:p>
      <w:pPr>
        <w:pStyle w:val="Compact"/>
        <w:numPr>
          <w:ilvl w:val="0"/>
          <w:numId w:val="1653"/>
        </w:numPr>
      </w:pPr>
    </w:p>
    <w:p>
      <w:pPr>
        <w:numPr>
          <w:ilvl w:val="1"/>
          <w:numId w:val="1654"/>
        </w:numPr>
      </w:pPr>
      <w:r>
        <w:t xml:space="preserve">c. Provision of a minimum of 5,000 square feet of active ground floor uses fronting South Main Street, South Water Street, or Wickenden Street including but not limited to restaurants and cafes, sales and service retail, professional office space, art galleries, performance space, and community event space.</w:t>
      </w:r>
    </w:p>
    <w:p>
      <w:pPr>
        <w:pStyle w:val="Compact"/>
        <w:numPr>
          <w:ilvl w:val="0"/>
          <w:numId w:val="1655"/>
        </w:numPr>
      </w:pPr>
    </w:p>
    <w:p>
      <w:pPr>
        <w:numPr>
          <w:ilvl w:val="1"/>
          <w:numId w:val="1656"/>
        </w:numPr>
      </w:pPr>
      <w:r>
        <w:t xml:space="preserve">d. Provision of vertical mixed-use development, of which at least 50% is devoted to residential use.</w:t>
      </w:r>
    </w:p>
    <w:bookmarkEnd w:id="83"/>
    <w:bookmarkStart w:id="84" w:name="hd-historic-district-overlay-district"/>
    <w:p>
      <w:pPr>
        <w:pStyle w:val="Heading2"/>
      </w:pPr>
      <w:r>
        <w:t xml:space="preserve">§ 1104. HD HISTORIC DISTRICT OVERLAY DISTRICT</w:t>
      </w:r>
    </w:p>
    <w:p>
      <w:pPr>
        <w:pStyle w:val="FirstParagraph"/>
      </w:pPr>
      <w:r>
        <w:t xml:space="preserve">1104 HD HISTORIC DISTRICT OVERLAY DISTRICT</w:t>
      </w:r>
    </w:p>
    <w:p>
      <w:pPr>
        <w:numPr>
          <w:ilvl w:val="0"/>
          <w:numId w:val="1657"/>
        </w:numPr>
      </w:pPr>
      <w:r>
        <w:t xml:space="preserve">A. Application This overlay zone is intended to preserve structures of historic and architectural value by regulating the construction, alteration, repair, moving and demolition of such structures. This overlay can include neighborhoods or single buildings. Historic districts are shown as overlay zones on the Zoning Map, and may include properties associated with broad patterns, events, and/or people significant in local, state or national history, which embody the distinctive characteristics of a broad range of building types and architectural styles and which may possess high artistic value and/or represent the work of a master builder, architect, landscape architect, or other designer, and which lack individual distinction but which add to the historic district zone's status as a significant and distinguishable socio-cultural entity.</w:t>
      </w:r>
    </w:p>
    <w:p>
      <w:pPr>
        <w:numPr>
          <w:ilvl w:val="0"/>
          <w:numId w:val="1658"/>
        </w:numPr>
      </w:pPr>
      <w:r>
        <w:t xml:space="preserve">B. Development Review and Approval The Historic District Commission is authorized to regulate the alteration, repair, construction, demolition, removal of any exterior structure and/or appurtenance within any Historic District identified on the Providence Overlay Zoning District Maps of the Official Zoning Map adopted in accordance with this ordinance.</w:t>
      </w:r>
    </w:p>
    <w:bookmarkEnd w:id="84"/>
    <w:bookmarkStart w:id="85" w:name="X62f4d2c73942c43a14807a9dbd3bc311486e707"/>
    <w:p>
      <w:pPr>
        <w:pStyle w:val="Heading2"/>
      </w:pPr>
      <w:r>
        <w:t xml:space="preserve">§ 1105. TOD TRANSIT-ORIENTED DEVELOPMENT OVERLAY DISTRICT</w:t>
      </w:r>
    </w:p>
    <w:p>
      <w:pPr>
        <w:pStyle w:val="FirstParagraph"/>
      </w:pPr>
      <w:r>
        <w:t xml:space="preserve">1105 TOD TRANSIT-ORIENTED DEVELOPMENT OVERLAY DISTRICT</w:t>
      </w:r>
    </w:p>
    <w:p>
      <w:pPr>
        <w:numPr>
          <w:ilvl w:val="0"/>
          <w:numId w:val="1659"/>
        </w:numPr>
      </w:pPr>
      <w:r>
        <w:t xml:space="preserve">A. Application The TOD Transit-Oriented Development Overlay District is established for areas where more permissive height regulations and more stringent parking regulations are appropriate because of close proximity to existing and anticipated future public transportation infrastructure.</w:t>
      </w:r>
    </w:p>
    <w:p>
      <w:pPr>
        <w:numPr>
          <w:ilvl w:val="0"/>
          <w:numId w:val="1660"/>
        </w:numPr>
      </w:pPr>
      <w:r>
        <w:t xml:space="preserve">B. Prohibited Uses The following uses are prohibited in all TOD Districts regardless of underlying zoning regulations:</w:t>
      </w:r>
    </w:p>
    <w:p>
      <w:pPr>
        <w:numPr>
          <w:ilvl w:val="0"/>
          <w:numId w:val="1661"/>
        </w:numPr>
      </w:pPr>
      <w:r>
        <w:t xml:space="preserve">1. Adult Use</w:t>
      </w:r>
    </w:p>
    <w:p>
      <w:pPr>
        <w:numPr>
          <w:ilvl w:val="0"/>
          <w:numId w:val="1000"/>
        </w:numPr>
      </w:pPr>
      <w:r>
        <w:t xml:space="preserve">2. Drive Through Facility 3. Car Wash 4. Contractor Storage Yard 5. Gas Station 6. Heavy Retail, Rental, and Service 7. Parking Lot (Principal Use)</w:t>
      </w:r>
    </w:p>
    <w:p>
      <w:pPr>
        <w:numPr>
          <w:ilvl w:val="0"/>
          <w:numId w:val="1662"/>
        </w:numPr>
      </w:pPr>
      <w:r>
        <w:t xml:space="preserve">8. Storage Yard - Outdoor</w:t>
      </w:r>
    </w:p>
    <w:p>
      <w:pPr>
        <w:numPr>
          <w:ilvl w:val="0"/>
          <w:numId w:val="1000"/>
        </w:numPr>
      </w:pPr>
      <w:r>
        <w:t xml:space="preserve">9. Vehicle Dealership/Repair/Service</w:t>
      </w:r>
    </w:p>
    <w:p>
      <w:pPr>
        <w:numPr>
          <w:ilvl w:val="0"/>
          <w:numId w:val="1000"/>
        </w:numPr>
      </w:pPr>
      <w:r>
        <w:t xml:space="preserve">10. Vehicle Operation Facility</w:t>
      </w:r>
    </w:p>
    <w:p>
      <w:pPr>
        <w:pStyle w:val="Compact"/>
        <w:numPr>
          <w:ilvl w:val="0"/>
          <w:numId w:val="1663"/>
        </w:numPr>
      </w:pPr>
    </w:p>
    <w:p>
      <w:pPr>
        <w:numPr>
          <w:ilvl w:val="1"/>
          <w:numId w:val="1664"/>
        </w:numPr>
      </w:pPr>
      <w:r>
        <w:t xml:space="preserve">C. Dimensional Standards Select dimensional standards of the base district are modified as shown in Table 11-2: TOD Overlay District Dimensional Standards. In the case of dimensional standards that are more permissive in the base district, those permissive standards control as opposed to the standards of Table 11-2.</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pPr>
          </w:p>
        </w:tc>
        <w:tc>
          <w:tcPr/>
          <w:p>
            <w:pPr>
              <w:pStyle w:val="Compact"/>
              <w:jc w:val="left"/>
            </w:pPr>
            <w:r>
              <w:t xml:space="preserve">TABLE 11-2: TOD OVERLAY</w:t>
            </w:r>
          </w:p>
        </w:tc>
        <w:tc>
          <w:tcPr/>
          <w:p>
            <w:pPr>
              <w:pStyle w:val="Compact"/>
              <w:jc w:val="left"/>
            </w:pPr>
            <w:r>
              <w:t xml:space="preserve">DISTRICT DIMENSIONAL STANDARDS</w:t>
            </w:r>
          </w:p>
        </w:tc>
        <w:tc>
          <w:tcPr/>
          <w:p>
            <w:pPr>
              <w:pStyle w:val="Compact"/>
            </w:pPr>
          </w:p>
        </w:tc>
      </w:tr>
      <w:tr>
        <w:tc>
          <w:tcPr/>
          <w:p>
            <w:pPr>
              <w:pStyle w:val="Compact"/>
            </w:pPr>
          </w:p>
        </w:tc>
        <w:tc>
          <w:tcPr/>
          <w:p>
            <w:pPr>
              <w:pStyle w:val="Compact"/>
            </w:pPr>
          </w:p>
        </w:tc>
        <w:tc>
          <w:tcPr/>
          <w:p>
            <w:pPr>
              <w:pStyle w:val="Compact"/>
              <w:jc w:val="left"/>
            </w:pPr>
            <w:r>
              <w:t xml:space="preserve">TOD</w:t>
            </w:r>
          </w:p>
        </w:tc>
        <w:tc>
          <w:tcPr/>
          <w:p>
            <w:pPr>
              <w:pStyle w:val="Compact"/>
            </w:pPr>
          </w:p>
        </w:tc>
      </w:tr>
      <w:tr>
        <w:tc>
          <w:tcPr/>
          <w:p>
            <w:pPr>
              <w:pStyle w:val="Compact"/>
            </w:pPr>
          </w:p>
        </w:tc>
        <w:tc>
          <w:tcPr/>
          <w:p>
            <w:pPr>
              <w:pStyle w:val="Compact"/>
              <w:jc w:val="left"/>
            </w:pPr>
            <w:r>
              <w:t xml:space="preserve">Minimum Building Height</w:t>
            </w:r>
          </w:p>
        </w:tc>
        <w:tc>
          <w:tcPr/>
          <w:p>
            <w:pPr>
              <w:pStyle w:val="Compact"/>
              <w:jc w:val="left"/>
            </w:pPr>
            <w:r>
              <w:t xml:space="preserve">20’</w:t>
            </w:r>
          </w:p>
        </w:tc>
        <w:tc>
          <w:tcPr/>
          <w:p>
            <w:pPr>
              <w:pStyle w:val="Compact"/>
            </w:pPr>
          </w:p>
        </w:tc>
      </w:tr>
      <w:tr>
        <w:tc>
          <w:tcPr/>
          <w:p>
            <w:pPr>
              <w:pStyle w:val="Compact"/>
            </w:pPr>
          </w:p>
        </w:tc>
        <w:tc>
          <w:tcPr/>
          <w:p>
            <w:pPr>
              <w:pStyle w:val="Compact"/>
              <w:jc w:val="left"/>
            </w:pPr>
            <w:r>
              <w:t xml:space="preserve">Maximum Building Height</w:t>
            </w:r>
          </w:p>
        </w:tc>
        <w:tc>
          <w:tcPr/>
          <w:p>
            <w:pPr>
              <w:pStyle w:val="Compact"/>
              <w:jc w:val="left"/>
            </w:pPr>
            <w:r>
              <w:t xml:space="preserve">70’</w:t>
            </w:r>
          </w:p>
        </w:tc>
        <w:tc>
          <w:tcPr/>
          <w:p>
            <w:pPr>
              <w:pStyle w:val="Compact"/>
            </w:pPr>
          </w:p>
        </w:tc>
      </w:tr>
      <w:tr>
        <w:tc>
          <w:tcPr/>
          <w:p>
            <w:pPr>
              <w:pStyle w:val="Compact"/>
            </w:pPr>
          </w:p>
        </w:tc>
        <w:tc>
          <w:tcPr/>
          <w:p>
            <w:pPr>
              <w:pStyle w:val="Compact"/>
              <w:jc w:val="left"/>
            </w:pPr>
            <w:r>
              <w:t xml:space="preserve">Minimum Front Setback</w:t>
            </w:r>
          </w:p>
        </w:tc>
        <w:tc>
          <w:tcPr/>
          <w:p>
            <w:pPr>
              <w:pStyle w:val="Compact"/>
              <w:jc w:val="left"/>
            </w:pPr>
            <w:r>
              <w:t xml:space="preserve">Build-to zone of 0’ to 8’, with min. build-to percentage of 60%</w:t>
            </w:r>
          </w:p>
        </w:tc>
        <w:tc>
          <w:tcPr/>
          <w:p>
            <w:pPr>
              <w:pStyle w:val="Compact"/>
            </w:pPr>
          </w:p>
        </w:tc>
      </w:tr>
      <w:tr>
        <w:tc>
          <w:tcPr/>
          <w:p>
            <w:pPr>
              <w:pStyle w:val="Compact"/>
            </w:pPr>
          </w:p>
        </w:tc>
        <w:tc>
          <w:tcPr/>
          <w:p>
            <w:pPr>
              <w:pStyle w:val="Compact"/>
              <w:jc w:val="left"/>
            </w:pPr>
            <w:r>
              <w:t xml:space="preserve">Minimum Interior Side Setback</w:t>
            </w:r>
          </w:p>
        </w:tc>
        <w:tc>
          <w:tcPr/>
          <w:p>
            <w:pPr>
              <w:pStyle w:val="Compact"/>
              <w:jc w:val="left"/>
            </w:pPr>
            <w:r>
              <w:t xml:space="preserve">None; unless abutting residential, then 5’</w:t>
            </w:r>
          </w:p>
        </w:tc>
        <w:tc>
          <w:tcPr/>
          <w:p>
            <w:pPr>
              <w:pStyle w:val="Compact"/>
            </w:pPr>
          </w:p>
        </w:tc>
      </w:tr>
      <w:tr>
        <w:tc>
          <w:tcPr/>
          <w:p>
            <w:pPr>
              <w:pStyle w:val="Compact"/>
            </w:pPr>
          </w:p>
        </w:tc>
        <w:tc>
          <w:tcPr/>
          <w:p>
            <w:pPr>
              <w:pStyle w:val="Compact"/>
              <w:jc w:val="left"/>
            </w:pPr>
            <w:r>
              <w:t xml:space="preserve">Minimum Corner Side Setback</w:t>
            </w:r>
          </w:p>
        </w:tc>
        <w:tc>
          <w:tcPr/>
          <w:p>
            <w:pPr>
              <w:pStyle w:val="Compact"/>
              <w:jc w:val="left"/>
            </w:pPr>
            <w:r>
              <w:t xml:space="preserve">Build-to zone of 0’ to 8’, with min. build-to percentage of 40%</w:t>
            </w:r>
          </w:p>
        </w:tc>
        <w:tc>
          <w:tcPr/>
          <w:p>
            <w:pPr>
              <w:pStyle w:val="Compact"/>
            </w:pPr>
          </w:p>
        </w:tc>
      </w:tr>
      <w:tr>
        <w:tc>
          <w:tcPr/>
          <w:p>
            <w:pPr>
              <w:pStyle w:val="Compact"/>
            </w:pPr>
          </w:p>
        </w:tc>
        <w:tc>
          <w:tcPr/>
          <w:p>
            <w:pPr>
              <w:pStyle w:val="Compact"/>
              <w:jc w:val="left"/>
            </w:pPr>
            <w:r>
              <w:t xml:space="preserve">Minimum Rear Setback</w:t>
            </w:r>
          </w:p>
        </w:tc>
        <w:tc>
          <w:tcPr/>
          <w:p>
            <w:pPr>
              <w:pStyle w:val="Compact"/>
              <w:jc w:val="left"/>
            </w:pPr>
            <w:r>
              <w:t xml:space="preserve">None, unless abutting residential, then 10’</w:t>
            </w:r>
          </w:p>
        </w:tc>
        <w:tc>
          <w:tcPr/>
          <w:p>
            <w:pPr>
              <w:pStyle w:val="Compact"/>
            </w:pPr>
          </w:p>
        </w:tc>
      </w:tr>
    </w:tbl>
    <w:p>
      <w:pPr>
        <w:pStyle w:val="Compact"/>
        <w:numPr>
          <w:ilvl w:val="0"/>
          <w:numId w:val="1665"/>
        </w:numPr>
      </w:pPr>
    </w:p>
    <w:p>
      <w:pPr>
        <w:numPr>
          <w:ilvl w:val="1"/>
          <w:numId w:val="1666"/>
        </w:numPr>
      </w:pPr>
      <w:r>
        <w:t xml:space="preserve">Minimum Building Height 20’ Maximum Building Height 70’ Build-to zone of 0’ to 8’, with min. build-to Minimum Front Setback percentage of 60% Minimum Interior Side Setback None; unless abutting residential, then 5’ Build-to zone of 0’ to 8’, with min. build-to Minimum Corner Side Setback percentage of 40% Minimum Rear Setback None, unless abutting residential, then 10’</w:t>
      </w:r>
    </w:p>
    <w:p>
      <w:pPr>
        <w:pStyle w:val="Compact"/>
        <w:numPr>
          <w:ilvl w:val="0"/>
          <w:numId w:val="1667"/>
        </w:numPr>
      </w:pPr>
    </w:p>
    <w:p>
      <w:pPr>
        <w:numPr>
          <w:ilvl w:val="1"/>
          <w:numId w:val="1668"/>
        </w:numPr>
      </w:pPr>
      <w:r>
        <w:t xml:space="preserve">D. Design Standards All design standards of the base district and for particular types of structures, as applicable, shall apply to the TOD district.</w:t>
      </w:r>
    </w:p>
    <w:p>
      <w:pPr>
        <w:pStyle w:val="Compact"/>
        <w:numPr>
          <w:ilvl w:val="0"/>
          <w:numId w:val="1669"/>
        </w:numPr>
      </w:pPr>
    </w:p>
    <w:p>
      <w:pPr>
        <w:numPr>
          <w:ilvl w:val="1"/>
          <w:numId w:val="1670"/>
        </w:numPr>
      </w:pPr>
      <w:r>
        <w:t xml:space="preserve">E. Parking Standards In addition to the parking regulations of Article 14, the following parking requirements apply to the TOD Overlay Districts.</w:t>
      </w:r>
    </w:p>
    <w:p>
      <w:pPr>
        <w:numPr>
          <w:ilvl w:val="0"/>
          <w:numId w:val="1671"/>
        </w:numPr>
      </w:pPr>
      <w:r>
        <w:t xml:space="preserve">1. A maximum of one parking space per dwelling unit, plus one guest space per 15 units in a multifamily dwelling, is permitted. There is no minimum parking requirement for residential uses.</w:t>
      </w:r>
    </w:p>
    <w:p>
      <w:pPr>
        <w:numPr>
          <w:ilvl w:val="0"/>
          <w:numId w:val="1672"/>
        </w:numPr>
      </w:pPr>
      <w:r>
        <w:t xml:space="preserve">2. The first 5,000 square feet of gross floor area of non-residential uses are exempt from all parking requirements. Parking for non-residential uses is limited to a maximum of one space per 300 square feet of gross floor area.</w:t>
      </w:r>
    </w:p>
    <w:p>
      <w:pPr>
        <w:numPr>
          <w:ilvl w:val="0"/>
          <w:numId w:val="1673"/>
        </w:numPr>
      </w:pPr>
      <w:r>
        <w:t xml:space="preserve">3. Where feasible, ingress and egress from parking and loading shall be from side streets or alleys.</w:t>
      </w:r>
    </w:p>
    <w:bookmarkEnd w:id="85"/>
    <w:bookmarkStart w:id="86" w:name="X4142471e4aabaf0a586fbee0e2a725ef76020bc"/>
    <w:p>
      <w:pPr>
        <w:pStyle w:val="Heading2"/>
      </w:pPr>
      <w:r>
        <w:t xml:space="preserve">§ 1106. I-3E EDUCATIONAL INSTITUTIONAL OVERLAY DISTRICT</w:t>
      </w:r>
    </w:p>
    <w:p>
      <w:pPr>
        <w:pStyle w:val="FirstParagraph"/>
      </w:pPr>
      <w:r>
        <w:t xml:space="preserve">1106 I-3E EDUCATIONAL INSTITUTIONAL OVERLAY DISTRICT</w:t>
      </w:r>
    </w:p>
    <w:p>
      <w:pPr>
        <w:numPr>
          <w:ilvl w:val="0"/>
          <w:numId w:val="1674"/>
        </w:numPr>
      </w:pPr>
      <w:r>
        <w:t xml:space="preserve">A. The I-3E Educational Institutional Overlay District is an overlay district and therefore allows the uses of both the base district and the use of educational facility - university or college. All development in the I- 3E Educational Institutional Overlay District is subject to the dimensional standards, design standards, development standards, and general standards of applicability of the base district.</w:t>
      </w:r>
    </w:p>
    <w:bookmarkEnd w:id="86"/>
    <w:bookmarkStart w:id="87" w:name="Xabb0f952302cb98099e1d712ff3f83ee9150fa4"/>
    <w:p>
      <w:pPr>
        <w:pStyle w:val="Heading2"/>
      </w:pPr>
      <w:r>
        <w:t xml:space="preserve">§ 1107. I-3H HEALTHCARE INSTITUTIONAL OVERLAY DISTRICT</w:t>
      </w:r>
    </w:p>
    <w:p>
      <w:pPr>
        <w:pStyle w:val="FirstParagraph"/>
      </w:pPr>
      <w:r>
        <w:t xml:space="preserve">1107 I-3H HEALTHCARE INSTITUTIONAL OVERLAY DISTRICT</w:t>
      </w:r>
    </w:p>
    <w:p>
      <w:pPr>
        <w:numPr>
          <w:ilvl w:val="0"/>
          <w:numId w:val="1675"/>
        </w:numPr>
      </w:pPr>
      <w:r>
        <w:t xml:space="preserve">A. The I-3H Healthcare Institutional Overlay District is an overlay district and therefore allows the uses of both the base district and the use of healthcare institution. All development in the I-3H Healthcare Institutional Overlay District is subject to the dimensional standards, design standards, development standards, and general standards of applicability of the base district.</w:t>
      </w:r>
    </w:p>
    <w:bookmarkEnd w:id="87"/>
    <w:bookmarkStart w:id="88" w:name="uses-7"/>
    <w:p>
      <w:pPr>
        <w:pStyle w:val="Heading1"/>
      </w:pPr>
      <w:r>
        <w:t xml:space="preserve">§ 12. USES</w:t>
      </w:r>
    </w:p>
    <w:p>
      <w:pPr>
        <w:pStyle w:val="FirstParagraph"/>
      </w:pPr>
      <w:r>
        <w:t xml:space="preserve">ARTICLE 12. USES 1200 GENERAL REGULATIONS 1201 USE MATRIX 1202 PRINCIPAL USE STANDARDS 1203 TEMPORARY USE STANDARDS 1204 USE DEFINITIONS</w:t>
      </w:r>
    </w:p>
    <w:bookmarkEnd w:id="88"/>
    <w:bookmarkStart w:id="89" w:name="general-regulations"/>
    <w:p>
      <w:pPr>
        <w:pStyle w:val="Heading2"/>
      </w:pPr>
      <w:r>
        <w:t xml:space="preserve">§ 1200. GENERAL REGULATIONS</w:t>
      </w:r>
    </w:p>
    <w:p>
      <w:pPr>
        <w:pStyle w:val="FirstParagraph"/>
      </w:pPr>
      <w:r>
        <w:t xml:space="preserve">1200 GENERAL REGULATIONS</w:t>
      </w:r>
    </w:p>
    <w:p>
      <w:pPr>
        <w:numPr>
          <w:ilvl w:val="0"/>
          <w:numId w:val="1676"/>
        </w:numPr>
      </w:pPr>
      <w:r>
        <w:t xml:space="preserve">A. No structure or land may be used or occupied unless allowed as a permitted or special use within the zoning district.</w:t>
      </w:r>
    </w:p>
    <w:p>
      <w:pPr>
        <w:numPr>
          <w:ilvl w:val="0"/>
          <w:numId w:val="1677"/>
        </w:numPr>
      </w:pPr>
      <w:r>
        <w:t xml:space="preserve">B. In the W-3 District, all permitted and special uses shall be part of a marine enterprise or dependent on access to the waterfront.</w:t>
      </w:r>
    </w:p>
    <w:p>
      <w:pPr>
        <w:numPr>
          <w:ilvl w:val="0"/>
          <w:numId w:val="1678"/>
        </w:numPr>
      </w:pPr>
      <w:r>
        <w:t xml:space="preserve">C. All uses shall comply with any applicable federal and state requirements and any regulations of the Providence Code of Ordinances.</w:t>
      </w:r>
    </w:p>
    <w:p>
      <w:pPr>
        <w:numPr>
          <w:ilvl w:val="0"/>
          <w:numId w:val="1679"/>
        </w:numPr>
      </w:pPr>
      <w:r>
        <w:t xml:space="preserve">D. Noncompliance with any of the use standards of Section 1202 and any conditions imposed as a part of the approval of a special use or any other zoning approval is considered a violation of this Ordinance and subject to enforcement provisions. E. §45-24-37 of Rhode Island General Laws permits the following uses within all residential districts of a municipality and all industrial and commercial districts except where such uses are prohibited for public health or safety reasons. Therefore, if any such use is not permitted by right or by special use permit, as indicated in the use matrix, it is presumed to be prohibited for health or safety reasons. For the purposes of this Ordinance, this permission includes any amendments to the general laws that modify such list. All uses permitted by Rhode Island General Laws shall meet any required standards of the general laws. For reference purposes, these uses include:</w:t>
      </w:r>
    </w:p>
    <w:p>
      <w:pPr>
        <w:numPr>
          <w:ilvl w:val="0"/>
          <w:numId w:val="1680"/>
        </w:numPr>
      </w:pPr>
      <w:r>
        <w:t xml:space="preserve">1. Reserved.</w:t>
      </w:r>
    </w:p>
    <w:p>
      <w:pPr>
        <w:numPr>
          <w:ilvl w:val="0"/>
          <w:numId w:val="1681"/>
        </w:numPr>
      </w:pPr>
      <w:r>
        <w:t xml:space="preserve">2. Community residences – Type I.</w:t>
      </w:r>
    </w:p>
    <w:p>
      <w:pPr>
        <w:numPr>
          <w:ilvl w:val="0"/>
          <w:numId w:val="1682"/>
        </w:numPr>
      </w:pPr>
      <w:r>
        <w:t xml:space="preserve">3. Family day care homes.</w:t>
      </w:r>
    </w:p>
    <w:p>
      <w:pPr>
        <w:numPr>
          <w:ilvl w:val="0"/>
          <w:numId w:val="1683"/>
        </w:numPr>
      </w:pPr>
      <w:r>
        <w:t xml:space="preserve">4. Plant Agriculture is a permitted use within all districts, including all industrial and commercial zoning districts, except where prohibited for public health or safety reasons or the protection of wildlife habitat. Plant Agriculture does not include Hybrid Cannabis Retailer/Cannabis Cultivator.</w:t>
      </w:r>
    </w:p>
    <w:p>
      <w:pPr>
        <w:numPr>
          <w:ilvl w:val="0"/>
          <w:numId w:val="1684"/>
        </w:numPr>
      </w:pPr>
      <w:r>
        <w:t xml:space="preserve">5. Temporary mobile and manufactured homes when a residence is rendered uninhabitable by virtue of a casualty for use and occupancy of the former occupants.</w:t>
      </w:r>
    </w:p>
    <w:p>
      <w:pPr>
        <w:pStyle w:val="Compact"/>
        <w:numPr>
          <w:ilvl w:val="0"/>
          <w:numId w:val="1685"/>
        </w:numPr>
      </w:pPr>
    </w:p>
    <w:p>
      <w:pPr>
        <w:numPr>
          <w:ilvl w:val="1"/>
          <w:numId w:val="1686"/>
        </w:numPr>
      </w:pPr>
      <w:r>
        <w:t xml:space="preserve">F. Prohibited Uses</w:t>
      </w:r>
    </w:p>
    <w:p>
      <w:pPr>
        <w:numPr>
          <w:ilvl w:val="1"/>
          <w:numId w:val="1000"/>
        </w:numPr>
      </w:pPr>
      <w:r>
        <w:t xml:space="preserve">1. Any use that is not included in the use matrix is prohibited in all districts.</w:t>
      </w:r>
    </w:p>
    <w:p>
      <w:pPr>
        <w:numPr>
          <w:ilvl w:val="0"/>
          <w:numId w:val="1687"/>
        </w:numPr>
      </w:pPr>
      <w:r>
        <w:t xml:space="preserve">2. The following uses are expressly prohibited in all districts.</w:t>
      </w:r>
    </w:p>
    <w:p>
      <w:pPr>
        <w:pStyle w:val="Compact"/>
        <w:numPr>
          <w:ilvl w:val="0"/>
          <w:numId w:val="1688"/>
        </w:numPr>
      </w:pPr>
    </w:p>
    <w:p>
      <w:pPr>
        <w:numPr>
          <w:ilvl w:val="1"/>
          <w:numId w:val="1689"/>
        </w:numPr>
      </w:pPr>
      <w:r>
        <w:t xml:space="preserve">a. Billboard/outdoor advertising.</w:t>
      </w:r>
    </w:p>
    <w:p>
      <w:pPr>
        <w:pStyle w:val="Compact"/>
        <w:numPr>
          <w:ilvl w:val="0"/>
          <w:numId w:val="1690"/>
        </w:numPr>
      </w:pPr>
    </w:p>
    <w:p>
      <w:pPr>
        <w:numPr>
          <w:ilvl w:val="1"/>
          <w:numId w:val="1691"/>
        </w:numPr>
      </w:pPr>
      <w:r>
        <w:t xml:space="preserve">b. Halfway house.</w:t>
      </w:r>
    </w:p>
    <w:p>
      <w:pPr>
        <w:pStyle w:val="Compact"/>
        <w:numPr>
          <w:ilvl w:val="0"/>
          <w:numId w:val="1692"/>
        </w:numPr>
      </w:pPr>
    </w:p>
    <w:p>
      <w:pPr>
        <w:numPr>
          <w:ilvl w:val="1"/>
          <w:numId w:val="1693"/>
        </w:numPr>
      </w:pPr>
      <w:r>
        <w:t xml:space="preserve">c. Industrial uses of the following types: abrasive, asbestos and miscellaneous nonmetallic mineral product manufacture; acid manufacture; agricultural chemicals including fertilizer manufacture; bulk storage of liquefied natural gas; bulk storage of liquid propane gas; cement, lime, gypsum or plaster of paris manufacture; creosote manufacture or treatment; drop forge industries; glue manufacture; leather and fur tanning and finishing; manufacture and storage of explosives; manufacture of noxious or toxic gases and chemicals; nuclear industries manufacturing; petroleum refining; primary metal industries; processing of sauerkraut, vinegar or yeast; pulp mills and paper mills; rendering or refining of fats or oils; rubber or gutta percha manufacture or treatment; tobacco and tobacco products manufacture.</w:t>
      </w:r>
    </w:p>
    <w:p>
      <w:pPr>
        <w:pStyle w:val="Compact"/>
        <w:numPr>
          <w:ilvl w:val="0"/>
          <w:numId w:val="1694"/>
        </w:numPr>
      </w:pPr>
    </w:p>
    <w:p>
      <w:pPr>
        <w:numPr>
          <w:ilvl w:val="1"/>
          <w:numId w:val="1695"/>
        </w:numPr>
      </w:pPr>
      <w:r>
        <w:t xml:space="preserve">d. Landfill and garbage dump including offal or dead animal.</w:t>
      </w:r>
    </w:p>
    <w:p>
      <w:pPr>
        <w:pStyle w:val="Compact"/>
        <w:numPr>
          <w:ilvl w:val="0"/>
          <w:numId w:val="1696"/>
        </w:numPr>
      </w:pPr>
    </w:p>
    <w:p>
      <w:pPr>
        <w:numPr>
          <w:ilvl w:val="1"/>
          <w:numId w:val="1697"/>
        </w:numPr>
      </w:pPr>
      <w:r>
        <w:t xml:space="preserve">e. Prison/correctional institution.</w:t>
      </w:r>
    </w:p>
    <w:p>
      <w:pPr>
        <w:pStyle w:val="Compact"/>
        <w:numPr>
          <w:ilvl w:val="0"/>
          <w:numId w:val="1698"/>
        </w:numPr>
      </w:pPr>
    </w:p>
    <w:p>
      <w:pPr>
        <w:numPr>
          <w:ilvl w:val="1"/>
          <w:numId w:val="1699"/>
        </w:numPr>
      </w:pPr>
      <w:r>
        <w:t xml:space="preserve">f. Racetrack.</w:t>
      </w:r>
    </w:p>
    <w:p>
      <w:pPr>
        <w:pStyle w:val="Compact"/>
        <w:numPr>
          <w:ilvl w:val="0"/>
          <w:numId w:val="1700"/>
        </w:numPr>
      </w:pPr>
    </w:p>
    <w:p>
      <w:pPr>
        <w:numPr>
          <w:ilvl w:val="1"/>
          <w:numId w:val="1701"/>
        </w:numPr>
      </w:pPr>
      <w:r>
        <w:t xml:space="preserve">g. Slaughterhouse, excluding the killing of fowl.</w:t>
      </w:r>
    </w:p>
    <w:p>
      <w:pPr>
        <w:pStyle w:val="Compact"/>
        <w:numPr>
          <w:ilvl w:val="0"/>
          <w:numId w:val="1702"/>
        </w:numPr>
      </w:pPr>
    </w:p>
    <w:p>
      <w:pPr>
        <w:numPr>
          <w:ilvl w:val="1"/>
          <w:numId w:val="1703"/>
        </w:numPr>
      </w:pPr>
      <w:r>
        <w:t xml:space="preserve">h. Stock yard/feeding pen.</w:t>
      </w:r>
    </w:p>
    <w:p>
      <w:pPr>
        <w:pStyle w:val="Compact"/>
        <w:numPr>
          <w:ilvl w:val="0"/>
          <w:numId w:val="1704"/>
        </w:numPr>
      </w:pPr>
    </w:p>
    <w:p>
      <w:pPr>
        <w:numPr>
          <w:ilvl w:val="1"/>
          <w:numId w:val="1705"/>
        </w:numPr>
      </w:pPr>
      <w:r>
        <w:t xml:space="preserve">i. Waste incineration facility.</w:t>
      </w:r>
    </w:p>
    <w:p>
      <w:pPr>
        <w:pStyle w:val="Compact"/>
        <w:numPr>
          <w:ilvl w:val="0"/>
          <w:numId w:val="1706"/>
        </w:numPr>
      </w:pPr>
    </w:p>
    <w:p>
      <w:pPr>
        <w:numPr>
          <w:ilvl w:val="1"/>
          <w:numId w:val="1707"/>
        </w:numPr>
      </w:pPr>
      <w:r>
        <w:t xml:space="preserve">j. Self-storage facility.</w:t>
      </w:r>
    </w:p>
    <w:bookmarkEnd w:id="89"/>
    <w:bookmarkStart w:id="90" w:name="use-matrix"/>
    <w:p>
      <w:pPr>
        <w:pStyle w:val="Heading2"/>
      </w:pPr>
      <w:r>
        <w:t xml:space="preserve">§ 1201. USE MATRIX</w:t>
      </w:r>
    </w:p>
    <w:p>
      <w:pPr>
        <w:pStyle w:val="FirstParagraph"/>
      </w:pPr>
      <w:r>
        <w:t xml:space="preserve">1201 USE MATRIX</w:t>
      </w:r>
    </w:p>
    <w:p>
      <w:pPr>
        <w:pStyle w:val="BodyText"/>
      </w:pPr>
      <w:r>
        <w:t xml:space="preserve">Table 12-1: Use Matrix identifies the principal and temporary uses allowed within each zoning district. P indicates that the use is permitted in the district. S indicates that the use is a special use in the district and requires a special use permit. If a cell is blank, the use is not allowed in the district. In the case of temporary uses, a P indicates the temporary use is allowed in the district and requires approval of a temporary use permit. All uses shall comply with the use standards of Sections 1202 and 1203, as applicable, as well as all other regulations of this Ordinance. For accessory uses, please see Sections 1302 and 1303.</w:t>
      </w:r>
    </w:p>
    <w:p>
      <w:pPr>
        <w:pStyle w:val="BodyText"/>
      </w:pPr>
      <w:r>
        <w:rPr>
          <w:b/>
          <w:bCs/>
        </w:rPr>
        <w:t xml:space="preserve">Key: P = Permitted // S = Special Use</w:t>
      </w:r>
    </w:p>
    <w:tbl>
      <w:tblPr>
        <w:tblStyle w:val="Table"/>
        <w:tblW w:type="auto" w:w="0"/>
        <w:jc w:val="left"/>
        <w:tblLook w:firstRow="1" w:lastRow="0" w:firstColumn="0" w:lastColumn="0" w:noHBand="0" w:noVBand="0" w:val="0020"/>
      </w:tblPr>
      <w:tblGrid>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trPr>
          <w:tblHeader w:val="on"/>
        </w:trPr>
        <w:tc>
          <w:tcPr/>
          <w:p>
            <w:pPr>
              <w:pStyle w:val="Compact"/>
              <w:jc w:val="left"/>
            </w:pPr>
            <w:r>
              <w:t xml:space="preserve">Use</w:t>
            </w:r>
          </w:p>
        </w:tc>
        <w:tc>
          <w:tcPr/>
          <w:p>
            <w:pPr>
              <w:pStyle w:val="Compact"/>
              <w:jc w:val="left"/>
            </w:pPr>
            <w:r>
              <w:t xml:space="preserve">R-1A</w:t>
            </w:r>
          </w:p>
        </w:tc>
        <w:tc>
          <w:tcPr/>
          <w:p>
            <w:pPr>
              <w:pStyle w:val="Compact"/>
              <w:jc w:val="left"/>
            </w:pPr>
            <w:r>
              <w:t xml:space="preserve">R-1</w:t>
            </w:r>
          </w:p>
        </w:tc>
        <w:tc>
          <w:tcPr/>
          <w:p>
            <w:pPr>
              <w:pStyle w:val="Compact"/>
              <w:jc w:val="left"/>
            </w:pPr>
            <w:r>
              <w:t xml:space="preserve">R-3</w:t>
            </w:r>
          </w:p>
        </w:tc>
        <w:tc>
          <w:tcPr/>
          <w:p>
            <w:pPr>
              <w:pStyle w:val="Compact"/>
              <w:jc w:val="left"/>
            </w:pPr>
            <w:r>
              <w:t xml:space="preserve">R-4</w:t>
            </w:r>
          </w:p>
        </w:tc>
        <w:tc>
          <w:tcPr/>
          <w:p>
            <w:pPr>
              <w:pStyle w:val="Compact"/>
              <w:jc w:val="left"/>
            </w:pPr>
            <w:r>
              <w:t xml:space="preserve">RP</w:t>
            </w:r>
          </w:p>
        </w:tc>
        <w:tc>
          <w:tcPr/>
          <w:p>
            <w:pPr>
              <w:pStyle w:val="Compact"/>
              <w:jc w:val="left"/>
            </w:pPr>
            <w:r>
              <w:t xml:space="preserve">C-2</w:t>
            </w:r>
          </w:p>
        </w:tc>
        <w:tc>
          <w:tcPr/>
          <w:p>
            <w:pPr>
              <w:pStyle w:val="Compact"/>
              <w:jc w:val="left"/>
            </w:pPr>
            <w:r>
              <w:t xml:space="preserve">C-3</w:t>
            </w:r>
          </w:p>
        </w:tc>
        <w:tc>
          <w:tcPr/>
          <w:p>
            <w:pPr>
              <w:pStyle w:val="Compact"/>
              <w:jc w:val="left"/>
            </w:pPr>
            <w:r>
              <w:t xml:space="preserve">D-1</w:t>
            </w:r>
          </w:p>
        </w:tc>
        <w:tc>
          <w:tcPr/>
          <w:p>
            <w:pPr>
              <w:pStyle w:val="Compact"/>
              <w:jc w:val="left"/>
            </w:pPr>
            <w:r>
              <w:t xml:space="preserve">W-2</w:t>
            </w:r>
          </w:p>
        </w:tc>
        <w:tc>
          <w:tcPr/>
          <w:p>
            <w:pPr>
              <w:pStyle w:val="Compact"/>
              <w:jc w:val="left"/>
            </w:pPr>
            <w:r>
              <w:t xml:space="preserve">W-3</w:t>
            </w:r>
          </w:p>
        </w:tc>
        <w:tc>
          <w:tcPr/>
          <w:p>
            <w:pPr>
              <w:pStyle w:val="Compact"/>
              <w:jc w:val="left"/>
            </w:pPr>
            <w:r>
              <w:t xml:space="preserve">M-1</w:t>
            </w:r>
          </w:p>
        </w:tc>
        <w:tc>
          <w:tcPr/>
          <w:p>
            <w:pPr>
              <w:pStyle w:val="Compact"/>
              <w:jc w:val="left"/>
            </w:pPr>
            <w:r>
              <w:t xml:space="preserve">M-2</w:t>
            </w:r>
          </w:p>
        </w:tc>
        <w:tc>
          <w:tcPr/>
          <w:p>
            <w:pPr>
              <w:pStyle w:val="Compact"/>
              <w:jc w:val="left"/>
            </w:pPr>
            <w:r>
              <w:t xml:space="preserve">M-MU</w:t>
            </w:r>
          </w:p>
        </w:tc>
        <w:tc>
          <w:tcPr/>
          <w:p>
            <w:pPr>
              <w:pStyle w:val="Compact"/>
              <w:jc w:val="left"/>
            </w:pPr>
            <w:r>
              <w:t xml:space="preserve">I-1</w:t>
            </w:r>
          </w:p>
        </w:tc>
        <w:tc>
          <w:tcPr/>
          <w:p>
            <w:pPr>
              <w:pStyle w:val="Compact"/>
              <w:jc w:val="left"/>
            </w:pPr>
            <w:r>
              <w:t xml:space="preserve">I-2</w:t>
            </w:r>
          </w:p>
        </w:tc>
        <w:tc>
          <w:tcPr/>
          <w:p>
            <w:pPr>
              <w:pStyle w:val="Compact"/>
              <w:jc w:val="left"/>
            </w:pPr>
            <w:r>
              <w:t xml:space="preserve">PS</w:t>
            </w:r>
          </w:p>
        </w:tc>
        <w:tc>
          <w:tcPr/>
          <w:p>
            <w:pPr>
              <w:pStyle w:val="Compact"/>
              <w:jc w:val="left"/>
            </w:pPr>
            <w:r>
              <w:t xml:space="preserve">OS</w:t>
            </w:r>
          </w:p>
        </w:tc>
        <w:tc>
          <w:tcPr/>
          <w:p>
            <w:pPr>
              <w:pStyle w:val="Compact"/>
              <w:jc w:val="left"/>
            </w:pPr>
            <w:r>
              <w:t xml:space="preserve">CD</w:t>
            </w:r>
          </w:p>
        </w:tc>
        <w:tc>
          <w:tcPr/>
          <w:p>
            <w:pPr>
              <w:pStyle w:val="Compact"/>
              <w:jc w:val="left"/>
            </w:pPr>
            <w:r>
              <w:t xml:space="preserve">Use Standard</w:t>
            </w:r>
          </w:p>
        </w:tc>
      </w:tr>
      <w:tr>
        <w:tc>
          <w:tcPr/>
          <w:p>
            <w:pPr>
              <w:pStyle w:val="Compact"/>
              <w:jc w:val="left"/>
            </w:pPr>
            <w:r>
              <w:t xml:space="preserve">Adult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1202.A</w:t>
            </w:r>
          </w:p>
        </w:tc>
      </w:tr>
      <w:tr>
        <w:tc>
          <w:tcPr/>
          <w:p>
            <w:pPr>
              <w:pStyle w:val="Compact"/>
              <w:jc w:val="left"/>
            </w:pPr>
            <w:r>
              <w:t xml:space="preserve">Amusement/Entertainment/Sports Facility - Indoor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Amusement/Entertainment/Sports Facility - Outdoor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Animal Care Facility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1202.B</w:t>
            </w:r>
          </w:p>
        </w:tc>
      </w:tr>
      <w:tr>
        <w:tc>
          <w:tcPr/>
          <w:p>
            <w:pPr>
              <w:pStyle w:val="Compact"/>
              <w:jc w:val="left"/>
            </w:pPr>
            <w:r>
              <w:t xml:space="preserve">Art Gallery</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Arts Studio</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Automated Teller Machine - Standalone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1202.C</w:t>
            </w:r>
          </w:p>
        </w:tc>
      </w:tr>
      <w:tr>
        <w:tc>
          <w:tcPr/>
          <w:p>
            <w:pPr>
              <w:pStyle w:val="Compact"/>
              <w:jc w:val="left"/>
            </w:pPr>
            <w:r>
              <w:t xml:space="preserve">Bar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Bed and Breakfast</w:t>
            </w: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1202.E</w:t>
            </w:r>
          </w:p>
        </w:tc>
      </w:tr>
      <w:tr>
        <w:tc>
          <w:tcPr/>
          <w:p>
            <w:pPr>
              <w:pStyle w:val="Compact"/>
              <w:jc w:val="left"/>
            </w:pPr>
            <w:r>
              <w:t xml:space="preserve">Body Modification Establishment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Broadcasting Facility TV/Radio - With Antennae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Broadcasting Facility TV/Radio - Without Antennae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Cannabis – Hybrid Cannabis Retailer/Cannabis Cultivator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1202.EE</w:t>
            </w:r>
          </w:p>
        </w:tc>
      </w:tr>
      <w:tr>
        <w:tc>
          <w:tcPr/>
          <w:p>
            <w:pPr>
              <w:pStyle w:val="Compact"/>
              <w:jc w:val="left"/>
            </w:pPr>
            <w:r>
              <w:t xml:space="preserve">Cannabis Retailer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1202.JJ</w:t>
            </w:r>
          </w:p>
        </w:tc>
      </w:tr>
      <w:tr>
        <w:tc>
          <w:tcPr/>
          <w:p>
            <w:pPr>
              <w:pStyle w:val="Compact"/>
              <w:jc w:val="left"/>
            </w:pPr>
            <w:r>
              <w:t xml:space="preserve">Cannabis – Social Equity/Workers’ Cooperative Licensed Cannabis Retailer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1202.KK</w:t>
            </w:r>
          </w:p>
        </w:tc>
      </w:tr>
      <w:tr>
        <w:tc>
          <w:tcPr/>
          <w:p>
            <w:pPr>
              <w:pStyle w:val="Compact"/>
              <w:jc w:val="left"/>
            </w:pPr>
            <w:r>
              <w:t xml:space="preserve">Car Wash</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1202.F</w:t>
            </w:r>
          </w:p>
        </w:tc>
      </w:tr>
      <w:tr>
        <w:tc>
          <w:tcPr/>
          <w:p>
            <w:pPr>
              <w:pStyle w:val="Compact"/>
              <w:jc w:val="left"/>
            </w:pPr>
            <w:r>
              <w:t xml:space="preserve">Cemetery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Community Center</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r>
      <w:tr>
        <w:tc>
          <w:tcPr/>
          <w:p>
            <w:pPr>
              <w:pStyle w:val="Compact"/>
              <w:jc w:val="left"/>
            </w:pPr>
            <w:r>
              <w:t xml:space="preserve">Community Residence – Type I</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1200.E &amp; 1202.G</w:t>
            </w:r>
          </w:p>
        </w:tc>
      </w:tr>
      <w:tr>
        <w:tc>
          <w:tcPr/>
          <w:p>
            <w:pPr>
              <w:pStyle w:val="Compact"/>
              <w:jc w:val="left"/>
            </w:pPr>
            <w:r>
              <w:t xml:space="preserve">Community Residence – Type II</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1202.G</w:t>
            </w:r>
          </w:p>
        </w:tc>
      </w:tr>
      <w:tr>
        <w:tc>
          <w:tcPr/>
          <w:p>
            <w:pPr>
              <w:pStyle w:val="Compact"/>
              <w:jc w:val="left"/>
            </w:pPr>
            <w:r>
              <w:t xml:space="preserve">Conservation Area</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r>
      <w:tr>
        <w:tc>
          <w:tcPr/>
          <w:p>
            <w:pPr>
              <w:pStyle w:val="Compact"/>
              <w:jc w:val="left"/>
            </w:pPr>
            <w:r>
              <w:t xml:space="preserve">Contractor Storage Yard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1202.H</w:t>
            </w:r>
          </w:p>
        </w:tc>
      </w:tr>
      <w:tr>
        <w:tc>
          <w:tcPr/>
          <w:p>
            <w:pPr>
              <w:pStyle w:val="Compact"/>
              <w:jc w:val="left"/>
            </w:pPr>
            <w:r>
              <w:t xml:space="preserve">Country Club</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Cultural Facility</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Day Care - Day Care Center, up to 8 people receiving day care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1202.I</w:t>
            </w:r>
          </w:p>
        </w:tc>
      </w:tr>
      <w:tr>
        <w:tc>
          <w:tcPr/>
          <w:p>
            <w:pPr>
              <w:pStyle w:val="Compact"/>
              <w:jc w:val="left"/>
            </w:pPr>
            <w:r>
              <w:t xml:space="preserve">Day Care - Day Care Center, 9 to 12 people receiving day care</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1202.I</w:t>
            </w:r>
          </w:p>
        </w:tc>
      </w:tr>
      <w:tr>
        <w:tc>
          <w:tcPr/>
          <w:p>
            <w:pPr>
              <w:pStyle w:val="Compact"/>
              <w:jc w:val="left"/>
            </w:pPr>
            <w:r>
              <w:t xml:space="preserve">Day Care - Day Care Center, more than 12 people receivingday care</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1202.I</w:t>
            </w:r>
          </w:p>
        </w:tc>
      </w:tr>
      <w:tr>
        <w:tc>
          <w:tcPr/>
          <w:p>
            <w:pPr>
              <w:pStyle w:val="Compact"/>
              <w:jc w:val="left"/>
            </w:pPr>
            <w:r>
              <w:t xml:space="preserve">Day Care - Family Day Care Home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1200.E &amp; 1202.I</w:t>
            </w:r>
          </w:p>
        </w:tc>
      </w:tr>
      <w:tr>
        <w:tc>
          <w:tcPr/>
          <w:p>
            <w:pPr>
              <w:pStyle w:val="Compact"/>
              <w:jc w:val="left"/>
            </w:pPr>
            <w:r>
              <w:t xml:space="preserve">Drive-Through Facility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1202.J</w:t>
            </w:r>
          </w:p>
        </w:tc>
      </w:tr>
      <w:tr>
        <w:tc>
          <w:tcPr/>
          <w:p>
            <w:pPr>
              <w:pStyle w:val="Compact"/>
              <w:jc w:val="left"/>
            </w:pPr>
            <w:r>
              <w:t xml:space="preserve">Dwelling – Adaptive Reuse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1202.K &amp; 1202.L</w:t>
            </w:r>
          </w:p>
        </w:tc>
      </w:tr>
      <w:tr>
        <w:tc>
          <w:tcPr/>
          <w:p>
            <w:pPr>
              <w:pStyle w:val="Compact"/>
              <w:jc w:val="left"/>
            </w:pPr>
            <w:r>
              <w:t xml:space="preserve">Dwelling - Multi-Family</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1202.K</w:t>
            </w:r>
          </w:p>
        </w:tc>
      </w:tr>
      <w:tr>
        <w:tc>
          <w:tcPr/>
          <w:p>
            <w:pPr>
              <w:pStyle w:val="Compact"/>
              <w:jc w:val="left"/>
            </w:pPr>
            <w:r>
              <w:t xml:space="preserve">Dwelling - Rowhouse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1202.K</w:t>
            </w:r>
          </w:p>
        </w:tc>
      </w:tr>
      <w:tr>
        <w:tc>
          <w:tcPr/>
          <w:p>
            <w:pPr>
              <w:pStyle w:val="Compact"/>
              <w:jc w:val="left"/>
            </w:pPr>
            <w:r>
              <w:t xml:space="preserve">Dwelling - Single-Family</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1202.L</w:t>
            </w:r>
          </w:p>
        </w:tc>
      </w:tr>
      <w:tr>
        <w:tc>
          <w:tcPr/>
          <w:p>
            <w:pPr>
              <w:pStyle w:val="Compact"/>
              <w:jc w:val="left"/>
            </w:pPr>
            <w:r>
              <w:t xml:space="preserve">Dwelling – Three-Family</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1202.L</w:t>
            </w:r>
          </w:p>
        </w:tc>
      </w:tr>
      <w:tr>
        <w:tc>
          <w:tcPr/>
          <w:p>
            <w:pPr>
              <w:pStyle w:val="Compact"/>
              <w:jc w:val="left"/>
            </w:pPr>
            <w:r>
              <w:t xml:space="preserve">Dwelling - Two-Family</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1202.L</w:t>
            </w:r>
          </w:p>
        </w:tc>
      </w:tr>
      <w:tr>
        <w:tc>
          <w:tcPr/>
          <w:p>
            <w:pPr>
              <w:pStyle w:val="Compact"/>
              <w:jc w:val="left"/>
            </w:pPr>
            <w:r>
              <w:t xml:space="preserve">Educational Facility - Primary or Secondary</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Sec. 1202.M</w:t>
            </w:r>
          </w:p>
        </w:tc>
      </w:tr>
      <w:tr>
        <w:tc>
          <w:tcPr/>
          <w:p>
            <w:pPr>
              <w:pStyle w:val="Compact"/>
              <w:jc w:val="left"/>
            </w:pPr>
            <w:r>
              <w:t xml:space="preserve">Educational Facility - University or College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1202.N</w:t>
            </w:r>
          </w:p>
        </w:tc>
      </w:tr>
      <w:tr>
        <w:tc>
          <w:tcPr/>
          <w:p>
            <w:pPr>
              <w:pStyle w:val="Compact"/>
              <w:jc w:val="left"/>
            </w:pPr>
            <w:r>
              <w:t xml:space="preserve">Educational Facility - Vocational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Electric Vehicle Charging Station (Principal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jc w:val="left"/>
            </w:pPr>
            <w:r>
              <w:t xml:space="preserve">Sec. 1202.O</w:t>
            </w:r>
          </w:p>
        </w:tc>
      </w:tr>
      <w:tr>
        <w:tc>
          <w:tcPr/>
          <w:p>
            <w:pPr>
              <w:pStyle w:val="Compact"/>
              <w:jc w:val="left"/>
            </w:pPr>
            <w:r>
              <w:t xml:space="preserve">Financial Institution/Bank</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Fraternity/Sorority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Freight Terminal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Funeral Home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1202.GG</w:t>
            </w:r>
          </w:p>
        </w:tc>
      </w:tr>
      <w:tr>
        <w:tc>
          <w:tcPr/>
          <w:p>
            <w:pPr>
              <w:pStyle w:val="Compact"/>
              <w:jc w:val="left"/>
            </w:pPr>
            <w:r>
              <w:t xml:space="preserve">Gas Station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1202.P</w:t>
            </w:r>
          </w:p>
        </w:tc>
      </w:tr>
      <w:tr>
        <w:tc>
          <w:tcPr/>
          <w:p>
            <w:pPr>
              <w:pStyle w:val="Compact"/>
              <w:jc w:val="left"/>
            </w:pPr>
            <w:r>
              <w:t xml:space="preserve">Golf Course/Driving Range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Government Office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Greenhouse/Nursery - Retail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Group Quarters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Healthcare Institution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S</w:t>
            </w: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1202.N</w:t>
            </w:r>
          </w:p>
        </w:tc>
      </w:tr>
      <w:tr>
        <w:tc>
          <w:tcPr/>
          <w:p>
            <w:pPr>
              <w:pStyle w:val="Compact"/>
              <w:jc w:val="left"/>
            </w:pPr>
            <w:r>
              <w:t xml:space="preserve">Heavy Retail, Rental and Service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Helipad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jc w:val="left"/>
            </w:pPr>
            <w:r>
              <w:t xml:space="preserve">Sec. 1202.HH</w:t>
            </w:r>
          </w:p>
        </w:tc>
      </w:tr>
      <w:tr>
        <w:tc>
          <w:tcPr/>
          <w:p>
            <w:pPr>
              <w:pStyle w:val="Compact"/>
              <w:jc w:val="left"/>
            </w:pPr>
            <w:r>
              <w:t xml:space="preserve">Heliport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1202.HH</w:t>
            </w:r>
          </w:p>
        </w:tc>
      </w:tr>
      <w:tr>
        <w:tc>
          <w:tcPr/>
          <w:p>
            <w:pPr>
              <w:pStyle w:val="Compact"/>
              <w:jc w:val="left"/>
            </w:pPr>
            <w:r>
              <w:t xml:space="preserve">Hotel/Motel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Industrial - Artisan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Industrial - General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Industrial - Light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Industrial Design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Live Entertainment - Ancillary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1202.Q</w:t>
            </w:r>
          </w:p>
        </w:tc>
      </w:tr>
      <w:tr>
        <w:tc>
          <w:tcPr/>
          <w:p>
            <w:pPr>
              <w:pStyle w:val="Compact"/>
              <w:jc w:val="left"/>
            </w:pPr>
            <w:r>
              <w:t xml:space="preserve">Live Performance Venue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1202.Q</w:t>
            </w:r>
          </w:p>
        </w:tc>
      </w:tr>
      <w:tr>
        <w:tc>
          <w:tcPr/>
          <w:p>
            <w:pPr>
              <w:pStyle w:val="Compact"/>
              <w:jc w:val="left"/>
            </w:pPr>
            <w:r>
              <w:t xml:space="preserve">Lodge/Meeting Hall</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1202.R</w:t>
            </w:r>
          </w:p>
        </w:tc>
      </w:tr>
      <w:tr>
        <w:tc>
          <w:tcPr/>
          <w:p>
            <w:pPr>
              <w:pStyle w:val="Compact"/>
              <w:jc w:val="left"/>
            </w:pPr>
            <w:r>
              <w:t xml:space="preserve">Marina - Commercial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Marina - Recreational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Materials Processing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1304 &amp; 1202.S</w:t>
            </w:r>
          </w:p>
        </w:tc>
      </w:tr>
      <w:tr>
        <w:tc>
          <w:tcPr/>
          <w:p>
            <w:pPr>
              <w:pStyle w:val="Compact"/>
              <w:jc w:val="left"/>
            </w:pPr>
            <w:r>
              <w:t xml:space="preserve">Medical/Dental Office</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Micro-Brewery/Distillery/Winery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Movie Studio</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Neighborhood Commercial Establishment</w:t>
            </w: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1202.T</w:t>
            </w:r>
          </w:p>
        </w:tc>
      </w:tr>
      <w:tr>
        <w:tc>
          <w:tcPr/>
          <w:p>
            <w:pPr>
              <w:pStyle w:val="Compact"/>
              <w:jc w:val="left"/>
            </w:pPr>
            <w:r>
              <w:t xml:space="preserve">Nightclub</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1202.Q</w:t>
            </w:r>
          </w:p>
        </w:tc>
      </w:tr>
      <w:tr>
        <w:tc>
          <w:tcPr/>
          <w:p>
            <w:pPr>
              <w:pStyle w:val="Compact"/>
              <w:jc w:val="left"/>
            </w:pPr>
            <w:r>
              <w:t xml:space="preserve">Office</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r>
      <w:tr>
        <w:tc>
          <w:tcPr/>
          <w:p>
            <w:pPr>
              <w:pStyle w:val="Compact"/>
              <w:jc w:val="left"/>
            </w:pPr>
            <w:r>
              <w:t xml:space="preserve">Outdoor Dining</w:t>
            </w: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1202.U</w:t>
            </w:r>
          </w:p>
        </w:tc>
      </w:tr>
      <w:tr>
        <w:tc>
          <w:tcPr/>
          <w:p>
            <w:pPr>
              <w:pStyle w:val="Compact"/>
              <w:jc w:val="left"/>
            </w:pPr>
            <w:r>
              <w:t xml:space="preserve">Outdoor Market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Park/Playground</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Parking Lot (Principal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pPr>
          </w:p>
        </w:tc>
        <w:tc>
          <w:tcPr/>
          <w:p>
            <w:pPr>
              <w:pStyle w:val="Compact"/>
            </w:pPr>
          </w:p>
        </w:tc>
        <w:tc>
          <w:tcPr/>
          <w:p>
            <w:pPr>
              <w:pStyle w:val="Compact"/>
              <w:jc w:val="left"/>
            </w:pPr>
            <w:r>
              <w:t xml:space="preserve">Sec. 1202.V</w:t>
            </w:r>
          </w:p>
        </w:tc>
      </w:tr>
      <w:tr>
        <w:tc>
          <w:tcPr/>
          <w:p>
            <w:pPr>
              <w:pStyle w:val="Compact"/>
              <w:jc w:val="left"/>
            </w:pPr>
            <w:r>
              <w:t xml:space="preserve">Parking Structure (Principal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Sec. 1202.V</w:t>
            </w:r>
          </w:p>
        </w:tc>
      </w:tr>
      <w:tr>
        <w:tc>
          <w:tcPr/>
          <w:p>
            <w:pPr>
              <w:pStyle w:val="Compact"/>
              <w:jc w:val="left"/>
            </w:pPr>
            <w:r>
              <w:t xml:space="preserve">Passenger Terminal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Personal Service Establishment</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Place of Worship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r>
      <w:tr>
        <w:tc>
          <w:tcPr/>
          <w:p>
            <w:pPr>
              <w:pStyle w:val="Compact"/>
              <w:jc w:val="left"/>
            </w:pPr>
            <w:r>
              <w:t xml:space="preserve">Plant Agriculture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Sec. 1200.E &amp; 1202.W</w:t>
            </w:r>
          </w:p>
        </w:tc>
      </w:tr>
      <w:tr>
        <w:tc>
          <w:tcPr/>
          <w:p>
            <w:pPr>
              <w:pStyle w:val="Compact"/>
              <w:jc w:val="left"/>
            </w:pPr>
            <w:r>
              <w:t xml:space="preserve">Power Plant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jc w:val="left"/>
            </w:pPr>
            <w:r>
              <w:t xml:space="preserve">Sec. 1202.FF</w:t>
            </w:r>
          </w:p>
        </w:tc>
      </w:tr>
      <w:tr>
        <w:tc>
          <w:tcPr/>
          <w:p>
            <w:pPr>
              <w:pStyle w:val="Compact"/>
              <w:jc w:val="left"/>
            </w:pPr>
            <w:r>
              <w:t xml:space="preserve">Public Safety Facility</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r>
      <w:tr>
        <w:tc>
          <w:tcPr/>
          <w:p>
            <w:pPr>
              <w:pStyle w:val="Compact"/>
              <w:jc w:val="left"/>
            </w:pPr>
            <w:r>
              <w:t xml:space="preserve">Public Works Facility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r>
      <w:tr>
        <w:tc>
          <w:tcPr/>
          <w:p>
            <w:pPr>
              <w:pStyle w:val="Compact"/>
              <w:jc w:val="left"/>
            </w:pPr>
            <w:r>
              <w:t xml:space="preserve">Reception Facility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Rehabilitation Center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S</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jc w:val="left"/>
            </w:pPr>
            <w:r>
              <w:t xml:space="preserve">P</w:t>
            </w: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jc w:val="left"/>
            </w:pPr>
            <w:r>
              <w:t xml:space="preserve">Sec. 1202.X</w:t>
            </w:r>
          </w:p>
        </w:tc>
      </w:tr>
      <w:tr>
        <w:tc>
          <w:tcPr/>
          <w:p>
            <w:pPr>
              <w:pStyle w:val="Compact"/>
              <w:jc w:val="left"/>
            </w:pPr>
            <w:r>
              <w:t xml:space="preserve">Research and Development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Residential Care Facility</w:t>
            </w: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1202.X</w:t>
            </w:r>
          </w:p>
        </w:tc>
      </w:tr>
      <w:tr>
        <w:tc>
          <w:tcPr/>
          <w:p>
            <w:pPr>
              <w:pStyle w:val="Compact"/>
              <w:jc w:val="left"/>
            </w:pPr>
            <w:r>
              <w:t xml:space="preserve">Restaurant - 3,500sf or less GFA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Restaurant - more than 3,500sf GFA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Retail Goods Establishment - 3,500sf or less GFA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Retail Goods Establishment - More than 3,500sf GFA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Retail Sales of Alcohol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Ship and Boat Building/Repair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Solar Energy System (Principal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1202.Y</w:t>
            </w:r>
          </w:p>
        </w:tc>
      </w:tr>
      <w:tr>
        <w:tc>
          <w:tcPr/>
          <w:p>
            <w:pPr>
              <w:pStyle w:val="Compact"/>
              <w:jc w:val="left"/>
            </w:pPr>
            <w:r>
              <w:t xml:space="preserve">Specialty Food Service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Storage Yard - Outdoor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1202.H</w:t>
            </w:r>
          </w:p>
        </w:tc>
      </w:tr>
      <w:tr>
        <w:tc>
          <w:tcPr/>
          <w:p>
            <w:pPr>
              <w:pStyle w:val="Compact"/>
              <w:jc w:val="left"/>
            </w:pPr>
            <w:r>
              <w:t xml:space="preserve">Tank Farm</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1202.Z</w:t>
            </w:r>
          </w:p>
        </w:tc>
      </w:tr>
      <w:tr>
        <w:tc>
          <w:tcPr/>
          <w:p>
            <w:pPr>
              <w:pStyle w:val="Compact"/>
              <w:jc w:val="left"/>
            </w:pPr>
            <w:r>
              <w:t xml:space="preserve">Transitional Shelter</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1202.II</w:t>
            </w:r>
          </w:p>
        </w:tc>
      </w:tr>
      <w:tr>
        <w:tc>
          <w:tcPr/>
          <w:p>
            <w:pPr>
              <w:pStyle w:val="Compact"/>
              <w:jc w:val="left"/>
            </w:pPr>
            <w:r>
              <w:t xml:space="preserve">Utility</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jc w:val="left"/>
            </w:pPr>
            <w:r>
              <w:t xml:space="preserve">Sec. 1202.FF</w:t>
            </w:r>
          </w:p>
        </w:tc>
      </w:tr>
      <w:tr>
        <w:tc>
          <w:tcPr/>
          <w:p>
            <w:pPr>
              <w:pStyle w:val="Compact"/>
              <w:jc w:val="left"/>
            </w:pPr>
            <w:r>
              <w:t xml:space="preserve">Vehicle Repair/Service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1202.AA</w:t>
            </w:r>
          </w:p>
        </w:tc>
      </w:tr>
      <w:tr>
        <w:tc>
          <w:tcPr/>
          <w:p>
            <w:pPr>
              <w:pStyle w:val="Compact"/>
              <w:jc w:val="left"/>
            </w:pPr>
            <w:r>
              <w:t xml:space="preserve">Vehicle Operation Facility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1202.BB</w:t>
            </w:r>
          </w:p>
        </w:tc>
      </w:tr>
      <w:tr>
        <w:tc>
          <w:tcPr/>
          <w:p>
            <w:pPr>
              <w:pStyle w:val="Compact"/>
              <w:jc w:val="left"/>
            </w:pPr>
            <w:r>
              <w:t xml:space="preserve">Vehicle Dealership/Rental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S</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1202.AA</w:t>
            </w:r>
          </w:p>
        </w:tc>
      </w:tr>
      <w:tr>
        <w:tc>
          <w:tcPr/>
          <w:p>
            <w:pPr>
              <w:pStyle w:val="Compact"/>
              <w:jc w:val="left"/>
            </w:pPr>
            <w:r>
              <w:t xml:space="preserve">Warehouse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Waste Facility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Wholesale Establishment - Fully Enclosed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Wind Energy System (Principal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jc w:val="left"/>
            </w:pPr>
            <w:r>
              <w:t xml:space="preserve">S</w:t>
            </w:r>
          </w:p>
        </w:tc>
        <w:tc>
          <w:tcPr/>
          <w:p>
            <w:pPr>
              <w:pStyle w:val="Compact"/>
            </w:pPr>
          </w:p>
        </w:tc>
        <w:tc>
          <w:tcPr/>
          <w:p>
            <w:pPr>
              <w:pStyle w:val="Compact"/>
            </w:pPr>
          </w:p>
        </w:tc>
        <w:tc>
          <w:tcPr/>
          <w:p>
            <w:pPr>
              <w:pStyle w:val="Compact"/>
            </w:pPr>
          </w:p>
        </w:tc>
        <w:tc>
          <w:tcPr/>
          <w:p>
            <w:pPr>
              <w:pStyle w:val="Compact"/>
              <w:jc w:val="left"/>
            </w:pPr>
            <w:r>
              <w:t xml:space="preserve">Sec. 1202.CC</w:t>
            </w:r>
          </w:p>
        </w:tc>
      </w:tr>
      <w:tr>
        <w:tc>
          <w:tcPr/>
          <w:p>
            <w:pPr>
              <w:pStyle w:val="Compact"/>
              <w:jc w:val="left"/>
            </w:pPr>
            <w:r>
              <w:t xml:space="preserve">Wireless Telecommunications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pPr>
          </w:p>
        </w:tc>
        <w:tc>
          <w:tcPr/>
          <w:p>
            <w:pPr>
              <w:pStyle w:val="Compact"/>
              <w:jc w:val="left"/>
            </w:pPr>
            <w:r>
              <w:t xml:space="preserve">Sec. 1202.DD</w:t>
            </w:r>
          </w:p>
        </w:tc>
      </w:tr>
      <w:tr>
        <w:tc>
          <w:tcPr/>
          <w:p>
            <w:pPr>
              <w:pStyle w:val="Compact"/>
              <w:jc w:val="left"/>
            </w:pPr>
            <w:r>
              <w:t xml:space="preserve">TEMPORARY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Farmers Market</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Sec. 1203.A</w:t>
            </w:r>
          </w:p>
        </w:tc>
      </w:tr>
      <w:tr>
        <w:tc>
          <w:tcPr/>
          <w:p>
            <w:pPr>
              <w:pStyle w:val="Compact"/>
              <w:jc w:val="left"/>
            </w:pPr>
            <w:r>
              <w:t xml:space="preserve">Temporary Contractor’s Office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1203.B</w:t>
            </w:r>
          </w:p>
        </w:tc>
      </w:tr>
      <w:tr>
        <w:tc>
          <w:tcPr/>
          <w:p>
            <w:pPr>
              <w:pStyle w:val="Compact"/>
              <w:jc w:val="left"/>
            </w:pPr>
            <w:r>
              <w:t xml:space="preserve">Temporary Emergency Housing</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r>
      <w:tr>
        <w:tc>
          <w:tcPr/>
          <w:p>
            <w:pPr>
              <w:pStyle w:val="Compact"/>
              <w:jc w:val="left"/>
            </w:pPr>
            <w:r>
              <w:t xml:space="preserve">Temporary Mobile and Manufactured Homes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Sec. 1200.E</w:t>
            </w:r>
          </w:p>
        </w:tc>
      </w:tr>
      <w:tr>
        <w:tc>
          <w:tcPr/>
          <w:p>
            <w:pPr>
              <w:pStyle w:val="Compact"/>
              <w:jc w:val="left"/>
            </w:pPr>
            <w:r>
              <w:t xml:space="preserve">Temporary Mobile Food Sales</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Sec. 1203.C</w:t>
            </w:r>
          </w:p>
        </w:tc>
      </w:tr>
      <w:tr>
        <w:tc>
          <w:tcPr/>
          <w:p>
            <w:pPr>
              <w:pStyle w:val="Compact"/>
              <w:jc w:val="left"/>
            </w:pPr>
            <w:r>
              <w:t xml:space="preserve">Temporary Entertainment</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Sec. 1203.D</w:t>
            </w:r>
          </w:p>
        </w:tc>
      </w:tr>
      <w:tr>
        <w:tc>
          <w:tcPr/>
          <w:p>
            <w:pPr>
              <w:pStyle w:val="Compact"/>
              <w:jc w:val="left"/>
            </w:pPr>
            <w:r>
              <w:t xml:space="preserve">Temporary Outdoor Sales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Sec. 1203.E</w:t>
            </w:r>
          </w:p>
        </w:tc>
      </w:tr>
      <w:tr>
        <w:tc>
          <w:tcPr/>
          <w:p>
            <w:pPr>
              <w:pStyle w:val="Compact"/>
              <w:jc w:val="left"/>
            </w:pPr>
            <w:r>
              <w:t xml:space="preserve">Temporary Outdoor Storage Container</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jc w:val="left"/>
            </w:pPr>
            <w:r>
              <w:t xml:space="preserve">Sec. 1203.F</w:t>
            </w:r>
          </w:p>
        </w:tc>
      </w:tr>
      <w:tr>
        <w:tc>
          <w:tcPr/>
          <w:p>
            <w:pPr>
              <w:pStyle w:val="Compact"/>
              <w:jc w:val="left"/>
            </w:pPr>
            <w:r>
              <w:t xml:space="preserve">Temporary Parking Lot (Principal 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Sec. 1203.G</w:t>
            </w:r>
          </w:p>
        </w:tc>
      </w:tr>
    </w:tbl>
    <w:bookmarkEnd w:id="90"/>
    <w:bookmarkStart w:id="91" w:name="principal-use-standards"/>
    <w:p>
      <w:pPr>
        <w:pStyle w:val="Heading2"/>
      </w:pPr>
      <w:r>
        <w:t xml:space="preserve">§ 1202. PRINCIPAL USE STANDARDS</w:t>
      </w:r>
    </w:p>
    <w:p>
      <w:pPr>
        <w:pStyle w:val="FirstParagraph"/>
      </w:pPr>
      <w:r>
        <w:t xml:space="preserve">1202 PRINCIPAL USE STANDARDS Where applicable, principal uses are required to comply with all use standards of this section, whether a permitted or special use, in addition to all other regulations of this Ordinance.</w:t>
      </w:r>
    </w:p>
    <w:p>
      <w:pPr>
        <w:numPr>
          <w:ilvl w:val="0"/>
          <w:numId w:val="1708"/>
        </w:numPr>
      </w:pPr>
      <w:r>
        <w:t xml:space="preserve">A. Adult Use</w:t>
      </w:r>
    </w:p>
    <w:p>
      <w:pPr>
        <w:numPr>
          <w:ilvl w:val="0"/>
          <w:numId w:val="1000"/>
        </w:numPr>
      </w:pPr>
      <w:r>
        <w:t xml:space="preserve">1. All adult uses shall be located a minimum of 500 feet from any residential use, place of worship, educational facility, park/playground, or cultural facility.</w:t>
      </w:r>
    </w:p>
    <w:p>
      <w:pPr>
        <w:numPr>
          <w:ilvl w:val="0"/>
          <w:numId w:val="1709"/>
        </w:numPr>
      </w:pPr>
      <w:r>
        <w:t xml:space="preserve">2. An adult use shall be located a minimum of 2,000 feet from any other adult use.</w:t>
      </w:r>
    </w:p>
    <w:p>
      <w:pPr>
        <w:numPr>
          <w:ilvl w:val="0"/>
          <w:numId w:val="1710"/>
        </w:numPr>
      </w:pPr>
      <w:r>
        <w:t xml:space="preserve">3. No adult use may be maintained or operated in any manner that causes, creates, or allows public viewing of any adult material, or any entertainment depicting, describing, or relating to specified sexual activities or specified anatomical areas, from any public or private right-of-way or any property.</w:t>
      </w:r>
    </w:p>
    <w:p>
      <w:pPr>
        <w:pStyle w:val="Compact"/>
        <w:numPr>
          <w:ilvl w:val="0"/>
          <w:numId w:val="1711"/>
        </w:numPr>
      </w:pPr>
    </w:p>
    <w:p>
      <w:pPr>
        <w:numPr>
          <w:ilvl w:val="1"/>
          <w:numId w:val="1712"/>
        </w:numPr>
      </w:pPr>
      <w:r>
        <w:t xml:space="preserve">B. Animal Care Facility</w:t>
      </w:r>
    </w:p>
    <w:p>
      <w:pPr>
        <w:numPr>
          <w:ilvl w:val="1"/>
          <w:numId w:val="1000"/>
        </w:numPr>
      </w:pPr>
      <w:r>
        <w:t xml:space="preserve">1. Exterior exercise areas shall be located in the interior side or rear yard.</w:t>
      </w:r>
    </w:p>
    <w:p>
      <w:pPr>
        <w:numPr>
          <w:ilvl w:val="0"/>
          <w:numId w:val="1713"/>
        </w:numPr>
      </w:pPr>
      <w:r>
        <w:t xml:space="preserve">2. All overnight boarding facilities shall be located indoors.</w:t>
      </w:r>
    </w:p>
    <w:p>
      <w:pPr>
        <w:numPr>
          <w:ilvl w:val="0"/>
          <w:numId w:val="1714"/>
        </w:numPr>
      </w:pPr>
      <w:r>
        <w:t xml:space="preserve">3. All animal quarters and exterior exercise areas shall be kept in a clean, dry, and sanitary condition.</w:t>
      </w:r>
    </w:p>
    <w:p>
      <w:pPr>
        <w:pStyle w:val="Compact"/>
        <w:numPr>
          <w:ilvl w:val="0"/>
          <w:numId w:val="1715"/>
        </w:numPr>
      </w:pPr>
    </w:p>
    <w:p>
      <w:pPr>
        <w:numPr>
          <w:ilvl w:val="1"/>
          <w:numId w:val="1716"/>
        </w:numPr>
      </w:pPr>
      <w:r>
        <w:t xml:space="preserve">C. Automated Teller Machine - Standalone 1. A drive-through standalone Automated Teller Machine (ATM) is subject to the following standards: a. A drive-through standalone ATM is permitted only when a drive-through facility is allowed within the district and separate approval is obtained for the drive-through facility, including compliance with all standards for a drive-through facility.</w:t>
      </w:r>
    </w:p>
    <w:p>
      <w:pPr>
        <w:numPr>
          <w:ilvl w:val="0"/>
          <w:numId w:val="1717"/>
        </w:numPr>
      </w:pPr>
      <w:r>
        <w:t xml:space="preserve">2. A walk-up standalone Automated Teller Machine (ATM) is subject to the following standards: a. No portion of an ATM shall encroach into the public right-of-way unless an encroachment permit is obtained.</w:t>
      </w:r>
    </w:p>
    <w:p>
      <w:pPr>
        <w:pStyle w:val="Compact"/>
        <w:numPr>
          <w:ilvl w:val="0"/>
          <w:numId w:val="1718"/>
        </w:numPr>
      </w:pPr>
    </w:p>
    <w:p>
      <w:pPr>
        <w:numPr>
          <w:ilvl w:val="1"/>
          <w:numId w:val="1719"/>
        </w:numPr>
      </w:pPr>
      <w:r>
        <w:t xml:space="preserve">D. Reserved</w:t>
      </w:r>
    </w:p>
    <w:p>
      <w:pPr>
        <w:pStyle w:val="Compact"/>
        <w:numPr>
          <w:ilvl w:val="0"/>
          <w:numId w:val="1720"/>
        </w:numPr>
      </w:pPr>
    </w:p>
    <w:p>
      <w:pPr>
        <w:numPr>
          <w:ilvl w:val="1"/>
          <w:numId w:val="1721"/>
        </w:numPr>
      </w:pPr>
      <w:r>
        <w:t xml:space="preserve">E. Bed and Breakfast</w:t>
      </w:r>
    </w:p>
    <w:p>
      <w:pPr>
        <w:numPr>
          <w:ilvl w:val="1"/>
          <w:numId w:val="1000"/>
        </w:numPr>
      </w:pPr>
      <w:r>
        <w:t xml:space="preserve">1. The exterior of a bed and breakfast shall maintain its original appearance as a dwelling. No parking shall be located in front of the front building line.</w:t>
      </w:r>
    </w:p>
    <w:p>
      <w:pPr>
        <w:numPr>
          <w:ilvl w:val="0"/>
          <w:numId w:val="1722"/>
        </w:numPr>
      </w:pPr>
      <w:r>
        <w:t xml:space="preserve">2. Cooking facilities are prohibited in individual guest rooms.</w:t>
      </w:r>
    </w:p>
    <w:p>
      <w:pPr>
        <w:numPr>
          <w:ilvl w:val="0"/>
          <w:numId w:val="1723"/>
        </w:numPr>
      </w:pPr>
      <w:r>
        <w:t xml:space="preserve">3. If meals are provided, only registered guests may be served.</w:t>
      </w:r>
    </w:p>
    <w:p>
      <w:pPr>
        <w:numPr>
          <w:ilvl w:val="0"/>
          <w:numId w:val="1724"/>
        </w:numPr>
      </w:pPr>
      <w:r>
        <w:t xml:space="preserve">4. Leasing of a common dining area for social events is prohibited.</w:t>
      </w:r>
    </w:p>
    <w:p>
      <w:pPr>
        <w:numPr>
          <w:ilvl w:val="0"/>
          <w:numId w:val="1725"/>
        </w:numPr>
      </w:pPr>
      <w:r>
        <w:t xml:space="preserve">5. Guest stays are limited to a maximum of 14 consecutive days.</w:t>
      </w:r>
    </w:p>
    <w:p>
      <w:pPr>
        <w:pStyle w:val="Compact"/>
        <w:numPr>
          <w:ilvl w:val="0"/>
          <w:numId w:val="1726"/>
        </w:numPr>
      </w:pPr>
    </w:p>
    <w:p>
      <w:pPr>
        <w:numPr>
          <w:ilvl w:val="1"/>
          <w:numId w:val="1727"/>
        </w:numPr>
      </w:pPr>
      <w:r>
        <w:t xml:space="preserve">F. Car Wash</w:t>
      </w:r>
    </w:p>
    <w:p>
      <w:pPr>
        <w:numPr>
          <w:ilvl w:val="1"/>
          <w:numId w:val="1000"/>
        </w:numPr>
      </w:pPr>
      <w:r>
        <w:t xml:space="preserve">1. Car wash facilities shall be screened along interior side and rear lot lines with a solid fence or wall, a minimum of six feet and a maximum of seven feet in height. One shrub a minimum of three feet in height at time of planting shall be planted linearly every three feet on-center along such fence or wall.</w:t>
      </w:r>
    </w:p>
    <w:p>
      <w:pPr>
        <w:numPr>
          <w:ilvl w:val="0"/>
          <w:numId w:val="1728"/>
        </w:numPr>
      </w:pPr>
      <w:r>
        <w:t xml:space="preserve">2. The site shall be graded to drain away from adjoining properties.</w:t>
      </w:r>
    </w:p>
    <w:p>
      <w:pPr>
        <w:numPr>
          <w:ilvl w:val="0"/>
          <w:numId w:val="1729"/>
        </w:numPr>
      </w:pPr>
      <w:r>
        <w:t xml:space="preserve">3. All structures shall be designed with windows that allow for visibility to all parts of the site.</w:t>
      </w:r>
    </w:p>
    <w:p>
      <w:pPr>
        <w:pStyle w:val="Compact"/>
        <w:numPr>
          <w:ilvl w:val="0"/>
          <w:numId w:val="1730"/>
        </w:numPr>
      </w:pPr>
    </w:p>
    <w:p>
      <w:pPr>
        <w:numPr>
          <w:ilvl w:val="1"/>
          <w:numId w:val="1731"/>
        </w:numPr>
      </w:pPr>
      <w:r>
        <w:t xml:space="preserve">G. Community Residence Community residences shall meet all federal, state, and local requirements including, but not limited to, licensing, health, safety, and building code requirements. Community residences shall be provisionally licensed by the state when considered as a use by the City. Community residences in residential zones shall meet the design standards for single-family dwellings of Section 1202.L.</w:t>
      </w:r>
    </w:p>
    <w:p>
      <w:pPr>
        <w:pStyle w:val="Compact"/>
        <w:numPr>
          <w:ilvl w:val="0"/>
          <w:numId w:val="1732"/>
        </w:numPr>
      </w:pPr>
    </w:p>
    <w:p>
      <w:pPr>
        <w:numPr>
          <w:ilvl w:val="1"/>
          <w:numId w:val="1733"/>
        </w:numPr>
      </w:pPr>
      <w:r>
        <w:t xml:space="preserve">H. Contractor Storage Yard and Storage Yard - Outdoor 1. The storage area shall be completely enclosed along all lot lines by a solid fence or wall a minimum of six feet and a maximum of eight feet in height, including ingress and egress. Fences or walls along the front or corner side lot line shall be set back a minimum of 3 feet. Within that setback, one shrub a minimum of three feet in height shall be planted linearly every three feet on-center along such fence or wall.</w:t>
      </w:r>
    </w:p>
    <w:p>
      <w:pPr>
        <w:numPr>
          <w:ilvl w:val="0"/>
          <w:numId w:val="1734"/>
        </w:numPr>
      </w:pPr>
      <w:r>
        <w:t xml:space="preserve">2. Storage of any kind is prohibited outside the fence or wall. No items stored within 30 feet of the fence or wall may exceed the height of the fence or wall.</w:t>
      </w:r>
    </w:p>
    <w:p>
      <w:pPr>
        <w:numPr>
          <w:ilvl w:val="0"/>
          <w:numId w:val="1735"/>
        </w:numPr>
      </w:pPr>
      <w:r>
        <w:t xml:space="preserve">3. The storage area should be located to the rear of the lot if possible. Any structures shall be located towards the front of the lot, in compliance with the front yard of the underlying zoning district.</w:t>
      </w:r>
    </w:p>
    <w:p>
      <w:pPr>
        <w:numPr>
          <w:ilvl w:val="0"/>
          <w:numId w:val="1736"/>
        </w:numPr>
      </w:pPr>
      <w:r>
        <w:t xml:space="preserve">4. Outdoor storage areas shall be surfaced and graded to drain all surface water.</w:t>
      </w:r>
    </w:p>
    <w:p>
      <w:pPr>
        <w:pStyle w:val="Compact"/>
        <w:numPr>
          <w:ilvl w:val="0"/>
          <w:numId w:val="1737"/>
        </w:numPr>
      </w:pPr>
    </w:p>
    <w:p>
      <w:pPr>
        <w:numPr>
          <w:ilvl w:val="1"/>
          <w:numId w:val="1738"/>
        </w:numPr>
      </w:pPr>
      <w:r>
        <w:t xml:space="preserve">I. Day Care - Day Care Center and Family Day Care Home 1. Each day care shall comply with all applicable state and federal regulations.</w:t>
      </w:r>
    </w:p>
    <w:p>
      <w:pPr>
        <w:numPr>
          <w:ilvl w:val="0"/>
          <w:numId w:val="1739"/>
        </w:numPr>
      </w:pPr>
      <w:r>
        <w:t xml:space="preserve">2. The operator of a day care center shall be licensed by the state.</w:t>
      </w:r>
    </w:p>
    <w:p>
      <w:pPr>
        <w:numPr>
          <w:ilvl w:val="0"/>
          <w:numId w:val="1740"/>
        </w:numPr>
      </w:pPr>
      <w:r>
        <w:t xml:space="preserve">3. If a day care is located in a dwelling unit, no more than 50% of the GFA of the dwelling unit may be devoted to day care and no more than one person who does not reside in the unit is employed by the day care.</w:t>
      </w:r>
    </w:p>
    <w:p>
      <w:pPr>
        <w:pStyle w:val="Compact"/>
        <w:numPr>
          <w:ilvl w:val="0"/>
          <w:numId w:val="1741"/>
        </w:numPr>
      </w:pPr>
    </w:p>
    <w:p>
      <w:pPr>
        <w:numPr>
          <w:ilvl w:val="1"/>
          <w:numId w:val="1742"/>
        </w:numPr>
      </w:pPr>
      <w:r>
        <w:t xml:space="preserve">J. Drive-Through Facility</w:t>
      </w:r>
    </w:p>
    <w:p>
      <w:pPr>
        <w:numPr>
          <w:ilvl w:val="1"/>
          <w:numId w:val="1000"/>
        </w:numPr>
      </w:pPr>
      <w:r>
        <w:t xml:space="preserve">1. All drive-through facilities shall provide a minimum of three stacking spaces per lane or bay, unless additional stacking spaces are required specifically by this Ordinance. Stacking spaces provided for drive-through uses shall be: (Figure 12-1)</w:t>
      </w:r>
    </w:p>
    <w:p>
      <w:pPr>
        <w:pStyle w:val="Compact"/>
        <w:numPr>
          <w:ilvl w:val="0"/>
          <w:numId w:val="1743"/>
        </w:numPr>
      </w:pPr>
    </w:p>
    <w:p>
      <w:pPr>
        <w:pStyle w:val="Compact"/>
        <w:numPr>
          <w:ilvl w:val="1"/>
          <w:numId w:val="1744"/>
        </w:numPr>
      </w:pPr>
    </w:p>
    <w:p>
      <w:pPr>
        <w:numPr>
          <w:ilvl w:val="2"/>
          <w:numId w:val="1745"/>
        </w:numPr>
      </w:pPr>
      <w:r>
        <w:t xml:space="preserve">a. A minimum of nine feet in width, as measured from the outermost point of any service window or bay entrance, to the edge of the driveway, and 18 feet in length. In the case of a recessed service window, the measurement shall be taken from the building wall.</w:t>
      </w:r>
    </w:p>
    <w:p>
      <w:pPr>
        <w:pStyle w:val="Compact"/>
        <w:numPr>
          <w:ilvl w:val="0"/>
          <w:numId w:val="1746"/>
        </w:numPr>
      </w:pPr>
    </w:p>
    <w:p>
      <w:pPr>
        <w:pStyle w:val="Compact"/>
        <w:numPr>
          <w:ilvl w:val="1"/>
          <w:numId w:val="1747"/>
        </w:numPr>
      </w:pPr>
    </w:p>
    <w:p>
      <w:pPr>
        <w:numPr>
          <w:ilvl w:val="2"/>
          <w:numId w:val="1748"/>
        </w:numPr>
      </w:pPr>
      <w:r>
        <w:t xml:space="preserve">b. Stacking spaces shall begin behind the vehicle parked at a final point of service exiting the drive through aisle, such as a service window or car wash bay (this does not include a menuboard). Spaces shall be placed in a single line behind each lane or bay.</w:t>
      </w:r>
    </w:p>
    <w:p>
      <w:pPr>
        <w:numPr>
          <w:ilvl w:val="0"/>
          <w:numId w:val="1749"/>
        </w:numPr>
      </w:pPr>
      <w:r>
        <w:t xml:space="preserve">2. All drive-through lanes shall be located and designed to ensure that they do not adversely affect traffic circulation on adjoining streets. Drive-through lanes on corner lots shall not route exiting traffic into adjacent residential neighborhoods. All applications for special use permit for a drivethrough facility shall provide a study by a traffic engineer indicating the impacts of traffic generation predicted from the proposed project. To approve an application, the Zoning Board of Review shall find that there is no significant adverse impact on vehicular, bicycle, and pedestrian traffic conditions due to the drive-through facility.</w:t>
      </w:r>
    </w:p>
    <w:p>
      <w:pPr>
        <w:numPr>
          <w:ilvl w:val="0"/>
          <w:numId w:val="1750"/>
        </w:numPr>
      </w:pPr>
      <w:r>
        <w:t xml:space="preserve">3. Drive-through facilities shall be screened along interior side and rear lot lines with a solid wall or fence, a minimum of six feet and a maximum of seven feet in height. One shrub a minimum of three feet in height at time of planting shall be planted linearly every three feet on-center along such fence or wall. This standard does not apply to drive-through facilities within multi-tenant retail centers.</w:t>
      </w:r>
    </w:p>
    <w:p>
      <w:pPr>
        <w:pStyle w:val="Compact"/>
        <w:numPr>
          <w:ilvl w:val="0"/>
          <w:numId w:val="1751"/>
        </w:numPr>
      </w:pPr>
    </w:p>
    <w:p>
      <w:pPr>
        <w:numPr>
          <w:ilvl w:val="1"/>
          <w:numId w:val="1752"/>
        </w:numPr>
      </w:pPr>
      <w:r>
        <w:t xml:space="preserve">K. Dwelling: Multi-Family or Rowhouse</w:t>
      </w:r>
    </w:p>
    <w:p>
      <w:pPr>
        <w:numPr>
          <w:ilvl w:val="1"/>
          <w:numId w:val="1000"/>
        </w:numPr>
      </w:pPr>
      <w:r>
        <w:t xml:space="preserve">1. Entrance a. A dwelling shall have a primary entrance that is visible from the public right of way and located either on the façade facing the front lot line, or within 20 feet of the façade facing the front lot line.</w:t>
      </w:r>
    </w:p>
    <w:p>
      <w:pPr>
        <w:pStyle w:val="Compact"/>
        <w:numPr>
          <w:ilvl w:val="0"/>
          <w:numId w:val="1753"/>
        </w:numPr>
      </w:pPr>
    </w:p>
    <w:p>
      <w:pPr>
        <w:pStyle w:val="Compact"/>
        <w:numPr>
          <w:ilvl w:val="1"/>
          <w:numId w:val="1754"/>
        </w:numPr>
      </w:pPr>
    </w:p>
    <w:p>
      <w:pPr>
        <w:numPr>
          <w:ilvl w:val="2"/>
          <w:numId w:val="1755"/>
        </w:numPr>
      </w:pPr>
      <w:r>
        <w:t xml:space="preserve">b. The primary entrance shall have a maximum elevation of five feet above the ground directly below the entrance.</w:t>
      </w:r>
    </w:p>
    <w:p>
      <w:pPr>
        <w:pStyle w:val="Compact"/>
        <w:numPr>
          <w:ilvl w:val="0"/>
          <w:numId w:val="1756"/>
        </w:numPr>
      </w:pPr>
    </w:p>
    <w:p>
      <w:pPr>
        <w:pStyle w:val="Compact"/>
        <w:numPr>
          <w:ilvl w:val="1"/>
          <w:numId w:val="1757"/>
        </w:numPr>
      </w:pPr>
    </w:p>
    <w:p>
      <w:pPr>
        <w:numPr>
          <w:ilvl w:val="2"/>
          <w:numId w:val="1758"/>
        </w:numPr>
      </w:pPr>
      <w:r>
        <w:t xml:space="preserve">c. For any entrance on the front or side of a building, when using pressure treated wood on stairs, porches, railings, landings, and screening, the wood shall not be left unfinished. It may be painted, stained with an opaque finish, or clad in a finish quality wood, vinyl, or composite material.</w:t>
      </w:r>
    </w:p>
    <w:p>
      <w:pPr>
        <w:pStyle w:val="Compact"/>
        <w:numPr>
          <w:ilvl w:val="0"/>
          <w:numId w:val="1759"/>
        </w:numPr>
      </w:pPr>
    </w:p>
    <w:p>
      <w:pPr>
        <w:pStyle w:val="Compact"/>
        <w:numPr>
          <w:ilvl w:val="1"/>
          <w:numId w:val="1760"/>
        </w:numPr>
      </w:pPr>
    </w:p>
    <w:p>
      <w:pPr>
        <w:numPr>
          <w:ilvl w:val="2"/>
          <w:numId w:val="1761"/>
        </w:numPr>
      </w:pPr>
      <w:r>
        <w:t xml:space="preserve">d. The area under porches, stairs or landings on the front or side of a building shall be screened by wood or simulated wood lattice or other opaque building material.</w:t>
      </w:r>
    </w:p>
    <w:p>
      <w:pPr>
        <w:numPr>
          <w:ilvl w:val="0"/>
          <w:numId w:val="1762"/>
        </w:numPr>
      </w:pPr>
      <w:r>
        <w:t xml:space="preserve">2. Façades and Other Building Faces</w:t>
      </w:r>
    </w:p>
    <w:p>
      <w:pPr>
        <w:numPr>
          <w:ilvl w:val="0"/>
          <w:numId w:val="1000"/>
        </w:numPr>
      </w:pPr>
      <w:r>
        <w:t xml:space="preserve">a. Windows, entrances, porches, or other architectural features are required on any facades to avoid the appearance of blank walls. Building façades shall not contain blank wall areas that exceed 12 linear feet.</w:t>
      </w:r>
    </w:p>
    <w:p>
      <w:pPr>
        <w:pStyle w:val="Compact"/>
        <w:numPr>
          <w:ilvl w:val="0"/>
          <w:numId w:val="1763"/>
        </w:numPr>
      </w:pPr>
    </w:p>
    <w:p>
      <w:pPr>
        <w:numPr>
          <w:ilvl w:val="1"/>
          <w:numId w:val="1764"/>
        </w:numPr>
      </w:pPr>
      <w:r>
        <w:t xml:space="preserve">b. There shall be a minimum of 15% transparency on each façade. On all other building faces, there shall be a minimum of 10% transparency or the maximum allowed by building code, whichever is less. Transparency is calculated on the basis of the entire area of each building face.</w:t>
      </w:r>
    </w:p>
    <w:p>
      <w:pPr>
        <w:pStyle w:val="Compact"/>
        <w:numPr>
          <w:ilvl w:val="0"/>
          <w:numId w:val="1765"/>
        </w:numPr>
      </w:pPr>
    </w:p>
    <w:p>
      <w:pPr>
        <w:numPr>
          <w:ilvl w:val="1"/>
          <w:numId w:val="1766"/>
        </w:numPr>
      </w:pPr>
      <w:r>
        <w:t xml:space="preserve">c. When vinyl siding is used, the siding shall only be used in a clapboard, shingle, or board and batten design.</w:t>
      </w:r>
    </w:p>
    <w:p>
      <w:pPr>
        <w:pStyle w:val="Compact"/>
        <w:numPr>
          <w:ilvl w:val="0"/>
          <w:numId w:val="1767"/>
        </w:numPr>
      </w:pPr>
    </w:p>
    <w:p>
      <w:pPr>
        <w:numPr>
          <w:ilvl w:val="1"/>
          <w:numId w:val="1768"/>
        </w:numPr>
      </w:pPr>
      <w:r>
        <w:t xml:space="preserve">d. For all windows, when using vinyl clapboards, shingles, or board and batten siding, there shall be a sill, and window trim of at least 3.5” in width for side and head casings.</w:t>
      </w:r>
    </w:p>
    <w:p>
      <w:pPr>
        <w:pStyle w:val="Compact"/>
        <w:numPr>
          <w:ilvl w:val="0"/>
          <w:numId w:val="1769"/>
        </w:numPr>
      </w:pPr>
    </w:p>
    <w:p>
      <w:pPr>
        <w:numPr>
          <w:ilvl w:val="1"/>
          <w:numId w:val="1770"/>
        </w:numPr>
      </w:pPr>
      <w:r>
        <w:t xml:space="preserve">e. When using vinyl clapboards, shingles, or board and batten siding, corner boards of at least 4.5” in width shall be used at all outside corners. This shall not apply to woven shingle corners.</w:t>
      </w:r>
    </w:p>
    <w:p>
      <w:pPr>
        <w:pStyle w:val="Compact"/>
        <w:numPr>
          <w:ilvl w:val="0"/>
          <w:numId w:val="1771"/>
        </w:numPr>
      </w:pPr>
    </w:p>
    <w:p>
      <w:pPr>
        <w:numPr>
          <w:ilvl w:val="1"/>
          <w:numId w:val="1772"/>
        </w:numPr>
      </w:pPr>
      <w:r>
        <w:t xml:space="preserve">f. Façades shall be designed with consistent materials and treatments that wrap around all street-facing façades. There shall be a unifying architectural theme for the entire multi-family or rowhouse development, utilizing a common vocabulary of architectural forms, elements, materials, or colors in the entire structure. (Figure 12-2)</w:t>
      </w:r>
    </w:p>
    <w:p>
      <w:pPr>
        <w:pStyle w:val="Compact"/>
        <w:numPr>
          <w:ilvl w:val="0"/>
          <w:numId w:val="1773"/>
        </w:numPr>
      </w:pPr>
    </w:p>
    <w:p>
      <w:pPr>
        <w:numPr>
          <w:ilvl w:val="1"/>
          <w:numId w:val="1774"/>
        </w:numPr>
      </w:pPr>
      <w:r>
        <w:t xml:space="preserve">g. Building facades shall include windows, projected or recessed entrances, overhangs, and other architectural features. Three-dimensional elements, such as balconies and bay windows, are encouraged to provide dimensional elements on a façade. (Figure 12-2)</w:t>
      </w:r>
    </w:p>
    <w:p>
      <w:pPr>
        <w:numPr>
          <w:ilvl w:val="0"/>
          <w:numId w:val="1775"/>
        </w:numPr>
      </w:pPr>
      <w:r>
        <w:t xml:space="preserve">3. Reserved</w:t>
      </w:r>
    </w:p>
    <w:p>
      <w:pPr>
        <w:numPr>
          <w:ilvl w:val="0"/>
          <w:numId w:val="1000"/>
        </w:numPr>
      </w:pPr>
      <w:r>
        <w:t xml:space="preserve">4. Flat roofs shall include cornices, parapets, or similar architectural details to add variety and break up the roofline.</w:t>
      </w:r>
    </w:p>
    <w:p>
      <w:pPr>
        <w:numPr>
          <w:ilvl w:val="0"/>
          <w:numId w:val="1776"/>
        </w:numPr>
      </w:pPr>
      <w:r>
        <w:t xml:space="preserve">5. There shall be a minimum separation of 15 feet between sidewalls of rowhouse developments. Where the front or rear wall of a rowhouse faces the front or rear wall of another rowhouse, the minimum required separation between such buildings shall be 30 feet. Driveways and parking areas may be located within this minimum separation area. (Figure 12-2)</w:t>
      </w:r>
    </w:p>
    <w:p>
      <w:pPr>
        <w:numPr>
          <w:ilvl w:val="0"/>
          <w:numId w:val="1777"/>
        </w:numPr>
      </w:pPr>
      <w:r>
        <w:t xml:space="preserve">6. A dwelling unit in a multi-family dwelling or rowhouse dwelling may be used as a short-term rental, subject to the following standards: a. Properties used as short-term rentals in the R-1A, R-1, R-3, and R-4 zoning districts must be owner-occupied.</w:t>
      </w:r>
    </w:p>
    <w:p>
      <w:pPr>
        <w:pStyle w:val="Compact"/>
        <w:numPr>
          <w:ilvl w:val="0"/>
          <w:numId w:val="1778"/>
        </w:numPr>
      </w:pPr>
    </w:p>
    <w:p>
      <w:pPr>
        <w:numPr>
          <w:ilvl w:val="1"/>
          <w:numId w:val="1779"/>
        </w:numPr>
      </w:pPr>
      <w:r>
        <w:t xml:space="preserve">b. The owner must supply all of the following within the dwelling unit: i. Visible printed materials with diagrams of all points of egress, written in both English and Spanish.</w:t>
      </w:r>
    </w:p>
    <w:p>
      <w:pPr>
        <w:pStyle w:val="Compact"/>
        <w:numPr>
          <w:ilvl w:val="0"/>
          <w:numId w:val="1780"/>
        </w:numPr>
      </w:pPr>
    </w:p>
    <w:p>
      <w:pPr>
        <w:numPr>
          <w:ilvl w:val="1"/>
          <w:numId w:val="1781"/>
        </w:numPr>
      </w:pPr>
      <w:r>
        <w:t xml:space="preserve">ii. Clearly marked visible fire extinguisher(s).</w:t>
      </w:r>
    </w:p>
    <w:p>
      <w:pPr>
        <w:pStyle w:val="Compact"/>
        <w:numPr>
          <w:ilvl w:val="0"/>
          <w:numId w:val="1782"/>
        </w:numPr>
      </w:pPr>
    </w:p>
    <w:p>
      <w:pPr>
        <w:numPr>
          <w:ilvl w:val="1"/>
          <w:numId w:val="1783"/>
        </w:numPr>
      </w:pPr>
      <w:r>
        <w:t xml:space="preserve">c. Dwelling units used as short-term rentals shall require a temporary use permit, the term of which shall be one year. Short-term rental of portions of dwelling units, where the owner is present and living in the dwelling unit during the entire term of the rental, are not subject to this provision.</w:t>
      </w:r>
    </w:p>
    <w:p>
      <w:pPr>
        <w:numPr>
          <w:ilvl w:val="0"/>
          <w:numId w:val="1784"/>
        </w:numPr>
      </w:pPr>
      <w:r>
        <w:t xml:space="preserve">7. Adaptive Reuse for the conversion of any commercial, institutional, or industrial building, including offices, schools, religious facilities, medical buildings, mills, and malls into residential units or mixed-use developments shall be permitted subject to the following standards: a. There are no prohibitions preventing the conversion to residential use by environmental land use restrictions recorded on the property by the State of Rhode Island Department of Environmental Management or the United States Environmental Protection Agency.</w:t>
      </w:r>
    </w:p>
    <w:p>
      <w:pPr>
        <w:pStyle w:val="Compact"/>
        <w:numPr>
          <w:ilvl w:val="0"/>
          <w:numId w:val="1785"/>
        </w:numPr>
      </w:pPr>
    </w:p>
    <w:p>
      <w:pPr>
        <w:numPr>
          <w:ilvl w:val="1"/>
          <w:numId w:val="1786"/>
        </w:numPr>
      </w:pPr>
      <w:r>
        <w:t xml:space="preserve">b. The conversion shall include the development of at least 50% of the existing gross floor area into residential units.</w:t>
      </w:r>
    </w:p>
    <w:p>
      <w:pPr>
        <w:pStyle w:val="Compact"/>
        <w:numPr>
          <w:ilvl w:val="0"/>
          <w:numId w:val="1787"/>
        </w:numPr>
      </w:pPr>
    </w:p>
    <w:p>
      <w:pPr>
        <w:numPr>
          <w:ilvl w:val="1"/>
          <w:numId w:val="1788"/>
        </w:numPr>
      </w:pPr>
      <w:r>
        <w:t xml:space="preserve">c. Non-residential uses may be provided if they are permitted by right or special use in the zoning district pursuant to Table 12-1.</w:t>
      </w:r>
    </w:p>
    <w:p>
      <w:pPr>
        <w:pStyle w:val="Compact"/>
        <w:numPr>
          <w:ilvl w:val="0"/>
          <w:numId w:val="1789"/>
        </w:numPr>
      </w:pPr>
    </w:p>
    <w:p>
      <w:pPr>
        <w:numPr>
          <w:ilvl w:val="1"/>
          <w:numId w:val="1790"/>
        </w:numPr>
      </w:pPr>
      <w:r>
        <w:t xml:space="preserve">d. The residential density permitted in the converted structure shall be the maximum allowed that otherwise meets all standards of minimum housing.</w:t>
      </w:r>
    </w:p>
    <w:p>
      <w:pPr>
        <w:pStyle w:val="Compact"/>
        <w:numPr>
          <w:ilvl w:val="0"/>
          <w:numId w:val="1791"/>
        </w:numPr>
      </w:pPr>
    </w:p>
    <w:p>
      <w:pPr>
        <w:numPr>
          <w:ilvl w:val="1"/>
          <w:numId w:val="1792"/>
        </w:numPr>
      </w:pPr>
      <w:r>
        <w:t xml:space="preserve">e. The conversion shall not occur within the W-3, M-1, or M-2 zones in accordance with the Future Land Use Map, which designates those areas as “Business/Industrial” or “Waterfront/Port.” As the public health and safety needs of industrial and residential uses often conflict, the Comprehensive Plan prohibits any residential development in these areas within Objective LU5.</w:t>
      </w:r>
    </w:p>
    <w:p>
      <w:pPr>
        <w:pStyle w:val="Compact"/>
        <w:numPr>
          <w:ilvl w:val="0"/>
          <w:numId w:val="1793"/>
        </w:numPr>
      </w:pPr>
    </w:p>
    <w:p>
      <w:pPr>
        <w:numPr>
          <w:ilvl w:val="1"/>
          <w:numId w:val="1794"/>
        </w:numPr>
      </w:pPr>
      <w:r>
        <w:t xml:space="preserve">f. The conversion shall not occur within any building previously used for industrial or manufacturing use(s), which has not been vacant of an industrial use for less than one year prior to the submission of the permit or application for adaptive reuse.</w:t>
      </w:r>
    </w:p>
    <w:p>
      <w:pPr>
        <w:numPr>
          <w:ilvl w:val="0"/>
          <w:numId w:val="1795"/>
        </w:numPr>
      </w:pPr>
      <w:r>
        <w:t xml:space="preserve">8. At least 500 sf of lot area per dwelling unit are required for multi-family dwellings in the RP and R-4 districts.</w:t>
      </w:r>
    </w:p>
    <w:p>
      <w:pPr>
        <w:numPr>
          <w:ilvl w:val="0"/>
          <w:numId w:val="1796"/>
        </w:numPr>
      </w:pPr>
      <w:r>
        <w:t xml:space="preserve">9. Multi-family dwellings in the R-1A, R-1, and R-3 districts shall be permitted by special use permit under the following conditions and calculations: a. The lot shall meet or exceed the minimum lot area for new subdivisions.</w:t>
      </w:r>
    </w:p>
    <w:p>
      <w:pPr>
        <w:pStyle w:val="Compact"/>
        <w:numPr>
          <w:ilvl w:val="0"/>
          <w:numId w:val="1797"/>
        </w:numPr>
      </w:pPr>
    </w:p>
    <w:p>
      <w:pPr>
        <w:numPr>
          <w:ilvl w:val="1"/>
          <w:numId w:val="1798"/>
        </w:numPr>
      </w:pPr>
      <w:r>
        <w:t xml:space="preserve">b. R-1A: For lots of 15,000 sf or more, one dwelling unit is permitted for every 7,500 sf of lot area, with one further dwelling unit permitted if the principal structure is preserved in its entirety. Principal structures must exist as of January 1, 2025. R-1: For lots of 10,000 sf or more, one dwelling unit is permitted for every 5,000 sf of lot area, with one further dwelling unit permitted if the principal structure is preserved in its entirety. Principal structures must exist as of January 1, 2025. R-3: For lots of 5,000 sf or more, one dwelling unit is permitted for every 1,667 sf of lot area.</w:t>
      </w:r>
    </w:p>
    <w:p>
      <w:pPr>
        <w:pStyle w:val="Compact"/>
        <w:numPr>
          <w:ilvl w:val="0"/>
          <w:numId w:val="1799"/>
        </w:numPr>
      </w:pPr>
    </w:p>
    <w:p>
      <w:pPr>
        <w:numPr>
          <w:ilvl w:val="1"/>
          <w:numId w:val="1800"/>
        </w:numPr>
      </w:pPr>
      <w:r>
        <w:t xml:space="preserve">c. In the R-3 zone, where at least 20 percent of the housing units are deed restricted as affordable to households earning less than or equal to 80 percent of area median income, there shall be at least 1,000 sf of lot area per dwelling unit.</w:t>
      </w:r>
    </w:p>
    <w:p>
      <w:pPr>
        <w:pStyle w:val="Compact"/>
        <w:numPr>
          <w:ilvl w:val="0"/>
          <w:numId w:val="1801"/>
        </w:numPr>
      </w:pPr>
    </w:p>
    <w:p>
      <w:pPr>
        <w:numPr>
          <w:ilvl w:val="1"/>
          <w:numId w:val="1802"/>
        </w:numPr>
      </w:pPr>
      <w:r>
        <w:t xml:space="preserve">d. Multi-family dwellings in the R-1A, R-1, and R-3 zones shall not exceed three stories.</w:t>
      </w:r>
    </w:p>
    <w:p>
      <w:pPr>
        <w:pStyle w:val="Compact"/>
        <w:numPr>
          <w:ilvl w:val="0"/>
          <w:numId w:val="1803"/>
        </w:numPr>
      </w:pPr>
    </w:p>
    <w:p>
      <w:pPr>
        <w:numPr>
          <w:ilvl w:val="1"/>
          <w:numId w:val="1804"/>
        </w:numPr>
      </w:pPr>
      <w:r>
        <w:t xml:space="preserve">e. On lots of 20,000 sf or more, in order to preserve natural or built features of the site, the Zoning Board of Review may permit multiple principal structures on a lot and may adjust required setbacks. The resulting collection of structures and units shall be considered a multifamily dwelling.</w:t>
      </w:r>
    </w:p>
    <w:p>
      <w:pPr>
        <w:pStyle w:val="Compact"/>
        <w:numPr>
          <w:ilvl w:val="0"/>
          <w:numId w:val="1805"/>
        </w:numPr>
      </w:pPr>
    </w:p>
    <w:p>
      <w:pPr>
        <w:numPr>
          <w:ilvl w:val="1"/>
          <w:numId w:val="1806"/>
        </w:numPr>
      </w:pPr>
      <w:r>
        <w:t xml:space="preserve">f. Short-term rentals shall be prohibited as a condition of the special use permit.</w:t>
      </w:r>
    </w:p>
    <w:p>
      <w:pPr>
        <w:pStyle w:val="Compact"/>
        <w:numPr>
          <w:ilvl w:val="0"/>
          <w:numId w:val="1807"/>
        </w:numPr>
      </w:pPr>
    </w:p>
    <w:p>
      <w:pPr>
        <w:numPr>
          <w:ilvl w:val="1"/>
          <w:numId w:val="1808"/>
        </w:numPr>
      </w:pPr>
      <w:r>
        <w:t xml:space="preserve">g. In the R-1A and R-1 districts, the property shall not be occupied by more than three college students as a condition of the special use permit.</w:t>
      </w:r>
    </w:p>
    <w:p>
      <w:pPr>
        <w:numPr>
          <w:ilvl w:val="0"/>
          <w:numId w:val="1809"/>
        </w:numPr>
      </w:pPr>
      <w:r>
        <w:t xml:space="preserve">10. Rowhouses are subject to the following conditions and calculations: a. A rowhouse shall be designed so that each unit has a separate street-facing exterior entrance and direct ground level access to the front yard. The design of a street-facing exterior entrance for a rowhouse shall include a hood and stoop.</w:t>
      </w:r>
    </w:p>
    <w:p>
      <w:pPr>
        <w:pStyle w:val="Compact"/>
        <w:numPr>
          <w:ilvl w:val="0"/>
          <w:numId w:val="1810"/>
        </w:numPr>
      </w:pPr>
    </w:p>
    <w:p>
      <w:pPr>
        <w:numPr>
          <w:ilvl w:val="1"/>
          <w:numId w:val="1811"/>
        </w:numPr>
      </w:pPr>
      <w:r>
        <w:t xml:space="preserve">b. A lot containing a rowhouse dwelling unit shall have frontage along a developed public right-ofway.</w:t>
      </w:r>
    </w:p>
    <w:p>
      <w:pPr>
        <w:pStyle w:val="Compact"/>
        <w:numPr>
          <w:ilvl w:val="0"/>
          <w:numId w:val="1812"/>
        </w:numPr>
      </w:pPr>
    </w:p>
    <w:p>
      <w:pPr>
        <w:numPr>
          <w:ilvl w:val="1"/>
          <w:numId w:val="1813"/>
        </w:numPr>
      </w:pPr>
      <w:r>
        <w:t xml:space="preserve">c. R-1A: One dwelling unit is permitted for every 7,500 sf of lot area present prior to subdivision into individual rowhouse lots. R-1: One dwelling unit is permitted for every 5,000 sf of lot area present prior to subdivision into individual rowhouse lots. R-3: One dwelling unit is permitted for every 1,667 sf of lot area present prior to subdivision into individual rowhouse lots. Where at least 20 percent of the housing units are deed restricted as affordable to households earning less than or equal to 80 percent of area median income, one dwelling unit is permitted for every 1,000 sf of lot area present prior to subdivision into individual rowhouse lots. R-4 and RP: One dwelling unit is permitted for every 700 sf of lot area present prior to subdivision into individual rowhouse lots.</w:t>
      </w:r>
    </w:p>
    <w:p>
      <w:pPr>
        <w:pStyle w:val="Compact"/>
        <w:numPr>
          <w:ilvl w:val="0"/>
          <w:numId w:val="1814"/>
        </w:numPr>
      </w:pPr>
    </w:p>
    <w:p>
      <w:pPr>
        <w:numPr>
          <w:ilvl w:val="1"/>
          <w:numId w:val="1815"/>
        </w:numPr>
      </w:pPr>
      <w:r>
        <w:t xml:space="preserve">d. Reserved.</w:t>
      </w:r>
    </w:p>
    <w:p>
      <w:pPr>
        <w:pStyle w:val="Compact"/>
        <w:numPr>
          <w:ilvl w:val="0"/>
          <w:numId w:val="1816"/>
        </w:numPr>
      </w:pPr>
    </w:p>
    <w:p>
      <w:pPr>
        <w:numPr>
          <w:ilvl w:val="1"/>
          <w:numId w:val="1817"/>
        </w:numPr>
      </w:pPr>
      <w:r>
        <w:t xml:space="preserve">e. Rowhouse dwellings in the R-1A, R-1, and R-3 zones shall not exceed three stories. Rowhouse dwellings in the R-4 zone shall not exceed four stories.</w:t>
      </w:r>
    </w:p>
    <w:p>
      <w:pPr>
        <w:pStyle w:val="Compact"/>
        <w:numPr>
          <w:ilvl w:val="0"/>
          <w:numId w:val="1818"/>
        </w:numPr>
      </w:pPr>
    </w:p>
    <w:p>
      <w:pPr>
        <w:numPr>
          <w:ilvl w:val="1"/>
          <w:numId w:val="1819"/>
        </w:numPr>
      </w:pPr>
      <w:r>
        <w:t xml:space="preserve">f. Subdivision into lots for individual rowhouse dwelling units shall not be completed until the rowhouse dwellings are constructed.</w:t>
      </w:r>
    </w:p>
    <w:p>
      <w:pPr>
        <w:pStyle w:val="Compact"/>
        <w:numPr>
          <w:ilvl w:val="0"/>
          <w:numId w:val="1820"/>
        </w:numPr>
      </w:pPr>
    </w:p>
    <w:p>
      <w:pPr>
        <w:numPr>
          <w:ilvl w:val="1"/>
          <w:numId w:val="1821"/>
        </w:numPr>
      </w:pPr>
      <w:r>
        <w:t xml:space="preserve">L. Dwelling: Single-Family, Two-Family, or Three-Family</w:t>
      </w:r>
    </w:p>
    <w:p>
      <w:pPr>
        <w:numPr>
          <w:ilvl w:val="1"/>
          <w:numId w:val="1000"/>
        </w:numPr>
      </w:pPr>
      <w:r>
        <w:t xml:space="preserve">1. Entrance a. A dwelling shall have a primary entrance that is visible from the public right of way and located either on the façade facing the front lot line, or within 20 feet of the façade facing the front lot line.</w:t>
      </w:r>
    </w:p>
    <w:p>
      <w:pPr>
        <w:pStyle w:val="Compact"/>
        <w:numPr>
          <w:ilvl w:val="0"/>
          <w:numId w:val="1822"/>
        </w:numPr>
      </w:pPr>
    </w:p>
    <w:p>
      <w:pPr>
        <w:pStyle w:val="Compact"/>
        <w:numPr>
          <w:ilvl w:val="1"/>
          <w:numId w:val="1823"/>
        </w:numPr>
      </w:pPr>
    </w:p>
    <w:p>
      <w:pPr>
        <w:numPr>
          <w:ilvl w:val="2"/>
          <w:numId w:val="1824"/>
        </w:numPr>
      </w:pPr>
      <w:r>
        <w:t xml:space="preserve">b. The primary entrance shall have a maximum elevation of five feet above the ground directly below the entrance.</w:t>
      </w:r>
    </w:p>
    <w:p>
      <w:pPr>
        <w:pStyle w:val="Compact"/>
        <w:numPr>
          <w:ilvl w:val="0"/>
          <w:numId w:val="1825"/>
        </w:numPr>
      </w:pPr>
    </w:p>
    <w:p>
      <w:pPr>
        <w:pStyle w:val="Compact"/>
        <w:numPr>
          <w:ilvl w:val="1"/>
          <w:numId w:val="1826"/>
        </w:numPr>
      </w:pPr>
    </w:p>
    <w:p>
      <w:pPr>
        <w:numPr>
          <w:ilvl w:val="2"/>
          <w:numId w:val="1827"/>
        </w:numPr>
      </w:pPr>
      <w:r>
        <w:t xml:space="preserve">c. For any entrance on the front or side of a building, when using pressure treated wood on stairs, porches, railings, landings, and screening, the wood shall not be left unfinished. It may be painted, stained with an opaque finish, or clad in a finish quality wood, vinyl, or composite material.</w:t>
      </w:r>
    </w:p>
    <w:p>
      <w:pPr>
        <w:pStyle w:val="Compact"/>
        <w:numPr>
          <w:ilvl w:val="0"/>
          <w:numId w:val="1828"/>
        </w:numPr>
      </w:pPr>
    </w:p>
    <w:p>
      <w:pPr>
        <w:pStyle w:val="Compact"/>
        <w:numPr>
          <w:ilvl w:val="1"/>
          <w:numId w:val="1829"/>
        </w:numPr>
      </w:pPr>
    </w:p>
    <w:p>
      <w:pPr>
        <w:numPr>
          <w:ilvl w:val="2"/>
          <w:numId w:val="1830"/>
        </w:numPr>
      </w:pPr>
      <w:r>
        <w:t xml:space="preserve">d. The area under porches, stairs or landings on the front or side of a building shall be screened by wood or simulated wood lattice or other opaque building material.</w:t>
      </w:r>
    </w:p>
    <w:p>
      <w:pPr>
        <w:numPr>
          <w:ilvl w:val="0"/>
          <w:numId w:val="1831"/>
        </w:numPr>
      </w:pPr>
      <w:r>
        <w:t xml:space="preserve">2. Façades and Other Building Faces</w:t>
      </w:r>
    </w:p>
    <w:p>
      <w:pPr>
        <w:numPr>
          <w:ilvl w:val="0"/>
          <w:numId w:val="1000"/>
        </w:numPr>
      </w:pPr>
      <w:r>
        <w:t xml:space="preserve">a. Windows, entrances, porches, or other architectural features are required on any facades to avoid the appearance of blank walls. Building façades shall not contain blank wall areas that exceed 12 linear feet.</w:t>
      </w:r>
    </w:p>
    <w:p>
      <w:pPr>
        <w:pStyle w:val="Compact"/>
        <w:numPr>
          <w:ilvl w:val="0"/>
          <w:numId w:val="1832"/>
        </w:numPr>
      </w:pPr>
    </w:p>
    <w:p>
      <w:pPr>
        <w:numPr>
          <w:ilvl w:val="1"/>
          <w:numId w:val="1833"/>
        </w:numPr>
      </w:pPr>
      <w:r>
        <w:t xml:space="preserve">b. There shall be a minimum of 15% transparency on each façade. On all other building faces, there shall be a minimum of 10% transparency or the maximum allowed by building code, whichever is less. Transparency is calculated on the basis of the entire area of each building face.</w:t>
      </w:r>
    </w:p>
    <w:p>
      <w:pPr>
        <w:pStyle w:val="Compact"/>
        <w:numPr>
          <w:ilvl w:val="0"/>
          <w:numId w:val="1834"/>
        </w:numPr>
      </w:pPr>
    </w:p>
    <w:p>
      <w:pPr>
        <w:numPr>
          <w:ilvl w:val="1"/>
          <w:numId w:val="1835"/>
        </w:numPr>
      </w:pPr>
      <w:r>
        <w:t xml:space="preserve">c. When vinyl siding is used, the siding shall only be used in a clapboard, shingle, or board and batten design.</w:t>
      </w:r>
    </w:p>
    <w:p>
      <w:pPr>
        <w:pStyle w:val="Compact"/>
        <w:numPr>
          <w:ilvl w:val="0"/>
          <w:numId w:val="1836"/>
        </w:numPr>
      </w:pPr>
    </w:p>
    <w:p>
      <w:pPr>
        <w:numPr>
          <w:ilvl w:val="1"/>
          <w:numId w:val="1837"/>
        </w:numPr>
      </w:pPr>
      <w:r>
        <w:t xml:space="preserve">d. For all windows, when using vinyl clapboards, shingles, or board and batten siding, there shall be a sill, and window trim of at least 3.5” in width for side and head casings.</w:t>
      </w:r>
    </w:p>
    <w:p>
      <w:pPr>
        <w:pStyle w:val="Compact"/>
        <w:numPr>
          <w:ilvl w:val="0"/>
          <w:numId w:val="1838"/>
        </w:numPr>
      </w:pPr>
    </w:p>
    <w:p>
      <w:pPr>
        <w:numPr>
          <w:ilvl w:val="1"/>
          <w:numId w:val="1839"/>
        </w:numPr>
      </w:pPr>
      <w:r>
        <w:t xml:space="preserve">e. When using vinyl clapboards, shingles, or board and batten siding, corner boards of at least 4.5” in width shall be used at all outside corners. This shall not apply to woven shingle corners.</w:t>
      </w:r>
    </w:p>
    <w:p>
      <w:pPr>
        <w:numPr>
          <w:ilvl w:val="0"/>
          <w:numId w:val="1840"/>
        </w:numPr>
      </w:pPr>
      <w:r>
        <w:t xml:space="preserve">3. Reserved</w:t>
      </w:r>
    </w:p>
    <w:p>
      <w:pPr>
        <w:numPr>
          <w:ilvl w:val="0"/>
          <w:numId w:val="1000"/>
        </w:numPr>
      </w:pPr>
      <w:r>
        <w:t xml:space="preserve">4. Reserved 5. In the R-1A and R-1 districts, a single-family dwelling, that is non-owner occupied, shall not be occupied by more than three college students.</w:t>
      </w:r>
    </w:p>
    <w:p>
      <w:pPr>
        <w:numPr>
          <w:ilvl w:val="0"/>
          <w:numId w:val="1841"/>
        </w:numPr>
      </w:pPr>
      <w:r>
        <w:t xml:space="preserve">6. A dwelling unit in a single-family, two-family, or three-family dwelling may be used as a short-term rental, subject to the following standards.</w:t>
      </w:r>
    </w:p>
    <w:p>
      <w:pPr>
        <w:pStyle w:val="Compact"/>
        <w:numPr>
          <w:ilvl w:val="0"/>
          <w:numId w:val="1842"/>
        </w:numPr>
      </w:pPr>
    </w:p>
    <w:p>
      <w:pPr>
        <w:numPr>
          <w:ilvl w:val="1"/>
          <w:numId w:val="1843"/>
        </w:numPr>
      </w:pPr>
      <w:r>
        <w:t xml:space="preserve">a. Properties used as short-term rentals in the R-1A, R-1, R-3, and R-4 zoning districts must be owner-occupied.</w:t>
      </w:r>
    </w:p>
    <w:p>
      <w:pPr>
        <w:pStyle w:val="Compact"/>
        <w:numPr>
          <w:ilvl w:val="0"/>
          <w:numId w:val="1844"/>
        </w:numPr>
      </w:pPr>
    </w:p>
    <w:p>
      <w:pPr>
        <w:numPr>
          <w:ilvl w:val="1"/>
          <w:numId w:val="1845"/>
        </w:numPr>
      </w:pPr>
      <w:r>
        <w:t xml:space="preserve">b. The owner must supply all of the following within the dwelling unit: i. Visible printed materials with diagrams of all points of egress, written in both English and Spanish.</w:t>
      </w:r>
    </w:p>
    <w:p>
      <w:pPr>
        <w:pStyle w:val="Compact"/>
        <w:numPr>
          <w:ilvl w:val="0"/>
          <w:numId w:val="1846"/>
        </w:numPr>
      </w:pPr>
    </w:p>
    <w:p>
      <w:pPr>
        <w:numPr>
          <w:ilvl w:val="1"/>
          <w:numId w:val="1847"/>
        </w:numPr>
      </w:pPr>
      <w:r>
        <w:t xml:space="preserve">ii. Clearly marked visible fire extinguisher(s).</w:t>
      </w:r>
    </w:p>
    <w:p>
      <w:pPr>
        <w:pStyle w:val="Compact"/>
        <w:numPr>
          <w:ilvl w:val="0"/>
          <w:numId w:val="1848"/>
        </w:numPr>
      </w:pPr>
    </w:p>
    <w:p>
      <w:pPr>
        <w:numPr>
          <w:ilvl w:val="1"/>
          <w:numId w:val="1849"/>
        </w:numPr>
      </w:pPr>
      <w:r>
        <w:t xml:space="preserve">c. Dwelling units used as short-term rentals shall require a temporary use permit, the term of which shall be one year. Short-term rental of portions of dwelling units, where the owner is present and living in the dwelling unit during the entire term of the rental, are not subject to this provision.</w:t>
      </w:r>
    </w:p>
    <w:p>
      <w:pPr>
        <w:numPr>
          <w:ilvl w:val="0"/>
          <w:numId w:val="1850"/>
        </w:numPr>
      </w:pPr>
      <w:r>
        <w:t xml:space="preserve">7. Adaptive Reuse for the conversion of any commercial, institutional, or industrial building, including offices, schools, religious facilities, medical buildings, mills, and malls into residential units or mixed-use developments shall be permitted subject to the following standards: a. There are no prohibitions preventing the conversion to residential use by environmental land use restrictions recorded on the property by the State of Rhode Island Department of Environmental Management or the United States Environmental Protection Agency.</w:t>
      </w:r>
    </w:p>
    <w:p>
      <w:pPr>
        <w:pStyle w:val="Compact"/>
        <w:numPr>
          <w:ilvl w:val="0"/>
          <w:numId w:val="1851"/>
        </w:numPr>
      </w:pPr>
    </w:p>
    <w:p>
      <w:pPr>
        <w:numPr>
          <w:ilvl w:val="1"/>
          <w:numId w:val="1852"/>
        </w:numPr>
      </w:pPr>
      <w:r>
        <w:t xml:space="preserve">b. The conversion shall include the development of at least 50% of the existing gross floor area into residential units.</w:t>
      </w:r>
    </w:p>
    <w:p>
      <w:pPr>
        <w:pStyle w:val="Compact"/>
        <w:numPr>
          <w:ilvl w:val="0"/>
          <w:numId w:val="1853"/>
        </w:numPr>
      </w:pPr>
    </w:p>
    <w:p>
      <w:pPr>
        <w:numPr>
          <w:ilvl w:val="1"/>
          <w:numId w:val="1854"/>
        </w:numPr>
      </w:pPr>
      <w:r>
        <w:t xml:space="preserve">c. Non-residential uses may be provided if they are permitted by right or special use in the zoning district pursuant to Table 12-1.</w:t>
      </w:r>
    </w:p>
    <w:p>
      <w:pPr>
        <w:pStyle w:val="Compact"/>
        <w:numPr>
          <w:ilvl w:val="0"/>
          <w:numId w:val="1855"/>
        </w:numPr>
      </w:pPr>
    </w:p>
    <w:p>
      <w:pPr>
        <w:numPr>
          <w:ilvl w:val="1"/>
          <w:numId w:val="1856"/>
        </w:numPr>
      </w:pPr>
      <w:r>
        <w:t xml:space="preserve">d. The residential density permitted in the converted structure shall be the maximum allowed that otherwise meets all standards of minimum housing.</w:t>
      </w:r>
    </w:p>
    <w:p>
      <w:pPr>
        <w:pStyle w:val="Compact"/>
        <w:numPr>
          <w:ilvl w:val="0"/>
          <w:numId w:val="1857"/>
        </w:numPr>
      </w:pPr>
    </w:p>
    <w:p>
      <w:pPr>
        <w:numPr>
          <w:ilvl w:val="1"/>
          <w:numId w:val="1858"/>
        </w:numPr>
      </w:pPr>
      <w:r>
        <w:t xml:space="preserve">e. The conversion shall not occur within the W-3, M-1, or M-2 zones in accordance with the Future Land Use Map, which designates those areas as “Business/Industrial” or “Waterfront/Port.” As the public health and safety needs of industrial and residential uses often conflict, the Comprehensive Plan prohibits any residential development in these areas within Objective LU5.</w:t>
      </w:r>
    </w:p>
    <w:p>
      <w:pPr>
        <w:pStyle w:val="Compact"/>
        <w:numPr>
          <w:ilvl w:val="0"/>
          <w:numId w:val="1859"/>
        </w:numPr>
      </w:pPr>
    </w:p>
    <w:p>
      <w:pPr>
        <w:numPr>
          <w:ilvl w:val="1"/>
          <w:numId w:val="1860"/>
        </w:numPr>
      </w:pPr>
      <w:r>
        <w:t xml:space="preserve">f. The conversion shall not occur within any building previously used for industrial or manufacturing use(s), which has not been vacant of an industrial use for less than one year prior to the submission of the permit or application for adaptive reuse.</w:t>
      </w:r>
    </w:p>
    <w:p>
      <w:pPr>
        <w:numPr>
          <w:ilvl w:val="0"/>
          <w:numId w:val="1861"/>
        </w:numPr>
      </w:pPr>
      <w:r>
        <w:t xml:space="preserve">8. Two- and three-family dwellings in the R-1A and R-1 districts shall be permitted by special use permit under the following conditions and calculations: a. The lot shall meet or exceed the minimum lot area for new subdivisions.</w:t>
      </w:r>
    </w:p>
    <w:p>
      <w:pPr>
        <w:pStyle w:val="Compact"/>
        <w:numPr>
          <w:ilvl w:val="0"/>
          <w:numId w:val="1862"/>
        </w:numPr>
      </w:pPr>
    </w:p>
    <w:p>
      <w:pPr>
        <w:numPr>
          <w:ilvl w:val="1"/>
          <w:numId w:val="1863"/>
        </w:numPr>
      </w:pPr>
      <w:r>
        <w:t xml:space="preserve">b. R-1A: For lots of 15,000 sf or more, one dwelling unit is permitted for every 7,500 sf of lot area, with one further dwelling unit permitted if the principal structure is preserved in its entirety. Principal structures must exist as of January 1, 2024. R-1: For lots of 10,000 sf or more, one dwelling unit is permitted for every 5,000 sf of lot area, with one further dwelling unit permitted if the principal structure is preserved in its entirety. Principal structures must exist as of January 1, 2024.</w:t>
      </w:r>
    </w:p>
    <w:p>
      <w:pPr>
        <w:pStyle w:val="Compact"/>
        <w:numPr>
          <w:ilvl w:val="0"/>
          <w:numId w:val="1864"/>
        </w:numPr>
      </w:pPr>
    </w:p>
    <w:p>
      <w:pPr>
        <w:numPr>
          <w:ilvl w:val="1"/>
          <w:numId w:val="1865"/>
        </w:numPr>
      </w:pPr>
      <w:r>
        <w:t xml:space="preserve">c. In the R-1A and R-1 districts, the property shall not be occupied by more than three college students as a condition of the special use permit.</w:t>
      </w:r>
    </w:p>
    <w:p>
      <w:pPr>
        <w:pStyle w:val="Compact"/>
        <w:numPr>
          <w:ilvl w:val="0"/>
          <w:numId w:val="1866"/>
        </w:numPr>
      </w:pPr>
    </w:p>
    <w:p>
      <w:pPr>
        <w:numPr>
          <w:ilvl w:val="1"/>
          <w:numId w:val="1867"/>
        </w:numPr>
      </w:pPr>
      <w:r>
        <w:t xml:space="preserve">M. Educational Facility - Primary or Secondary 1. Development Plan Review For primary or secondary educational facility campuses with two or more existing or planned principal buildings in a residential district, Development Plan Review by the City Plan Commission is required in accordance with Section 1906. A plan of development shall be submitted that includes the following: a. An existing conditions site plan for the entire site that identifies the location, square footage, and building heights of all existing structures, outdoor recreation areas, parking facilities, and general uses.</w:t>
      </w:r>
    </w:p>
    <w:p>
      <w:pPr>
        <w:pStyle w:val="Compact"/>
        <w:numPr>
          <w:ilvl w:val="0"/>
          <w:numId w:val="1868"/>
        </w:numPr>
      </w:pPr>
    </w:p>
    <w:p>
      <w:pPr>
        <w:pStyle w:val="Compact"/>
        <w:numPr>
          <w:ilvl w:val="1"/>
          <w:numId w:val="1869"/>
        </w:numPr>
      </w:pPr>
    </w:p>
    <w:p>
      <w:pPr>
        <w:numPr>
          <w:ilvl w:val="2"/>
          <w:numId w:val="1870"/>
        </w:numPr>
      </w:pPr>
      <w:r>
        <w:t xml:space="preserve">b. A development plan for the entire site that identifies the location, square footage, and building heights of: i. All planned new structures.</w:t>
      </w:r>
    </w:p>
    <w:p>
      <w:pPr>
        <w:pStyle w:val="Compact"/>
        <w:numPr>
          <w:ilvl w:val="0"/>
          <w:numId w:val="1871"/>
        </w:numPr>
      </w:pPr>
    </w:p>
    <w:p>
      <w:pPr>
        <w:pStyle w:val="Compact"/>
        <w:numPr>
          <w:ilvl w:val="1"/>
          <w:numId w:val="1872"/>
        </w:numPr>
      </w:pPr>
    </w:p>
    <w:p>
      <w:pPr>
        <w:numPr>
          <w:ilvl w:val="2"/>
          <w:numId w:val="1873"/>
        </w:numPr>
      </w:pPr>
      <w:r>
        <w:t xml:space="preserve">ii. All planned additions to existing structures of more than 25% of gross floor area or 2,500 square feet of gross floor area, whichever is less.</w:t>
      </w:r>
    </w:p>
    <w:p>
      <w:pPr>
        <w:pStyle w:val="Compact"/>
        <w:numPr>
          <w:ilvl w:val="0"/>
          <w:numId w:val="1874"/>
        </w:numPr>
      </w:pPr>
    </w:p>
    <w:p>
      <w:pPr>
        <w:pStyle w:val="Compact"/>
        <w:numPr>
          <w:ilvl w:val="1"/>
          <w:numId w:val="1875"/>
        </w:numPr>
      </w:pPr>
    </w:p>
    <w:p>
      <w:pPr>
        <w:numPr>
          <w:ilvl w:val="2"/>
          <w:numId w:val="1876"/>
        </w:numPr>
      </w:pPr>
      <w:r>
        <w:t xml:space="preserve">iii. All planned new or reconfigured parking facilities.</w:t>
      </w:r>
    </w:p>
    <w:p>
      <w:pPr>
        <w:pStyle w:val="Compact"/>
        <w:numPr>
          <w:ilvl w:val="0"/>
          <w:numId w:val="1877"/>
        </w:numPr>
      </w:pPr>
    </w:p>
    <w:p>
      <w:pPr>
        <w:pStyle w:val="Compact"/>
        <w:numPr>
          <w:ilvl w:val="1"/>
          <w:numId w:val="1878"/>
        </w:numPr>
      </w:pPr>
    </w:p>
    <w:p>
      <w:pPr>
        <w:numPr>
          <w:ilvl w:val="2"/>
          <w:numId w:val="1879"/>
        </w:numPr>
      </w:pPr>
      <w:r>
        <w:t xml:space="preserve">iv. All planned new outdoor facilities.</w:t>
      </w:r>
    </w:p>
    <w:p>
      <w:pPr>
        <w:pStyle w:val="Compact"/>
        <w:numPr>
          <w:ilvl w:val="0"/>
          <w:numId w:val="1880"/>
        </w:numPr>
      </w:pPr>
    </w:p>
    <w:p>
      <w:pPr>
        <w:pStyle w:val="Compact"/>
        <w:numPr>
          <w:ilvl w:val="1"/>
          <w:numId w:val="1881"/>
        </w:numPr>
      </w:pPr>
    </w:p>
    <w:p>
      <w:pPr>
        <w:numPr>
          <w:ilvl w:val="2"/>
          <w:numId w:val="1882"/>
        </w:numPr>
      </w:pPr>
      <w:r>
        <w:t xml:space="preserve">c. A sign plan for the campus.</w:t>
      </w:r>
    </w:p>
    <w:p>
      <w:pPr>
        <w:pStyle w:val="Compact"/>
        <w:numPr>
          <w:ilvl w:val="0"/>
          <w:numId w:val="1883"/>
        </w:numPr>
      </w:pPr>
    </w:p>
    <w:p>
      <w:pPr>
        <w:pStyle w:val="Compact"/>
        <w:numPr>
          <w:ilvl w:val="1"/>
          <w:numId w:val="1884"/>
        </w:numPr>
      </w:pPr>
    </w:p>
    <w:p>
      <w:pPr>
        <w:numPr>
          <w:ilvl w:val="2"/>
          <w:numId w:val="1885"/>
        </w:numPr>
      </w:pPr>
      <w:r>
        <w:t xml:space="preserve">d. A lighting plan for the campus.</w:t>
      </w:r>
    </w:p>
    <w:p>
      <w:pPr>
        <w:pStyle w:val="Compact"/>
        <w:numPr>
          <w:ilvl w:val="0"/>
          <w:numId w:val="1886"/>
        </w:numPr>
      </w:pPr>
    </w:p>
    <w:p>
      <w:pPr>
        <w:pStyle w:val="Compact"/>
        <w:numPr>
          <w:ilvl w:val="1"/>
          <w:numId w:val="1887"/>
        </w:numPr>
      </w:pPr>
    </w:p>
    <w:p>
      <w:pPr>
        <w:numPr>
          <w:ilvl w:val="2"/>
          <w:numId w:val="1888"/>
        </w:numPr>
      </w:pPr>
      <w:r>
        <w:t xml:space="preserve">e. Internal traffic circulation plans, including vehicular ingress and egress locations, pedestrian circulation, and bicycle circulation. Student pick-up locations shall also be shown.</w:t>
      </w:r>
    </w:p>
    <w:p>
      <w:pPr>
        <w:pStyle w:val="Compact"/>
        <w:numPr>
          <w:ilvl w:val="0"/>
          <w:numId w:val="1889"/>
        </w:numPr>
      </w:pPr>
    </w:p>
    <w:p>
      <w:pPr>
        <w:pStyle w:val="Compact"/>
        <w:numPr>
          <w:ilvl w:val="1"/>
          <w:numId w:val="1890"/>
        </w:numPr>
      </w:pPr>
    </w:p>
    <w:p>
      <w:pPr>
        <w:numPr>
          <w:ilvl w:val="2"/>
          <w:numId w:val="1891"/>
        </w:numPr>
      </w:pPr>
      <w:r>
        <w:t xml:space="preserve">f. A parking and traffic impact analysis, including the location and capacity of all off-street parking and loading spaces, and estimates of traffic load impact on the surrounding public street system.</w:t>
      </w:r>
    </w:p>
    <w:p>
      <w:pPr>
        <w:pStyle w:val="Compact"/>
        <w:numPr>
          <w:ilvl w:val="0"/>
          <w:numId w:val="1892"/>
        </w:numPr>
      </w:pPr>
    </w:p>
    <w:p>
      <w:pPr>
        <w:pStyle w:val="Compact"/>
        <w:numPr>
          <w:ilvl w:val="1"/>
          <w:numId w:val="1893"/>
        </w:numPr>
      </w:pPr>
    </w:p>
    <w:p>
      <w:pPr>
        <w:numPr>
          <w:ilvl w:val="2"/>
          <w:numId w:val="1894"/>
        </w:numPr>
      </w:pPr>
      <w:r>
        <w:t xml:space="preserve">g. Proposed demolition of any structure, parking garage, parking lot, park, or any other campus facility.</w:t>
      </w:r>
    </w:p>
    <w:p>
      <w:pPr>
        <w:pStyle w:val="Compact"/>
        <w:numPr>
          <w:ilvl w:val="0"/>
          <w:numId w:val="1895"/>
        </w:numPr>
      </w:pPr>
    </w:p>
    <w:p>
      <w:pPr>
        <w:pStyle w:val="Compact"/>
        <w:numPr>
          <w:ilvl w:val="1"/>
          <w:numId w:val="1896"/>
        </w:numPr>
      </w:pPr>
    </w:p>
    <w:p>
      <w:pPr>
        <w:numPr>
          <w:ilvl w:val="2"/>
          <w:numId w:val="1897"/>
        </w:numPr>
      </w:pPr>
      <w:r>
        <w:t xml:space="preserve">h. Any proposed activity that would require an action by the Zoning Board of Review or City Council to implement.</w:t>
      </w:r>
    </w:p>
    <w:p>
      <w:pPr>
        <w:pStyle w:val="Compact"/>
        <w:numPr>
          <w:ilvl w:val="0"/>
          <w:numId w:val="1898"/>
        </w:numPr>
      </w:pPr>
    </w:p>
    <w:p>
      <w:pPr>
        <w:pStyle w:val="Compact"/>
        <w:numPr>
          <w:ilvl w:val="1"/>
          <w:numId w:val="1899"/>
        </w:numPr>
      </w:pPr>
    </w:p>
    <w:p>
      <w:pPr>
        <w:numPr>
          <w:ilvl w:val="2"/>
          <w:numId w:val="1900"/>
        </w:numPr>
      </w:pPr>
      <w:r>
        <w:t xml:space="preserve">i. An inventory of tree canopy and landscaping on the campus, and provisions for coming into conformance or maintaining conformance with this Ordinance.</w:t>
      </w:r>
    </w:p>
    <w:p>
      <w:pPr>
        <w:numPr>
          <w:ilvl w:val="0"/>
          <w:numId w:val="1901"/>
        </w:numPr>
      </w:pPr>
      <w:r>
        <w:t xml:space="preserve">2. Exceptions to Development Plan Review The following development actions are permitted when they conform to the standards of this Ordinance and do not require Development Plan Review: a. Primary or secondary educational facilities consisting of a single principal use building.</w:t>
      </w:r>
    </w:p>
    <w:p>
      <w:pPr>
        <w:pStyle w:val="Compact"/>
        <w:numPr>
          <w:ilvl w:val="0"/>
          <w:numId w:val="1902"/>
        </w:numPr>
      </w:pPr>
    </w:p>
    <w:p>
      <w:pPr>
        <w:numPr>
          <w:ilvl w:val="1"/>
          <w:numId w:val="1903"/>
        </w:numPr>
      </w:pPr>
      <w:r>
        <w:t xml:space="preserve">b. Construction of new structures of 2,000 square feet of gross floor area or less that are adjunct to and support an existing use on campus.</w:t>
      </w:r>
    </w:p>
    <w:p>
      <w:pPr>
        <w:pStyle w:val="Compact"/>
        <w:numPr>
          <w:ilvl w:val="0"/>
          <w:numId w:val="1904"/>
        </w:numPr>
      </w:pPr>
    </w:p>
    <w:p>
      <w:pPr>
        <w:numPr>
          <w:ilvl w:val="1"/>
          <w:numId w:val="1905"/>
        </w:numPr>
      </w:pPr>
      <w:r>
        <w:t xml:space="preserve">c. Additions to existing structures of less than 25% of the existing gross floor area or 2,500 square feet in gross floor area, whichever is less.</w:t>
      </w:r>
    </w:p>
    <w:p>
      <w:pPr>
        <w:pStyle w:val="Compact"/>
        <w:numPr>
          <w:ilvl w:val="0"/>
          <w:numId w:val="1906"/>
        </w:numPr>
      </w:pPr>
    </w:p>
    <w:p>
      <w:pPr>
        <w:numPr>
          <w:ilvl w:val="1"/>
          <w:numId w:val="1907"/>
        </w:numPr>
      </w:pPr>
      <w:r>
        <w:t xml:space="preserve">d. New parking facilities of 10 or fewer parking spaces.</w:t>
      </w:r>
    </w:p>
    <w:p>
      <w:pPr>
        <w:pStyle w:val="Compact"/>
        <w:numPr>
          <w:ilvl w:val="0"/>
          <w:numId w:val="1908"/>
        </w:numPr>
      </w:pPr>
    </w:p>
    <w:p>
      <w:pPr>
        <w:numPr>
          <w:ilvl w:val="1"/>
          <w:numId w:val="1909"/>
        </w:numPr>
      </w:pPr>
      <w:r>
        <w:t xml:space="preserve">e. Creation or expansion of any bicycle parking facilities.</w:t>
      </w:r>
    </w:p>
    <w:p>
      <w:pPr>
        <w:pStyle w:val="Compact"/>
        <w:numPr>
          <w:ilvl w:val="0"/>
          <w:numId w:val="1910"/>
        </w:numPr>
      </w:pPr>
    </w:p>
    <w:p>
      <w:pPr>
        <w:numPr>
          <w:ilvl w:val="1"/>
          <w:numId w:val="1911"/>
        </w:numPr>
      </w:pPr>
      <w:r>
        <w:t xml:space="preserve">f. Creation or expansion of open space, and alternate landscape designs and stormwater management techniques.</w:t>
      </w:r>
    </w:p>
    <w:p>
      <w:pPr>
        <w:pStyle w:val="Compact"/>
        <w:numPr>
          <w:ilvl w:val="0"/>
          <w:numId w:val="1912"/>
        </w:numPr>
      </w:pPr>
    </w:p>
    <w:p>
      <w:pPr>
        <w:numPr>
          <w:ilvl w:val="1"/>
          <w:numId w:val="1913"/>
        </w:numPr>
      </w:pPr>
      <w:r>
        <w:t xml:space="preserve">g. Façade renovation to an existing structure.</w:t>
      </w:r>
    </w:p>
    <w:p>
      <w:pPr>
        <w:pStyle w:val="Compact"/>
        <w:numPr>
          <w:ilvl w:val="0"/>
          <w:numId w:val="1914"/>
        </w:numPr>
      </w:pPr>
    </w:p>
    <w:p>
      <w:pPr>
        <w:numPr>
          <w:ilvl w:val="1"/>
          <w:numId w:val="1915"/>
        </w:numPr>
      </w:pPr>
      <w:r>
        <w:t xml:space="preserve">h. Interior renovations to an existing structure.</w:t>
      </w:r>
    </w:p>
    <w:p>
      <w:pPr>
        <w:numPr>
          <w:ilvl w:val="0"/>
          <w:numId w:val="1916"/>
        </w:numPr>
      </w:pPr>
      <w:r>
        <w:t xml:space="preserve">3. Development Plan Review Waivers The City Plan Commission as part of Development Plan Review may waive regulations pertaining to the maximum number of buildings on a lot, front setback, restrictions on the maximum number of driveways, sign area, and the location of paved area.</w:t>
      </w:r>
    </w:p>
    <w:p>
      <w:pPr>
        <w:pStyle w:val="Compact"/>
        <w:numPr>
          <w:ilvl w:val="0"/>
          <w:numId w:val="1917"/>
        </w:numPr>
      </w:pPr>
    </w:p>
    <w:p>
      <w:pPr>
        <w:numPr>
          <w:ilvl w:val="1"/>
          <w:numId w:val="1918"/>
        </w:numPr>
      </w:pPr>
      <w:r>
        <w:t xml:space="preserve">N. Educational Facility – University or College and Healthcare Institution All educational facilities – university or college and health care institutions are required to submit an Institutional Master Plan for approval in accordance with Section 1910.</w:t>
      </w:r>
    </w:p>
    <w:p>
      <w:pPr>
        <w:pStyle w:val="Compact"/>
        <w:numPr>
          <w:ilvl w:val="0"/>
          <w:numId w:val="1919"/>
        </w:numPr>
      </w:pPr>
    </w:p>
    <w:p>
      <w:pPr>
        <w:numPr>
          <w:ilvl w:val="1"/>
          <w:numId w:val="1920"/>
        </w:numPr>
      </w:pPr>
      <w:r>
        <w:t xml:space="preserve">O. Electric Vehicle Charging Station (Principal Use)</w:t>
      </w:r>
    </w:p>
    <w:p>
      <w:pPr>
        <w:numPr>
          <w:ilvl w:val="0"/>
          <w:numId w:val="1921"/>
        </w:numPr>
      </w:pPr>
      <w:r>
        <w:t xml:space="preserve">1. Structures, including charging islands and any other equipment, shall be set back a minimum of 20 feet from side and rear lot lines. Structures are exempt from any setback or build-to lines required by the district.</w:t>
      </w:r>
    </w:p>
    <w:p>
      <w:pPr>
        <w:numPr>
          <w:ilvl w:val="0"/>
          <w:numId w:val="1922"/>
        </w:numPr>
      </w:pPr>
      <w:r>
        <w:t xml:space="preserve">2. The access driveway shall be a minimum of 20 feet from any adjoining property line, from any intersecting street line, or any other driveway. No access driveway may exceed 25 feet in width. For a corner lot, curb cuts are restricted to one curb cut per street frontage.</w:t>
      </w:r>
    </w:p>
    <w:p>
      <w:pPr>
        <w:numPr>
          <w:ilvl w:val="0"/>
          <w:numId w:val="1923"/>
        </w:numPr>
      </w:pPr>
      <w:r>
        <w:t xml:space="preserve">3. Each charging station shall be posted with a sign indicating the space is only for electric vehicle charging purposes. Days and hour of operations shall be included if time limits of tow away provisions are enforced by the owner. Information identifying voltage and amperage levels or safety information shall be posted.</w:t>
      </w:r>
    </w:p>
    <w:p>
      <w:pPr>
        <w:numPr>
          <w:ilvl w:val="0"/>
          <w:numId w:val="1924"/>
        </w:numPr>
      </w:pPr>
      <w:r>
        <w:t xml:space="preserve">4. The minimum distance between the canopy and the curb line shall be 12 feet and 20 feet from any interior lot line.</w:t>
      </w:r>
    </w:p>
    <w:p>
      <w:pPr>
        <w:numPr>
          <w:ilvl w:val="0"/>
          <w:numId w:val="1925"/>
        </w:numPr>
      </w:pPr>
      <w:r>
        <w:t xml:space="preserve">5. Electric vehicle charging stations as an accessory use are regulated separately in Article 13.</w:t>
      </w:r>
    </w:p>
    <w:p>
      <w:pPr>
        <w:pStyle w:val="Compact"/>
        <w:numPr>
          <w:ilvl w:val="0"/>
          <w:numId w:val="1926"/>
        </w:numPr>
      </w:pPr>
    </w:p>
    <w:p>
      <w:pPr>
        <w:numPr>
          <w:ilvl w:val="1"/>
          <w:numId w:val="1927"/>
        </w:numPr>
      </w:pPr>
      <w:r>
        <w:t xml:space="preserve">P. Gas Station</w:t>
      </w:r>
    </w:p>
    <w:p>
      <w:pPr>
        <w:numPr>
          <w:ilvl w:val="1"/>
          <w:numId w:val="1000"/>
        </w:numPr>
      </w:pPr>
      <w:r>
        <w:t xml:space="preserve">1. Gas stations require administrative Development Plan Review.</w:t>
      </w:r>
    </w:p>
    <w:p>
      <w:pPr>
        <w:numPr>
          <w:ilvl w:val="0"/>
          <w:numId w:val="1928"/>
        </w:numPr>
      </w:pPr>
      <w:r>
        <w:t xml:space="preserve">2. Gas stations shall meet the following minimum lot requirements: lot area of 12,000 square feet, lot depth of 100 feet, and lot width of 120 feet.</w:t>
      </w:r>
    </w:p>
    <w:p>
      <w:pPr>
        <w:numPr>
          <w:ilvl w:val="0"/>
          <w:numId w:val="1929"/>
        </w:numPr>
      </w:pPr>
      <w:r>
        <w:t xml:space="preserve">3. Structures and all pump islands, compressed air connections, and similar equipment shall be set back a minimum of 20 feet from side and rear lot lines. Structures are exempt from any setback and build-to lines required by the district.</w:t>
      </w:r>
    </w:p>
    <w:p>
      <w:pPr>
        <w:numPr>
          <w:ilvl w:val="0"/>
          <w:numId w:val="1930"/>
        </w:numPr>
      </w:pPr>
      <w:r>
        <w:t xml:space="preserve">4. No access driveway may exceed 25 feet in width. For a corner lot, curb cuts are restricted to one curb cut per street frontage.</w:t>
      </w:r>
    </w:p>
    <w:p>
      <w:pPr>
        <w:numPr>
          <w:ilvl w:val="0"/>
          <w:numId w:val="1931"/>
        </w:numPr>
      </w:pPr>
      <w:r>
        <w:t xml:space="preserve">5. The minimum distance between the canopy and the curb line shall be 12 feet and 20 feet from any interior lot line.</w:t>
      </w:r>
    </w:p>
    <w:p>
      <w:pPr>
        <w:numPr>
          <w:ilvl w:val="0"/>
          <w:numId w:val="1932"/>
        </w:numPr>
      </w:pPr>
      <w:r>
        <w:t xml:space="preserve">6. Underground tanks shall meet the following requirements: a. The maximum storage capacity for petroleum products is 42,000 gallons.</w:t>
      </w:r>
    </w:p>
    <w:p>
      <w:pPr>
        <w:pStyle w:val="Compact"/>
        <w:numPr>
          <w:ilvl w:val="0"/>
          <w:numId w:val="1933"/>
        </w:numPr>
      </w:pPr>
    </w:p>
    <w:p>
      <w:pPr>
        <w:numPr>
          <w:ilvl w:val="1"/>
          <w:numId w:val="1934"/>
        </w:numPr>
      </w:pPr>
      <w:r>
        <w:t xml:space="preserve">b. The minimum separation required between underground tanks, adjoining buildings, and lot lines is ten feet. Structures are exempt from the separation distance requirement if there are no basements or pits that extend below the top of any tank within the separation distance.</w:t>
      </w:r>
    </w:p>
    <w:p>
      <w:pPr>
        <w:numPr>
          <w:ilvl w:val="0"/>
          <w:numId w:val="1935"/>
        </w:numPr>
      </w:pPr>
      <w:r>
        <w:t xml:space="preserve">7. Motor vehicle repair is permitted as part of a gas station use. However, repair work is limited only to minor repair work, such as tire or tube repairing, battery changing, lubrication, engine tune-ups, brake and muffler repair or replacement, and similar types of work. Minor repair work does not include replacement of engines, replacement of transmissions, or any body work.</w:t>
      </w:r>
    </w:p>
    <w:p>
      <w:pPr>
        <w:numPr>
          <w:ilvl w:val="0"/>
          <w:numId w:val="1936"/>
        </w:numPr>
      </w:pPr>
      <w:r>
        <w:t xml:space="preserve">8. All repair work shall be conducted entirely within an enclosed structure. Storage of all merchandise, auto parts, and supplies shall be within an enclosed structure.</w:t>
      </w:r>
    </w:p>
    <w:p>
      <w:pPr>
        <w:numPr>
          <w:ilvl w:val="0"/>
          <w:numId w:val="1937"/>
        </w:numPr>
      </w:pPr>
      <w:r>
        <w:t xml:space="preserve">9. Gas stations shall be allowed in the C-2, C-3, W-2, and M-MU zones only when the subject property is unsuitable for residential development.</w:t>
      </w:r>
    </w:p>
    <w:p>
      <w:pPr>
        <w:pStyle w:val="Compact"/>
        <w:numPr>
          <w:ilvl w:val="0"/>
          <w:numId w:val="1938"/>
        </w:numPr>
      </w:pPr>
    </w:p>
    <w:p>
      <w:pPr>
        <w:numPr>
          <w:ilvl w:val="1"/>
          <w:numId w:val="1939"/>
        </w:numPr>
      </w:pPr>
      <w:r>
        <w:t xml:space="preserve">Q. Live Entertainment - Ancillary Use, Live Performance Venue, or Nightclub 1. Live entertainment - ancillary use is considered a separate principal use. Live entertainment – ancillary use may only be established when allowed as a use within a zoning district and in conjunction with another principal use such as a bar, restaurant, amusement facility, or arts studio.</w:t>
      </w:r>
    </w:p>
    <w:p>
      <w:pPr>
        <w:numPr>
          <w:ilvl w:val="0"/>
          <w:numId w:val="1940"/>
        </w:numPr>
      </w:pPr>
      <w:r>
        <w:t xml:space="preserve">2. When a live entertainment – ancillary use, live performance venue, or nightclub is a special use, the following elements of operation shall be considered, in addition to the special use standards: a. The noise abatement plan, including any plans for outdoor entertainment.</w:t>
      </w:r>
    </w:p>
    <w:p>
      <w:pPr>
        <w:pStyle w:val="Compact"/>
        <w:numPr>
          <w:ilvl w:val="0"/>
          <w:numId w:val="1941"/>
        </w:numPr>
      </w:pPr>
    </w:p>
    <w:p>
      <w:pPr>
        <w:numPr>
          <w:ilvl w:val="1"/>
          <w:numId w:val="1942"/>
        </w:numPr>
      </w:pPr>
      <w:r>
        <w:t xml:space="preserve">b. The security plan.</w:t>
      </w:r>
    </w:p>
    <w:p>
      <w:pPr>
        <w:pStyle w:val="Compact"/>
        <w:numPr>
          <w:ilvl w:val="0"/>
          <w:numId w:val="1943"/>
        </w:numPr>
      </w:pPr>
    </w:p>
    <w:p>
      <w:pPr>
        <w:numPr>
          <w:ilvl w:val="1"/>
          <w:numId w:val="1944"/>
        </w:numPr>
      </w:pPr>
      <w:r>
        <w:t xml:space="preserve">c. The size of the establishment and the size, location and configuration of the live entertainment area within the establishment.</w:t>
      </w:r>
    </w:p>
    <w:p>
      <w:pPr>
        <w:pStyle w:val="Compact"/>
        <w:numPr>
          <w:ilvl w:val="0"/>
          <w:numId w:val="1945"/>
        </w:numPr>
      </w:pPr>
    </w:p>
    <w:p>
      <w:pPr>
        <w:numPr>
          <w:ilvl w:val="1"/>
          <w:numId w:val="1946"/>
        </w:numPr>
      </w:pPr>
      <w:r>
        <w:t xml:space="preserve">d. Maximum occupancy loads.</w:t>
      </w:r>
    </w:p>
    <w:p>
      <w:pPr>
        <w:pStyle w:val="Compact"/>
        <w:numPr>
          <w:ilvl w:val="0"/>
          <w:numId w:val="1947"/>
        </w:numPr>
      </w:pPr>
    </w:p>
    <w:p>
      <w:pPr>
        <w:numPr>
          <w:ilvl w:val="1"/>
          <w:numId w:val="1948"/>
        </w:numPr>
      </w:pPr>
      <w:r>
        <w:t xml:space="preserve">e. For live entertainment – ancillary use, the days and hours of operation for the establishment’s general operations as a standard restaurant or bar, and the anticipated days and hours of operation for the live entertainment component.</w:t>
      </w:r>
    </w:p>
    <w:p>
      <w:pPr>
        <w:pStyle w:val="Compact"/>
        <w:numPr>
          <w:ilvl w:val="0"/>
          <w:numId w:val="1949"/>
        </w:numPr>
      </w:pPr>
    </w:p>
    <w:p>
      <w:pPr>
        <w:numPr>
          <w:ilvl w:val="1"/>
          <w:numId w:val="1950"/>
        </w:numPr>
      </w:pPr>
      <w:r>
        <w:t xml:space="preserve">f. Loading areas.</w:t>
      </w:r>
    </w:p>
    <w:p>
      <w:pPr>
        <w:pStyle w:val="Compact"/>
        <w:numPr>
          <w:ilvl w:val="0"/>
          <w:numId w:val="1951"/>
        </w:numPr>
      </w:pPr>
    </w:p>
    <w:p>
      <w:pPr>
        <w:numPr>
          <w:ilvl w:val="1"/>
          <w:numId w:val="1952"/>
        </w:numPr>
      </w:pPr>
      <w:r>
        <w:t xml:space="preserve">R. Lodge/Meeting Hall</w:t>
      </w:r>
    </w:p>
    <w:p>
      <w:pPr>
        <w:numPr>
          <w:ilvl w:val="1"/>
          <w:numId w:val="1000"/>
        </w:numPr>
      </w:pPr>
      <w:r>
        <w:t xml:space="preserve">1. No more than 30% of the gross floor area may be used as office space for the lodge/meeting hall.</w:t>
      </w:r>
    </w:p>
    <w:p>
      <w:pPr>
        <w:numPr>
          <w:ilvl w:val="0"/>
          <w:numId w:val="1953"/>
        </w:numPr>
      </w:pPr>
      <w:r>
        <w:t xml:space="preserve">2. Lodges/meeting halls are permitted to serve meals and alcohol on the premises for members and their guests only.</w:t>
      </w:r>
    </w:p>
    <w:p>
      <w:pPr>
        <w:numPr>
          <w:ilvl w:val="0"/>
          <w:numId w:val="1954"/>
        </w:numPr>
      </w:pPr>
      <w:r>
        <w:t xml:space="preserve">3. Sleeping facilities are prohibited.</w:t>
      </w:r>
    </w:p>
    <w:p>
      <w:pPr>
        <w:numPr>
          <w:ilvl w:val="0"/>
          <w:numId w:val="1955"/>
        </w:numPr>
      </w:pPr>
      <w:r>
        <w:t xml:space="preserve">4. Lodges/meeting halls leased or used as reception halls shall comply with the requirements for reception halls.</w:t>
      </w:r>
    </w:p>
    <w:p>
      <w:pPr>
        <w:pStyle w:val="Compact"/>
        <w:numPr>
          <w:ilvl w:val="0"/>
          <w:numId w:val="1956"/>
        </w:numPr>
      </w:pPr>
    </w:p>
    <w:p>
      <w:pPr>
        <w:numPr>
          <w:ilvl w:val="1"/>
          <w:numId w:val="1957"/>
        </w:numPr>
      </w:pPr>
      <w:r>
        <w:t xml:space="preserve">S. Materials Processing</w:t>
      </w:r>
    </w:p>
    <w:p>
      <w:pPr>
        <w:numPr>
          <w:ilvl w:val="1"/>
          <w:numId w:val="1000"/>
        </w:numPr>
      </w:pPr>
      <w:r>
        <w:t xml:space="preserve">1. Materials Processing requires administrative Development Plan Review.</w:t>
      </w:r>
    </w:p>
    <w:p>
      <w:pPr>
        <w:numPr>
          <w:ilvl w:val="0"/>
          <w:numId w:val="1958"/>
        </w:numPr>
      </w:pPr>
      <w:r>
        <w:t xml:space="preserve">2. The materials processing area shall be completely enclosed along all lot lines by a solid fence or wall a minimum of six feet and a maximum of eight feet in height, including ingress and egress. Fences or walls along the front or corner side lot line shall be set back a minimum of 3 feet. Within that setback, one shrub a minimum of three feet in height shall be planted linearly every three feet on-center along such fence or wall.</w:t>
      </w:r>
    </w:p>
    <w:p>
      <w:pPr>
        <w:pStyle w:val="Compact"/>
        <w:numPr>
          <w:ilvl w:val="0"/>
          <w:numId w:val="1959"/>
        </w:numPr>
      </w:pPr>
    </w:p>
    <w:p>
      <w:pPr>
        <w:numPr>
          <w:ilvl w:val="1"/>
          <w:numId w:val="1960"/>
        </w:numPr>
      </w:pPr>
      <w:r>
        <w:t xml:space="preserve">T. Neighborhood Commercial Establishment</w:t>
      </w:r>
    </w:p>
    <w:p>
      <w:pPr>
        <w:numPr>
          <w:ilvl w:val="1"/>
          <w:numId w:val="1000"/>
        </w:numPr>
      </w:pPr>
      <w:r>
        <w:t xml:space="preserve">1. Neighborhood commercial establishments are only allowed within existing structures that are nonresidential in their construction and/or use as of the effective date of this Ordinance.</w:t>
      </w:r>
    </w:p>
    <w:p>
      <w:pPr>
        <w:numPr>
          <w:ilvl w:val="0"/>
          <w:numId w:val="1961"/>
        </w:numPr>
      </w:pPr>
      <w:r>
        <w:t xml:space="preserve">2. The following non-residential uses are permitted within a neighborhood commercial establishment: a. Art Gallery b. Arts Studio c. Office d. Personal Service Establishment e. Restaurant (Live Entertainment— Ancillary Use prohibited)</w:t>
      </w:r>
    </w:p>
    <w:p>
      <w:pPr>
        <w:pStyle w:val="Compact"/>
        <w:numPr>
          <w:ilvl w:val="0"/>
          <w:numId w:val="1962"/>
        </w:numPr>
      </w:pPr>
    </w:p>
    <w:p>
      <w:pPr>
        <w:numPr>
          <w:ilvl w:val="1"/>
          <w:numId w:val="1963"/>
        </w:numPr>
      </w:pPr>
      <w:r>
        <w:t xml:space="preserve">f. Retail Goods Establishment (Retail Sales of Alcohol prohibited)</w:t>
      </w:r>
    </w:p>
    <w:p>
      <w:pPr>
        <w:numPr>
          <w:ilvl w:val="0"/>
          <w:numId w:val="1964"/>
        </w:numPr>
      </w:pPr>
      <w:r>
        <w:t xml:space="preserve">3. No off-street parking is required. However, any off-street parking currently provided shall be maintained.</w:t>
      </w:r>
    </w:p>
    <w:p>
      <w:pPr>
        <w:numPr>
          <w:ilvl w:val="0"/>
          <w:numId w:val="1965"/>
        </w:numPr>
      </w:pPr>
      <w:r>
        <w:t xml:space="preserve">4. Drive-through facilities are prohibited.</w:t>
      </w:r>
    </w:p>
    <w:p>
      <w:pPr>
        <w:numPr>
          <w:ilvl w:val="0"/>
          <w:numId w:val="1966"/>
        </w:numPr>
      </w:pPr>
      <w:r>
        <w:t xml:space="preserve">5. Outside storage or display is prohibited. All business, servicing, processing, and storage uses shall be located within the structure.</w:t>
      </w:r>
    </w:p>
    <w:p>
      <w:pPr>
        <w:numPr>
          <w:ilvl w:val="0"/>
          <w:numId w:val="1967"/>
        </w:numPr>
      </w:pPr>
      <w:r>
        <w:t xml:space="preserve">6. Signs are limited to those allowed in the C-2 District.</w:t>
      </w:r>
    </w:p>
    <w:p>
      <w:pPr>
        <w:pStyle w:val="Compact"/>
        <w:numPr>
          <w:ilvl w:val="0"/>
          <w:numId w:val="1968"/>
        </w:numPr>
      </w:pPr>
    </w:p>
    <w:p>
      <w:pPr>
        <w:numPr>
          <w:ilvl w:val="1"/>
          <w:numId w:val="1969"/>
        </w:numPr>
      </w:pPr>
      <w:r>
        <w:t xml:space="preserve">U. Outdoor Dining</w:t>
      </w:r>
    </w:p>
    <w:p>
      <w:pPr>
        <w:numPr>
          <w:ilvl w:val="1"/>
          <w:numId w:val="1000"/>
        </w:numPr>
      </w:pPr>
      <w:r>
        <w:t xml:space="preserve">1. Outdoor dining shall not interfere with any pedestrian access or parking spaces and aisles.</w:t>
      </w:r>
    </w:p>
    <w:p>
      <w:pPr>
        <w:numPr>
          <w:ilvl w:val="0"/>
          <w:numId w:val="1970"/>
        </w:numPr>
      </w:pPr>
      <w:r>
        <w:t xml:space="preserve">2. Outdoor dining areas shall be located on private property unless an encroachment permit is approved to allow outdoor dining in the public right-of-way, per Section 1914. The encroachment permit shall include a plan that illustrates where outdoor dining furniture will be located within the public right-of-way.</w:t>
      </w:r>
    </w:p>
    <w:p>
      <w:pPr>
        <w:numPr>
          <w:ilvl w:val="0"/>
          <w:numId w:val="1971"/>
        </w:numPr>
      </w:pPr>
      <w:r>
        <w:t xml:space="preserve">3. The Director of Public Works may require such seating areas to be delineated through paint or structures to prevent unauthorized encroachments.</w:t>
      </w:r>
    </w:p>
    <w:p>
      <w:pPr>
        <w:numPr>
          <w:ilvl w:val="0"/>
          <w:numId w:val="1972"/>
        </w:numPr>
      </w:pPr>
      <w:r>
        <w:t xml:space="preserve">4. An outdoor dining area for an establishment shall be as continuous as possible by locating the outdoor dining area in a single portion of an establishment’s frontage.</w:t>
      </w:r>
    </w:p>
    <w:p>
      <w:pPr>
        <w:numPr>
          <w:ilvl w:val="0"/>
          <w:numId w:val="1973"/>
        </w:numPr>
      </w:pPr>
      <w:r>
        <w:t xml:space="preserve">5. When a structure is required to be constructed at a build-to line, the structure may have up to 50% or 60 linear feet of the front façade, whichever is less, designated as outdoor dining within a maximum setback of 25 feet from the required build-to line.</w:t>
      </w:r>
    </w:p>
    <w:p>
      <w:pPr>
        <w:numPr>
          <w:ilvl w:val="0"/>
          <w:numId w:val="1974"/>
        </w:numPr>
      </w:pPr>
      <w:r>
        <w:t xml:space="preserve">6. Outdoor Dining in the R-3 and R-4 zones shall only be permitted by special use permit for Neighborhood Commercial Establishments and shall cease operation by 10 P.M. Any outdoor dining located in zones besides the R-3 and R-4 zones, within 200 feet of a residential district lot line, shall cease operation by 11 P.M. This provision shall not apply to sidewalk seating on Atwells Avenue between Bradford Street and Harris Avenue.</w:t>
      </w:r>
    </w:p>
    <w:p>
      <w:pPr>
        <w:pStyle w:val="Compact"/>
        <w:numPr>
          <w:ilvl w:val="0"/>
          <w:numId w:val="1975"/>
        </w:numPr>
      </w:pPr>
    </w:p>
    <w:p>
      <w:pPr>
        <w:numPr>
          <w:ilvl w:val="1"/>
          <w:numId w:val="1976"/>
        </w:numPr>
      </w:pPr>
      <w:r>
        <w:t xml:space="preserve">V. Parking Lot and Parking Structure (Principal Use) All parking structures and parking lots are subject to the parking design standards of this Ordinance. In addition, parking structures and parking lots are subject to the following standards. For parking lots and structures in the D-1 District and East Side Overlay District, district regulations contain specific regulations for parking lots and structures.</w:t>
      </w:r>
    </w:p>
    <w:p>
      <w:pPr>
        <w:numPr>
          <w:ilvl w:val="0"/>
          <w:numId w:val="1977"/>
        </w:numPr>
      </w:pPr>
      <w:r>
        <w:t xml:space="preserve">1. Parking Structure</w:t>
      </w:r>
    </w:p>
    <w:p>
      <w:pPr>
        <w:numPr>
          <w:ilvl w:val="0"/>
          <w:numId w:val="1000"/>
        </w:numPr>
      </w:pPr>
      <w:r>
        <w:t xml:space="preserve">a. On portions of the ground floor façade along public streets where parking spaces are visible, a decorative fence and landscape or a kneewall is required to screen parking spaces. Such fence or kneewall shall be a minimum of four feet in height. (Figure 12-4)</w:t>
      </w:r>
    </w:p>
    <w:p>
      <w:pPr>
        <w:pStyle w:val="Compact"/>
        <w:numPr>
          <w:ilvl w:val="0"/>
          <w:numId w:val="1978"/>
        </w:numPr>
      </w:pPr>
    </w:p>
    <w:p>
      <w:pPr>
        <w:numPr>
          <w:ilvl w:val="1"/>
          <w:numId w:val="1979"/>
        </w:numPr>
      </w:pPr>
      <w:r>
        <w:t xml:space="preserve">b. For parking structures with rooftop open-air parking, a five foot parapet wall is required for screening of parked vehicles.</w:t>
      </w:r>
    </w:p>
    <w:p>
      <w:pPr>
        <w:pStyle w:val="Compact"/>
        <w:numPr>
          <w:ilvl w:val="0"/>
          <w:numId w:val="1980"/>
        </w:numPr>
      </w:pPr>
    </w:p>
    <w:p>
      <w:pPr>
        <w:numPr>
          <w:ilvl w:val="1"/>
          <w:numId w:val="1981"/>
        </w:numPr>
      </w:pPr>
      <w:r>
        <w:t xml:space="preserve">c. Where parking structures front on public streets, façade design and screening shall mask the interior circulation ramps and create the illusion of horizontality along the street. (Figure 12-5)</w:t>
      </w:r>
    </w:p>
    <w:p>
      <w:pPr>
        <w:pStyle w:val="Compact"/>
        <w:numPr>
          <w:ilvl w:val="0"/>
          <w:numId w:val="1982"/>
        </w:numPr>
      </w:pPr>
    </w:p>
    <w:p>
      <w:pPr>
        <w:numPr>
          <w:ilvl w:val="1"/>
          <w:numId w:val="1983"/>
        </w:numPr>
      </w:pPr>
      <w:r>
        <w:t xml:space="preserve">d. Parking structures shall be designed to minimize blank facades through architectural detailing and landscaping.</w:t>
      </w:r>
    </w:p>
    <w:p>
      <w:pPr>
        <w:numPr>
          <w:ilvl w:val="0"/>
          <w:numId w:val="1984"/>
        </w:numPr>
      </w:pPr>
      <w:r>
        <w:t xml:space="preserve">2. Parking Lot</w:t>
      </w:r>
    </w:p>
    <w:p>
      <w:pPr>
        <w:numPr>
          <w:ilvl w:val="0"/>
          <w:numId w:val="1000"/>
        </w:numPr>
      </w:pPr>
      <w:r>
        <w:t xml:space="preserve">a. A parking lot shall be used solely for the temporary parking of motor vehicles and shall not be used as an off-street loading area.</w:t>
      </w:r>
    </w:p>
    <w:p>
      <w:pPr>
        <w:pStyle w:val="Compact"/>
        <w:numPr>
          <w:ilvl w:val="0"/>
          <w:numId w:val="1985"/>
        </w:numPr>
      </w:pPr>
    </w:p>
    <w:p>
      <w:pPr>
        <w:numPr>
          <w:ilvl w:val="1"/>
          <w:numId w:val="1986"/>
        </w:numPr>
      </w:pPr>
      <w:r>
        <w:t xml:space="preserve">b. Only structures for the shelter of attendants or for payment kiosks shall be permitted in a parking lot. Shelters or kiosks shall not exceed ten feet in height and 50 square feet in area.</w:t>
      </w:r>
    </w:p>
    <w:p>
      <w:pPr>
        <w:pStyle w:val="Compact"/>
        <w:numPr>
          <w:ilvl w:val="0"/>
          <w:numId w:val="1987"/>
        </w:numPr>
      </w:pPr>
    </w:p>
    <w:p>
      <w:pPr>
        <w:numPr>
          <w:ilvl w:val="1"/>
          <w:numId w:val="1988"/>
        </w:numPr>
      </w:pPr>
      <w:r>
        <w:t xml:space="preserve">c. The parking lots shall be screened and landscaped in accordance with the requirements of this Ordinance.</w:t>
      </w:r>
    </w:p>
    <w:p>
      <w:pPr>
        <w:pStyle w:val="Compact"/>
        <w:numPr>
          <w:ilvl w:val="0"/>
          <w:numId w:val="1989"/>
        </w:numPr>
      </w:pPr>
    </w:p>
    <w:p>
      <w:pPr>
        <w:numPr>
          <w:ilvl w:val="1"/>
          <w:numId w:val="1990"/>
        </w:numPr>
      </w:pPr>
      <w:r>
        <w:t xml:space="preserve">d. Principal use parking lots in residential zones shall not exceed 75% impervious surface.</w:t>
      </w:r>
    </w:p>
    <w:p>
      <w:pPr>
        <w:pStyle w:val="Compact"/>
        <w:numPr>
          <w:ilvl w:val="0"/>
          <w:numId w:val="1991"/>
        </w:numPr>
      </w:pPr>
    </w:p>
    <w:p>
      <w:pPr>
        <w:numPr>
          <w:ilvl w:val="1"/>
          <w:numId w:val="1992"/>
        </w:numPr>
      </w:pPr>
      <w:r>
        <w:t xml:space="preserve">W. Plant Agriculture</w:t>
      </w:r>
    </w:p>
    <w:p>
      <w:pPr>
        <w:numPr>
          <w:ilvl w:val="1"/>
          <w:numId w:val="1000"/>
        </w:numPr>
      </w:pPr>
      <w:r>
        <w:t xml:space="preserve">1. Plant agriculture shall be limited to the cultivation of herbs, fruits, flowers, or vegetables, including the cultivation and tillage of soil and the production, cultivation, growing, and harvesting of any agricultural, floricultural, or horticultural commodity. It may also include community-gathering spaces for active or passive recreation but playground equipment is prohibited.</w:t>
      </w:r>
    </w:p>
    <w:p>
      <w:pPr>
        <w:numPr>
          <w:ilvl w:val="0"/>
          <w:numId w:val="1993"/>
        </w:numPr>
      </w:pPr>
      <w:r>
        <w:t xml:space="preserve">2. Greenhouses, including high tunnels/hoop-houses, cold-frames, and similar structures, are permitted to extend the growing season. Accessory structures such as sheds, gazebos, and pergolas are also permitted.</w:t>
      </w:r>
    </w:p>
    <w:p>
      <w:pPr>
        <w:numPr>
          <w:ilvl w:val="0"/>
          <w:numId w:val="1994"/>
        </w:numPr>
      </w:pPr>
      <w:r>
        <w:t xml:space="preserve">3. Accessory structures and uses for the raising of chickens, fish, and bees are permitted so long as all such structures comply with the accessory structure and use provisions of Section 1302.</w:t>
      </w:r>
    </w:p>
    <w:p>
      <w:pPr>
        <w:numPr>
          <w:ilvl w:val="0"/>
          <w:numId w:val="1995"/>
        </w:numPr>
      </w:pPr>
      <w:r>
        <w:t xml:space="preserve">4. Farmstands are permitted and are limited to sales of items grown at the site, or items grown by the producer or producer cooperative that operates the site. No resale of items is permitted at farmstands.</w:t>
      </w:r>
    </w:p>
    <w:p>
      <w:pPr>
        <w:numPr>
          <w:ilvl w:val="0"/>
          <w:numId w:val="1996"/>
        </w:numPr>
      </w:pPr>
      <w:r>
        <w:t xml:space="preserve">5. Farmstands shall be removed from the premises or stored inside a structure on the premises during that time of the year when the use is not open to the public. Only one farmstand is permitted per lot.</w:t>
      </w:r>
    </w:p>
    <w:p>
      <w:pPr>
        <w:pStyle w:val="Compact"/>
        <w:numPr>
          <w:ilvl w:val="0"/>
          <w:numId w:val="1997"/>
        </w:numPr>
      </w:pPr>
    </w:p>
    <w:p>
      <w:pPr>
        <w:numPr>
          <w:ilvl w:val="1"/>
          <w:numId w:val="1998"/>
        </w:numPr>
      </w:pPr>
      <w:r>
        <w:t xml:space="preserve">X. Residential Care Facility and Rehabilitation Center</w:t>
      </w:r>
    </w:p>
    <w:p>
      <w:pPr>
        <w:numPr>
          <w:ilvl w:val="1"/>
          <w:numId w:val="1000"/>
        </w:numPr>
      </w:pPr>
      <w:r>
        <w:t xml:space="preserve">1. Residential care facilities and rehabilitation centers shall meet all federal, state, and local requirements including, but not limited to, licensing, health, safety, and building code requirements.</w:t>
      </w:r>
    </w:p>
    <w:p>
      <w:pPr>
        <w:numPr>
          <w:ilvl w:val="0"/>
          <w:numId w:val="1999"/>
        </w:numPr>
      </w:pPr>
      <w:r>
        <w:t xml:space="preserve">2. A copy of the state license shall be visible at all times.</w:t>
      </w:r>
    </w:p>
    <w:p>
      <w:pPr>
        <w:numPr>
          <w:ilvl w:val="0"/>
          <w:numId w:val="2000"/>
        </w:numPr>
      </w:pPr>
      <w:r>
        <w:t xml:space="preserve">3. When located in a non-residential district, the structure shall be designed with a lobby entrance along the primary frontage.</w:t>
      </w:r>
    </w:p>
    <w:p>
      <w:pPr>
        <w:numPr>
          <w:ilvl w:val="0"/>
          <w:numId w:val="2001"/>
        </w:numPr>
      </w:pPr>
      <w:r>
        <w:t xml:space="preserve">4. Residential care facilities and rehabilitation centers shall meet the design standards for multi-family dwellings.</w:t>
      </w:r>
    </w:p>
    <w:p>
      <w:pPr>
        <w:pStyle w:val="Compact"/>
        <w:numPr>
          <w:ilvl w:val="0"/>
          <w:numId w:val="2002"/>
        </w:numPr>
      </w:pPr>
    </w:p>
    <w:p>
      <w:pPr>
        <w:numPr>
          <w:ilvl w:val="1"/>
          <w:numId w:val="2003"/>
        </w:numPr>
      </w:pPr>
      <w:r>
        <w:t xml:space="preserve">Y. Solar Energy System (Principal Use)</w:t>
      </w:r>
    </w:p>
    <w:p>
      <w:pPr>
        <w:numPr>
          <w:ilvl w:val="0"/>
          <w:numId w:val="2004"/>
        </w:numPr>
      </w:pPr>
      <w:r>
        <w:t xml:space="preserve">1. Systems, equipment, and structures are limited to the maximum height of the district.</w:t>
      </w:r>
    </w:p>
    <w:p>
      <w:pPr>
        <w:numPr>
          <w:ilvl w:val="0"/>
          <w:numId w:val="2005"/>
        </w:numPr>
      </w:pPr>
      <w:r>
        <w:t xml:space="preserve">2. All solar energy system structures shall meet the district setbacks.</w:t>
      </w:r>
    </w:p>
    <w:p>
      <w:pPr>
        <w:numPr>
          <w:ilvl w:val="0"/>
          <w:numId w:val="2006"/>
        </w:numPr>
      </w:pPr>
      <w:r>
        <w:t xml:space="preserve">3. No grid tied photovoltaic system shall be installed until evidence has provided that the owner has been approved by the utility company to install the system.</w:t>
      </w:r>
    </w:p>
    <w:p>
      <w:pPr>
        <w:numPr>
          <w:ilvl w:val="0"/>
          <w:numId w:val="2007"/>
        </w:numPr>
      </w:pPr>
      <w:r>
        <w:t xml:space="preserve">4. The facility owner and operator shall, at their sole expense, complete decommissioning of the solar energy system within one year after the end of the useful life of the solar energy system. The solar energy system shall be deemed to be at the end of its useful life if it is abandoned for a period of time in excess of 180 days.</w:t>
      </w:r>
    </w:p>
    <w:p>
      <w:pPr>
        <w:pStyle w:val="Compact"/>
        <w:numPr>
          <w:ilvl w:val="0"/>
          <w:numId w:val="2008"/>
        </w:numPr>
      </w:pPr>
    </w:p>
    <w:p>
      <w:pPr>
        <w:numPr>
          <w:ilvl w:val="1"/>
          <w:numId w:val="2009"/>
        </w:numPr>
      </w:pPr>
      <w:r>
        <w:t xml:space="preserve">Z. Tank Farm</w:t>
      </w:r>
    </w:p>
    <w:p>
      <w:pPr>
        <w:numPr>
          <w:ilvl w:val="1"/>
          <w:numId w:val="1000"/>
        </w:numPr>
      </w:pPr>
      <w:r>
        <w:t xml:space="preserve">1. Tank Farms require administrative Development Plan Review.</w:t>
      </w:r>
    </w:p>
    <w:p>
      <w:pPr>
        <w:numPr>
          <w:ilvl w:val="0"/>
          <w:numId w:val="2010"/>
        </w:numPr>
      </w:pPr>
      <w:r>
        <w:t xml:space="preserve">2. Tank Farms shall comply with all federal, state, and local regulations. AA. Vehicle Repair/Service and Vehicle Dealership/Rental 1. All repair and service operations shall be performed within a fully enclosed building. All equipment and parts shall be stored indoors.</w:t>
      </w:r>
    </w:p>
    <w:p>
      <w:pPr>
        <w:numPr>
          <w:ilvl w:val="0"/>
          <w:numId w:val="2011"/>
        </w:numPr>
      </w:pPr>
      <w:r>
        <w:t xml:space="preserve">2. Vehicle dealership/repair/service and vehicle rental establishments shall be screened along interior side and rear lot lines with a solid wall or fence, a minimum of five feet and a maximum of seven feet in height.</w:t>
      </w:r>
    </w:p>
    <w:p>
      <w:pPr>
        <w:numPr>
          <w:ilvl w:val="0"/>
          <w:numId w:val="2012"/>
        </w:numPr>
      </w:pPr>
      <w:r>
        <w:t xml:space="preserve">3. No partially dismantled, wrecked, or unlicensed vehicle shall be stored outdoors on the premises. This standard does not apply to vehicles under repair.</w:t>
      </w:r>
    </w:p>
    <w:p>
      <w:pPr>
        <w:numPr>
          <w:ilvl w:val="0"/>
          <w:numId w:val="2013"/>
        </w:numPr>
      </w:pPr>
      <w:r>
        <w:t xml:space="preserve">4. No motor vehicles shall be stored and no repair work shall be conducted in the public right-of-way. BB. Vehicle Operation Facility 1. All repair and service operations shall be performed within a fully enclosed building with closed garage doors. CC. Wind Energy System (Principal Use)</w:t>
      </w:r>
    </w:p>
    <w:p>
      <w:pPr>
        <w:numPr>
          <w:ilvl w:val="0"/>
          <w:numId w:val="2014"/>
        </w:numPr>
      </w:pPr>
      <w:r>
        <w:t xml:space="preserve">1. The design of the wind energy system shall conform to applicable industry standards as such standards exist as of the date construction is commenced. The facility owner or operator shall submit certificates of design compliance obtained by the equipment manufacturers from Underwriters Laboratories, Det Norske Veritas, Germanishcer Lloyd Wind Energies, or similar certifying organizations.</w:t>
      </w:r>
    </w:p>
    <w:p>
      <w:pPr>
        <w:numPr>
          <w:ilvl w:val="0"/>
          <w:numId w:val="2015"/>
        </w:numPr>
      </w:pPr>
      <w:r>
        <w:t xml:space="preserve">2. All wind turbines shall be newly manufactured as of the date of installation.</w:t>
      </w:r>
    </w:p>
    <w:p>
      <w:pPr>
        <w:numPr>
          <w:ilvl w:val="0"/>
          <w:numId w:val="2016"/>
        </w:numPr>
      </w:pPr>
      <w:r>
        <w:t xml:space="preserve">3. All wind energy system shall be equipped with a redundant braking system. This includes both aerodynamic over speed controls (including variable pitch, tip, and other similar systems) and mechanical brakes. Mechanical brakes shall be operated in a fail-safe mode. Stall regulation is not considered a sufficient braking system for over speed protection.</w:t>
      </w:r>
    </w:p>
    <w:p>
      <w:pPr>
        <w:numPr>
          <w:ilvl w:val="0"/>
          <w:numId w:val="2017"/>
        </w:numPr>
      </w:pPr>
      <w:r>
        <w:t xml:space="preserve">4. All electrical components of the wind energy system shall conform to applicable local, state, and national codes, and applicable international standards.</w:t>
      </w:r>
    </w:p>
    <w:p>
      <w:pPr>
        <w:numPr>
          <w:ilvl w:val="0"/>
          <w:numId w:val="2018"/>
        </w:numPr>
      </w:pPr>
      <w:r>
        <w:t xml:space="preserve">5. An engineer's certificate shall be completed by a structural engineer, licensed in the State of Rhode Island, certifying that the tower and foundation of the wind turbines are compatible with, and are appropriate for, the particular model of wind turbine used, and that the specific soils at the site can support the wind turbine.</w:t>
      </w:r>
    </w:p>
    <w:p>
      <w:pPr>
        <w:numPr>
          <w:ilvl w:val="0"/>
          <w:numId w:val="2019"/>
        </w:numPr>
      </w:pPr>
      <w:r>
        <w:t xml:space="preserve">6. Wind turbines shall comply with the following design standards: a. Wind turbines shall be a non-obtrusive and non-reflective color. The facility owner or operator shall maintain the paint on wind turbines at all times in good repair.</w:t>
      </w:r>
    </w:p>
    <w:p>
      <w:pPr>
        <w:pStyle w:val="Compact"/>
        <w:numPr>
          <w:ilvl w:val="0"/>
          <w:numId w:val="2020"/>
        </w:numPr>
      </w:pPr>
    </w:p>
    <w:p>
      <w:pPr>
        <w:numPr>
          <w:ilvl w:val="1"/>
          <w:numId w:val="2021"/>
        </w:numPr>
      </w:pPr>
      <w:r>
        <w:t xml:space="preserve">b. Wind turbines shall not display advertising, except for reasonable identification of the turbine manufacturer, or the facility owner and operator.</w:t>
      </w:r>
    </w:p>
    <w:p>
      <w:pPr>
        <w:pStyle w:val="Compact"/>
        <w:numPr>
          <w:ilvl w:val="0"/>
          <w:numId w:val="2022"/>
        </w:numPr>
      </w:pPr>
    </w:p>
    <w:p>
      <w:pPr>
        <w:numPr>
          <w:ilvl w:val="1"/>
          <w:numId w:val="2023"/>
        </w:numPr>
      </w:pPr>
      <w:r>
        <w:t xml:space="preserve">c. Within the wind energy system, wind turbines shall be of a generally consistent size, design, and color, of similar height and rotor diameter, and rotate in the same direction.</w:t>
      </w:r>
    </w:p>
    <w:p>
      <w:pPr>
        <w:pStyle w:val="Compact"/>
        <w:numPr>
          <w:ilvl w:val="0"/>
          <w:numId w:val="2024"/>
        </w:numPr>
      </w:pPr>
    </w:p>
    <w:p>
      <w:pPr>
        <w:numPr>
          <w:ilvl w:val="1"/>
          <w:numId w:val="2025"/>
        </w:numPr>
      </w:pPr>
      <w:r>
        <w:t xml:space="preserve">d. Wind turbines shall not be artificially lit, except to the extent required by the Federal Aviation Administration or other applicable regulatory authorities.</w:t>
      </w:r>
    </w:p>
    <w:p>
      <w:pPr>
        <w:pStyle w:val="Compact"/>
        <w:numPr>
          <w:ilvl w:val="0"/>
          <w:numId w:val="2026"/>
        </w:numPr>
      </w:pPr>
    </w:p>
    <w:p>
      <w:pPr>
        <w:numPr>
          <w:ilvl w:val="1"/>
          <w:numId w:val="2027"/>
        </w:numPr>
      </w:pPr>
      <w:r>
        <w:t xml:space="preserve">e. On-site transmission and power lines between wind turbines shall, to the maximum extent practicable, be placed underground, reach the property line, and be located and constructed in such a way as to minimize disruption to the property's primary purpose as well as to facilitate the interconnection of other commercial wind power generating facilities.</w:t>
      </w:r>
    </w:p>
    <w:p>
      <w:pPr>
        <w:pStyle w:val="Compact"/>
        <w:numPr>
          <w:ilvl w:val="0"/>
          <w:numId w:val="2028"/>
        </w:numPr>
      </w:pPr>
    </w:p>
    <w:p>
      <w:pPr>
        <w:numPr>
          <w:ilvl w:val="1"/>
          <w:numId w:val="2029"/>
        </w:numPr>
      </w:pPr>
      <w:r>
        <w:t xml:space="preserve">f. Non-essential appurtenances are prohibited to be affixed to any wind turbine, including, but not limited to, cellular or radio antennae.</w:t>
      </w:r>
    </w:p>
    <w:p>
      <w:pPr>
        <w:pStyle w:val="Compact"/>
        <w:numPr>
          <w:ilvl w:val="0"/>
          <w:numId w:val="2030"/>
        </w:numPr>
      </w:pPr>
    </w:p>
    <w:p>
      <w:pPr>
        <w:numPr>
          <w:ilvl w:val="1"/>
          <w:numId w:val="2031"/>
        </w:numPr>
      </w:pPr>
      <w:r>
        <w:t xml:space="preserve">g. A clearly visible warning sign advising persons of the presence of high voltage levels shall be placed at the base of all pad-mounted transformers and substations.</w:t>
      </w:r>
    </w:p>
    <w:p>
      <w:pPr>
        <w:numPr>
          <w:ilvl w:val="0"/>
          <w:numId w:val="2032"/>
        </w:numPr>
      </w:pPr>
      <w:r>
        <w:t xml:space="preserve">7. The applicant shall commission and submit at the time of permit application a wildlife assessment (impact study), conducted by a qualified wildlife expert having no less than ten years of experience conducting wildlife assessments, indicating possible risks to local wildlife, habitat, and migratory birds. Additionally, the applicant's wildlife expert shall also develop a mitigation plan, if applicable, that addresses/mitigates any risk to wildlife, migratory birds, and affiliated habitat. All wind turbines at time of application shall be located out of bird and bat migration pathways/corridors where wind turbine construction would pose a substantial risk.</w:t>
      </w:r>
    </w:p>
    <w:p>
      <w:pPr>
        <w:numPr>
          <w:ilvl w:val="0"/>
          <w:numId w:val="2033"/>
        </w:numPr>
      </w:pPr>
      <w:r>
        <w:t xml:space="preserve">8. Wind turbines shall not be climbable up to a height of at least 15 feet above ground surface. All access doors to wind turbines and electrical equipment shall be locked or fenced, as appropriate, to prevent entry by non-authorized persons.</w:t>
      </w:r>
    </w:p>
    <w:p>
      <w:pPr>
        <w:numPr>
          <w:ilvl w:val="0"/>
          <w:numId w:val="2034"/>
        </w:numPr>
      </w:pPr>
      <w:r>
        <w:t xml:space="preserve">9. The height of a wind energy system shall be measured from grade to the highest point of a rotor blade when in its uppermost position. Allowable height shall be a function of the setbacks from nearby structures and nearby property lines. Wind turbines shall be set back from all structures on a participating property owner's property a distance of no less than the wind energy system height. The setback distance is measured from the nearest point on the outside edge of a tower to the nearest point on the foundation of the occupied building.</w:t>
      </w:r>
    </w:p>
    <w:p>
      <w:pPr>
        <w:numPr>
          <w:ilvl w:val="0"/>
          <w:numId w:val="2035"/>
        </w:numPr>
      </w:pPr>
      <w:r>
        <w:t xml:space="preserve">10. All wind turbines shall be set back from the nearest property line a distance of not less than the normal setback requirements for that zoning district or 110% of the wind energy system height, whichever is greater. The setback distance is measured from the property line to the nearest point on the outside edge of a tower. Operation and maintenance building(s) and substations shall be located in accordance with zoning district yard requirements. All wind farm structures, except for wind turbines, shall comply with the regulations of the zoning district.</w:t>
      </w:r>
    </w:p>
    <w:p>
      <w:pPr>
        <w:numPr>
          <w:ilvl w:val="0"/>
          <w:numId w:val="2036"/>
        </w:numPr>
      </w:pPr>
      <w:r>
        <w:t xml:space="preserve">11. All wind turbines shall be set back from the nearest public right-of-way a distance of 110% of the wind energy system height, as measured from the right-of-way line to the nearest point on the outside edge of a tower.</w:t>
      </w:r>
    </w:p>
    <w:p>
      <w:pPr>
        <w:numPr>
          <w:ilvl w:val="0"/>
          <w:numId w:val="2037"/>
        </w:numPr>
      </w:pPr>
      <w:r>
        <w:t xml:space="preserve">12. The facility owner or operator shall comply with all applicable codes and ordinances regulating sound generation. In the event that any sound levels from a wind turbine are found to be in excess of permissible levels, the facility owner or operator shall take necessary measures to bring sound levels down to a level acceptable.</w:t>
      </w:r>
    </w:p>
    <w:p>
      <w:pPr>
        <w:numPr>
          <w:ilvl w:val="0"/>
          <w:numId w:val="2038"/>
        </w:numPr>
      </w:pPr>
      <w:r>
        <w:t xml:space="preserve">13. Wind Turbine shadow flicker shall not exceed 30 hours per year on any window of an existing residential structure located on a parcel owned by an entity other than the parcel owner where the turbine is to be located.</w:t>
      </w:r>
    </w:p>
    <w:p>
      <w:pPr>
        <w:numPr>
          <w:ilvl w:val="0"/>
          <w:numId w:val="2039"/>
        </w:numPr>
      </w:pPr>
      <w:r>
        <w:t xml:space="preserve">14. The facility owner and operator shall, at their sole expense, complete decommissioning of the wind energy system, or individual wind turbines, within one year after the end of the useful life of the wind energy system or individual wind turbines. The wind energy system or turbine shall be deemed to be at the end of its useful life if it is abandoned for a period of time in excess of 180 days. Decommissioning includes removal of wind turbines, structures, roads and foundations to a depth of 48 inches, and any other element constructed by facility owner or operator for the purpose of maintaining or operating the wind energy system.</w:t>
      </w:r>
    </w:p>
    <w:p>
      <w:pPr>
        <w:numPr>
          <w:ilvl w:val="0"/>
          <w:numId w:val="2040"/>
        </w:numPr>
      </w:pPr>
      <w:r>
        <w:t xml:space="preserve">15. Wind Energy Systems are permitted in the I-2 Zone by special use permit, provided the parcel abuts a W-3 Zone and the Wind Energy System is not less than 1,000 feet from a Residential Zone. DD. Wireless Telecommunications 1. Purpose The following standards for wireless telecommunications antennas, facilities, and towers are intended to: a. Ensure public health, safety, and welfare.</w:t>
      </w:r>
    </w:p>
    <w:p>
      <w:pPr>
        <w:pStyle w:val="Compact"/>
        <w:numPr>
          <w:ilvl w:val="0"/>
          <w:numId w:val="2041"/>
        </w:numPr>
      </w:pPr>
    </w:p>
    <w:p>
      <w:pPr>
        <w:numPr>
          <w:ilvl w:val="1"/>
          <w:numId w:val="2042"/>
        </w:numPr>
      </w:pPr>
      <w:r>
        <w:t xml:space="preserve">b. Ensure access to reliable wireless telecommunications services throughout the City.</w:t>
      </w:r>
    </w:p>
    <w:p>
      <w:pPr>
        <w:pStyle w:val="Compact"/>
        <w:numPr>
          <w:ilvl w:val="0"/>
          <w:numId w:val="2043"/>
        </w:numPr>
      </w:pPr>
    </w:p>
    <w:p>
      <w:pPr>
        <w:numPr>
          <w:ilvl w:val="1"/>
          <w:numId w:val="2044"/>
        </w:numPr>
      </w:pPr>
      <w:r>
        <w:t xml:space="preserve">c. Encourage the location of antennas and towers on City-owned property.</w:t>
      </w:r>
    </w:p>
    <w:p>
      <w:pPr>
        <w:pStyle w:val="Compact"/>
        <w:numPr>
          <w:ilvl w:val="0"/>
          <w:numId w:val="2045"/>
        </w:numPr>
      </w:pPr>
    </w:p>
    <w:p>
      <w:pPr>
        <w:numPr>
          <w:ilvl w:val="1"/>
          <w:numId w:val="2046"/>
        </w:numPr>
      </w:pPr>
      <w:r>
        <w:t xml:space="preserve">d. Encourage the use of existing towers and other structures for the co-location of wireless telecommunications antenna.</w:t>
      </w:r>
    </w:p>
    <w:p>
      <w:pPr>
        <w:pStyle w:val="Compact"/>
        <w:numPr>
          <w:ilvl w:val="0"/>
          <w:numId w:val="2047"/>
        </w:numPr>
      </w:pPr>
    </w:p>
    <w:p>
      <w:pPr>
        <w:numPr>
          <w:ilvl w:val="1"/>
          <w:numId w:val="2048"/>
        </w:numPr>
      </w:pPr>
      <w:r>
        <w:t xml:space="preserve">e. Encourage the location of towers, to the extent possible, in areas where the adverse impact on the City shall be minimal.</w:t>
      </w:r>
    </w:p>
    <w:p>
      <w:pPr>
        <w:numPr>
          <w:ilvl w:val="0"/>
          <w:numId w:val="2049"/>
        </w:numPr>
      </w:pPr>
      <w:r>
        <w:t xml:space="preserve">2. Application Requirements In addition to the requirements for a special use, all applications to erect, construct, or modify any part of a wireless telecommunications antenna, facility, or tower shall include the following items: a. A site plan showing: i. The location, size, screening, and design of all structures, including fences.</w:t>
      </w:r>
    </w:p>
    <w:p>
      <w:pPr>
        <w:pStyle w:val="Compact"/>
        <w:numPr>
          <w:ilvl w:val="0"/>
          <w:numId w:val="2050"/>
        </w:numPr>
      </w:pPr>
    </w:p>
    <w:p>
      <w:pPr>
        <w:numPr>
          <w:ilvl w:val="1"/>
          <w:numId w:val="2051"/>
        </w:numPr>
      </w:pPr>
      <w:r>
        <w:t xml:space="preserve">ii. The location and size of all outdoor equipment.</w:t>
      </w:r>
    </w:p>
    <w:p>
      <w:pPr>
        <w:pStyle w:val="Compact"/>
        <w:numPr>
          <w:ilvl w:val="0"/>
          <w:numId w:val="2052"/>
        </w:numPr>
      </w:pPr>
    </w:p>
    <w:p>
      <w:pPr>
        <w:numPr>
          <w:ilvl w:val="1"/>
          <w:numId w:val="2053"/>
        </w:numPr>
      </w:pPr>
      <w:r>
        <w:t xml:space="preserve">iii. Elevations showing antenna height.</w:t>
      </w:r>
    </w:p>
    <w:p>
      <w:pPr>
        <w:pStyle w:val="Compact"/>
        <w:numPr>
          <w:ilvl w:val="0"/>
          <w:numId w:val="2054"/>
        </w:numPr>
      </w:pPr>
    </w:p>
    <w:p>
      <w:pPr>
        <w:numPr>
          <w:ilvl w:val="1"/>
          <w:numId w:val="2055"/>
        </w:numPr>
      </w:pPr>
      <w:r>
        <w:t xml:space="preserve">iv. A landscape plan showing all screening.</w:t>
      </w:r>
    </w:p>
    <w:p>
      <w:pPr>
        <w:pStyle w:val="Compact"/>
        <w:numPr>
          <w:ilvl w:val="0"/>
          <w:numId w:val="2056"/>
        </w:numPr>
      </w:pPr>
    </w:p>
    <w:p>
      <w:pPr>
        <w:numPr>
          <w:ilvl w:val="1"/>
          <w:numId w:val="2057"/>
        </w:numPr>
      </w:pPr>
      <w:r>
        <w:t xml:space="preserve">v. If the site plan is for a new wireless telecommunications tower, indication of the fall zone as a shaded circle.</w:t>
      </w:r>
    </w:p>
    <w:p>
      <w:pPr>
        <w:pStyle w:val="Compact"/>
        <w:numPr>
          <w:ilvl w:val="0"/>
          <w:numId w:val="2058"/>
        </w:numPr>
      </w:pPr>
    </w:p>
    <w:p>
      <w:pPr>
        <w:numPr>
          <w:ilvl w:val="1"/>
          <w:numId w:val="2059"/>
        </w:numPr>
      </w:pPr>
      <w:r>
        <w:t xml:space="preserve">b. A maintenance plan and any applicable maintenance agreement designed to ensure longterm, continuous maintenance, including maintenance of landscape, keeping the area free from debris and litter, and immediate removal of any graffiti.</w:t>
      </w:r>
    </w:p>
    <w:p>
      <w:pPr>
        <w:pStyle w:val="Compact"/>
        <w:numPr>
          <w:ilvl w:val="0"/>
          <w:numId w:val="2060"/>
        </w:numPr>
      </w:pPr>
    </w:p>
    <w:p>
      <w:pPr>
        <w:numPr>
          <w:ilvl w:val="1"/>
          <w:numId w:val="2061"/>
        </w:numPr>
      </w:pPr>
      <w:r>
        <w:t xml:space="preserve">c. A disclosure of what is proposed, demonstrating the need for the wireless telecommunications antenna, facility, or tower in the proposed location.</w:t>
      </w:r>
    </w:p>
    <w:p>
      <w:pPr>
        <w:pStyle w:val="Compact"/>
        <w:numPr>
          <w:ilvl w:val="0"/>
          <w:numId w:val="2062"/>
        </w:numPr>
      </w:pPr>
    </w:p>
    <w:p>
      <w:pPr>
        <w:numPr>
          <w:ilvl w:val="1"/>
          <w:numId w:val="2063"/>
        </w:numPr>
      </w:pPr>
      <w:r>
        <w:t xml:space="preserve">d. The reason or purpose for the placement, construction, or modification in the proposed location with specific reference to the provider’s coverage, capacity, and/or quality needs, goals, and objectives.</w:t>
      </w:r>
    </w:p>
    <w:p>
      <w:pPr>
        <w:pStyle w:val="Compact"/>
        <w:numPr>
          <w:ilvl w:val="0"/>
          <w:numId w:val="2064"/>
        </w:numPr>
      </w:pPr>
    </w:p>
    <w:p>
      <w:pPr>
        <w:numPr>
          <w:ilvl w:val="1"/>
          <w:numId w:val="2065"/>
        </w:numPr>
      </w:pPr>
      <w:r>
        <w:t xml:space="preserve">e. The service area of the proposed wireless telecommunications antenna, facility, or tower.</w:t>
      </w:r>
    </w:p>
    <w:p>
      <w:pPr>
        <w:pStyle w:val="Compact"/>
        <w:numPr>
          <w:ilvl w:val="0"/>
          <w:numId w:val="2066"/>
        </w:numPr>
      </w:pPr>
    </w:p>
    <w:p>
      <w:pPr>
        <w:numPr>
          <w:ilvl w:val="1"/>
          <w:numId w:val="2067"/>
        </w:numPr>
      </w:pPr>
      <w:r>
        <w:t xml:space="preserve">f. If the proposal is for a new telecommunications tower, then a map showing co-location opportunities within the City and within areas surrounding the borders of the City shall be provided and justification for why co-location is not feasible in order to demonstrate the need for a new tower.</w:t>
      </w:r>
    </w:p>
    <w:p>
      <w:pPr>
        <w:pStyle w:val="Compact"/>
        <w:numPr>
          <w:ilvl w:val="0"/>
          <w:numId w:val="2068"/>
        </w:numPr>
      </w:pPr>
    </w:p>
    <w:p>
      <w:pPr>
        <w:numPr>
          <w:ilvl w:val="1"/>
          <w:numId w:val="2069"/>
        </w:numPr>
      </w:pPr>
      <w:r>
        <w:t xml:space="preserve">g. Certification by a licensed and registered professional engineer regarding the manner in which the proposed structure will fail. The certification may be utilized, along with other criteria such as applicable regulations for the district in question, in determining if additional setback should be required for the structure and other facilities.</w:t>
      </w:r>
    </w:p>
    <w:p>
      <w:pPr>
        <w:numPr>
          <w:ilvl w:val="0"/>
          <w:numId w:val="2070"/>
        </w:numPr>
      </w:pPr>
      <w:r>
        <w:t xml:space="preserve">3. Setbacks All wireless telecommunications towers and facilities shall be set back from all property lines in accordance with the minimum setback requirements in the zoning district.</w:t>
      </w:r>
    </w:p>
    <w:p>
      <w:pPr>
        <w:numPr>
          <w:ilvl w:val="0"/>
          <w:numId w:val="2071"/>
        </w:numPr>
      </w:pPr>
      <w:r>
        <w:t xml:space="preserve">4. Height The maximum height of a wireless telecommunications tower is the minimum needed to function satisfactorily. The special use application for approval of a wireless telecommunications tower shall demonstrate the minimum height needed for the tower to function.</w:t>
      </w:r>
    </w:p>
    <w:p>
      <w:pPr>
        <w:numPr>
          <w:ilvl w:val="0"/>
          <w:numId w:val="2072"/>
        </w:numPr>
      </w:pPr>
      <w:r>
        <w:t xml:space="preserve">5. Lighting and Marking Wireless telecommunications antennas, towers, and facilities shall not be lit or marked unless required by the Federal Communications Commission (FCC) or the Federal Aviation Administration (FAA).</w:t>
      </w:r>
    </w:p>
    <w:p>
      <w:pPr>
        <w:numPr>
          <w:ilvl w:val="0"/>
          <w:numId w:val="2073"/>
        </w:numPr>
      </w:pPr>
      <w:r>
        <w:t xml:space="preserve">6. Specific Standards for Wireless Telecommunications Antennas Wireless telecommunications antennas are a special use in all districts, unless they are stealth design in which case they are considered a permitted use. Stealth design for wireless antennas is encouraged. All applications for wireless telecommunications antennas shall include all information required by this section. In addition to the standards of this section for wireless telecommunications antennas, stealth design shall comply with the following regulations: a. To qualify as a stealth design, wireless telecommunications antennas shall be enclosed, camouflaged, screened, obscured, or otherwise not readily apparent to a casual observer.</w:t>
      </w:r>
    </w:p>
    <w:p>
      <w:pPr>
        <w:pStyle w:val="Compact"/>
        <w:numPr>
          <w:ilvl w:val="0"/>
          <w:numId w:val="2074"/>
        </w:numPr>
      </w:pPr>
    </w:p>
    <w:p>
      <w:pPr>
        <w:numPr>
          <w:ilvl w:val="1"/>
          <w:numId w:val="2075"/>
        </w:numPr>
      </w:pPr>
      <w:r>
        <w:t xml:space="preserve">b. Wireless telecommunication antennas shall be mounted at least 40 feet above grade, as measured from grade to the base of the antenna, to qualify as stealth design, in addition to meeting the other requirements of this section.</w:t>
      </w:r>
    </w:p>
    <w:p>
      <w:pPr>
        <w:pStyle w:val="Compact"/>
        <w:numPr>
          <w:ilvl w:val="0"/>
          <w:numId w:val="2076"/>
        </w:numPr>
      </w:pPr>
    </w:p>
    <w:p>
      <w:pPr>
        <w:numPr>
          <w:ilvl w:val="1"/>
          <w:numId w:val="2077"/>
        </w:numPr>
      </w:pPr>
      <w:r>
        <w:t xml:space="preserve">c. Antennas shall be located on or in structures already permitted within zoning districts, such as water towers, clock towers, streetlights, penthouses, parapet walls, and steeples, and shall be designed to blend in with the structure. Antennas that co-locate on existing wireless telecommunications towers are also considered stealth design.</w:t>
      </w:r>
    </w:p>
    <w:p>
      <w:pPr>
        <w:pStyle w:val="Compact"/>
        <w:numPr>
          <w:ilvl w:val="0"/>
          <w:numId w:val="2078"/>
        </w:numPr>
      </w:pPr>
    </w:p>
    <w:p>
      <w:pPr>
        <w:numPr>
          <w:ilvl w:val="1"/>
          <w:numId w:val="2079"/>
        </w:numPr>
      </w:pPr>
      <w:r>
        <w:t xml:space="preserve">d. No antenna may increase the overall height of any structure on which it is mounted by more than five feet.</w:t>
      </w:r>
    </w:p>
    <w:p>
      <w:pPr>
        <w:numPr>
          <w:ilvl w:val="0"/>
          <w:numId w:val="2080"/>
        </w:numPr>
      </w:pPr>
      <w:r>
        <w:t xml:space="preserve">7. Specific Standards for Wireless Telecommunications Facilities</w:t>
      </w:r>
    </w:p>
    <w:p>
      <w:pPr>
        <w:numPr>
          <w:ilvl w:val="0"/>
          <w:numId w:val="1000"/>
        </w:numPr>
      </w:pPr>
      <w:r>
        <w:t xml:space="preserve">a. Any buildings, cabinets, or shelters may house only equipment and supplies for operation of the wireless telecommunication tower. Any equipment not used in direct support of such operation shall not be stored on the site. The facility shall be un-staffed.</w:t>
      </w:r>
    </w:p>
    <w:p>
      <w:pPr>
        <w:pStyle w:val="Compact"/>
        <w:numPr>
          <w:ilvl w:val="0"/>
          <w:numId w:val="2081"/>
        </w:numPr>
      </w:pPr>
    </w:p>
    <w:p>
      <w:pPr>
        <w:numPr>
          <w:ilvl w:val="1"/>
          <w:numId w:val="2082"/>
        </w:numPr>
      </w:pPr>
      <w:r>
        <w:t xml:space="preserve">b. Signs for the wireless telecommunications facility are limited to ownership and contact information, FCC antenna registration number (if required), and any other information required by government regulation. Commercial advertising is prohibited.</w:t>
      </w:r>
    </w:p>
    <w:p>
      <w:pPr>
        <w:numPr>
          <w:ilvl w:val="0"/>
          <w:numId w:val="2083"/>
        </w:numPr>
      </w:pPr>
      <w:r>
        <w:t xml:space="preserve">8. Specific Standards for Wireless Telecommunications Towers</w:t>
      </w:r>
    </w:p>
    <w:p>
      <w:pPr>
        <w:numPr>
          <w:ilvl w:val="0"/>
          <w:numId w:val="1000"/>
        </w:numPr>
      </w:pPr>
      <w:r>
        <w:t xml:space="preserve">a. The ability for other telecommunications providers to co-locate on a tower is required. Wireless telecommunications towers shall be designed to accommodate other telecommunications providers. The area surrounding a tower shall be of a sufficient size to accommodate accompanying wireless telecommunications facilities for other telecommunications providers.</w:t>
      </w:r>
    </w:p>
    <w:p>
      <w:pPr>
        <w:pStyle w:val="Compact"/>
        <w:numPr>
          <w:ilvl w:val="0"/>
          <w:numId w:val="2084"/>
        </w:numPr>
      </w:pPr>
    </w:p>
    <w:p>
      <w:pPr>
        <w:numPr>
          <w:ilvl w:val="1"/>
          <w:numId w:val="2085"/>
        </w:numPr>
      </w:pPr>
      <w:r>
        <w:t xml:space="preserve">b. Unless otherwise required by the Federal Communications Commission, the Federal Aviation Administration or the City, towers shall have a galvanized silver or gray finish.</w:t>
      </w:r>
    </w:p>
    <w:p>
      <w:pPr>
        <w:numPr>
          <w:ilvl w:val="0"/>
          <w:numId w:val="2086"/>
        </w:numPr>
      </w:pPr>
      <w:r>
        <w:t xml:space="preserve">9. Abandonment Any wireless telecommunications tower or facility that is not operated for a period of 180 consecutive days is considered abandoned. The owner shall immediately remove the tower or facility, and all aboveground equipment and related debris. The City may ensure and enforce removal by means of its existing regulatory authority.</w:t>
      </w:r>
    </w:p>
    <w:p>
      <w:pPr>
        <w:numPr>
          <w:ilvl w:val="0"/>
          <w:numId w:val="2087"/>
        </w:numPr>
      </w:pPr>
      <w:r>
        <w:t xml:space="preserve">10. Nonconforming Tower, Antenna, Or Facilities</w:t>
      </w:r>
    </w:p>
    <w:p>
      <w:pPr>
        <w:numPr>
          <w:ilvl w:val="0"/>
          <w:numId w:val="1000"/>
        </w:numPr>
      </w:pPr>
      <w:r>
        <w:t xml:space="preserve">a. Ordinary maintenance may be performed on nonconforming tower, antenna, or facilities. However, if the proposed alteration intensifies a nonconforming characteristic, a variance is required.</w:t>
      </w:r>
    </w:p>
    <w:p>
      <w:pPr>
        <w:pStyle w:val="Compact"/>
        <w:numPr>
          <w:ilvl w:val="0"/>
          <w:numId w:val="2088"/>
        </w:numPr>
      </w:pPr>
    </w:p>
    <w:p>
      <w:pPr>
        <w:numPr>
          <w:ilvl w:val="1"/>
          <w:numId w:val="2089"/>
        </w:numPr>
      </w:pPr>
      <w:r>
        <w:t xml:space="preserve">b. Co-location of an antenna on an existing nonconforming tower is a permitted use, provided that the addition of the antenna and any additional wireless telecommunications facilities do not intensify the nonconformity. EE. Cannabis - Hybrid Cannabis Retailer/Cannabis Cultivator 1. No more than the square footage for which the applicant is licensed shall be permitted for the use.</w:t>
      </w:r>
    </w:p>
    <w:p>
      <w:pPr>
        <w:numPr>
          <w:ilvl w:val="0"/>
          <w:numId w:val="2090"/>
        </w:numPr>
      </w:pPr>
      <w:r>
        <w:t xml:space="preserve">2. Any square footage in the property not devoted to the use must be segregated from the facility by a wall or similar structure.</w:t>
      </w:r>
    </w:p>
    <w:p>
      <w:pPr>
        <w:numPr>
          <w:ilvl w:val="0"/>
          <w:numId w:val="2091"/>
        </w:numPr>
      </w:pPr>
      <w:r>
        <w:t xml:space="preserve">3. The applicant must submit evidence of the following: a. That the applicant has taken all reasonable measures to contain noise and odors.</w:t>
      </w:r>
    </w:p>
    <w:p>
      <w:pPr>
        <w:pStyle w:val="Compact"/>
        <w:numPr>
          <w:ilvl w:val="0"/>
          <w:numId w:val="2092"/>
        </w:numPr>
      </w:pPr>
    </w:p>
    <w:p>
      <w:pPr>
        <w:numPr>
          <w:ilvl w:val="1"/>
          <w:numId w:val="2093"/>
        </w:numPr>
      </w:pPr>
      <w:r>
        <w:t xml:space="preserve">b. The security plan(s) for the property and the facility.</w:t>
      </w:r>
    </w:p>
    <w:p>
      <w:pPr>
        <w:pStyle w:val="Compact"/>
        <w:numPr>
          <w:ilvl w:val="0"/>
          <w:numId w:val="2094"/>
        </w:numPr>
      </w:pPr>
    </w:p>
    <w:p>
      <w:pPr>
        <w:numPr>
          <w:ilvl w:val="1"/>
          <w:numId w:val="2095"/>
        </w:numPr>
      </w:pPr>
      <w:r>
        <w:t xml:space="preserve">c. Staffing numbers for all hours of each day.</w:t>
      </w:r>
    </w:p>
    <w:p>
      <w:pPr>
        <w:pStyle w:val="Compact"/>
        <w:numPr>
          <w:ilvl w:val="0"/>
          <w:numId w:val="2096"/>
        </w:numPr>
      </w:pPr>
    </w:p>
    <w:p>
      <w:pPr>
        <w:numPr>
          <w:ilvl w:val="1"/>
          <w:numId w:val="2097"/>
        </w:numPr>
      </w:pPr>
      <w:r>
        <w:t xml:space="preserve">d. The number of vehicles that will access the facility on a daily or weekly basis.</w:t>
      </w:r>
    </w:p>
    <w:p>
      <w:pPr>
        <w:numPr>
          <w:ilvl w:val="0"/>
          <w:numId w:val="2098"/>
        </w:numPr>
      </w:pPr>
      <w:r>
        <w:t xml:space="preserve">4. A Hybrid Cannabis Retailer/Cannabis Cultivator may not be located within ¾ mile from the property line of another Hybrid Cannabis Retailer/Cannabis Cultivator.</w:t>
      </w:r>
    </w:p>
    <w:p>
      <w:pPr>
        <w:numPr>
          <w:ilvl w:val="0"/>
          <w:numId w:val="2099"/>
        </w:numPr>
      </w:pPr>
      <w:r>
        <w:t xml:space="preserve">5. A Hybrid Cannabis Retailer/Cannabis Cultivator may not be located within 1,000 feet from the property line of a preexisting public or private school.</w:t>
      </w:r>
    </w:p>
    <w:p>
      <w:pPr>
        <w:numPr>
          <w:ilvl w:val="0"/>
          <w:numId w:val="2100"/>
        </w:numPr>
      </w:pPr>
      <w:r>
        <w:t xml:space="preserve">6. Setbacks under this section shall be measured from the nearest property line of the Hybrid Cannabis Retailer/Cannabis Cultivator using a direct line to the nearest property line of the school or other Hybrid Cannabis Retailer/Cannabis Cultivator.</w:t>
      </w:r>
    </w:p>
    <w:p>
      <w:pPr>
        <w:numPr>
          <w:ilvl w:val="0"/>
          <w:numId w:val="2101"/>
        </w:numPr>
      </w:pPr>
      <w:r>
        <w:t xml:space="preserve">7. All Hybrid Cannabis Retailer/Cannabis Cultivators operating within the City of Providence shall be required to prominently display signage outlining city and state cannabis consumption laws, in compliance with all regulations put forth by the Rhode Island Cannabis Control Commission. This signage must be visible at all customer entry points and within all sales areas. The signage shall include, but not be limited to, the prohibition of smoking or vaporizing cannabis in public spaces such as parks, sidewalks, and other areas where smoking is prohibited, in accordance with the Rhode Island Cannabis Act, the Public Health and Workplace Safety Act, and all applicable city ordinances.</w:t>
      </w:r>
    </w:p>
    <w:p>
      <w:pPr>
        <w:numPr>
          <w:ilvl w:val="0"/>
          <w:numId w:val="2102"/>
        </w:numPr>
      </w:pPr>
      <w:r>
        <w:t xml:space="preserve">8. In addition to the notice requirements in Sections 1801 and 1901, the applicant shall simultaneously submit notice to the City Clerk of the special use permit application, and the City Clerk shall send such notice to the council person of the ward in which the facility is proposed. FF. Utility and Power Plant 1. The utility and power plant shall be enclosed by a perimeter fence up to eight feet in height, including ingress and egress.</w:t>
      </w:r>
    </w:p>
    <w:p>
      <w:pPr>
        <w:numPr>
          <w:ilvl w:val="0"/>
          <w:numId w:val="2103"/>
        </w:numPr>
      </w:pPr>
      <w:r>
        <w:t xml:space="preserve">2. Fences or walls along the front or corner side lot line of the utility and power plant shall be set back a minimum of 5 feet. Within that setback, one shrub a minimum of three feet in height shall be planted linearly every three feet on-center along such fence or wall. GG. Funeral Home 1. A funeral home shall not provide parking in excess of 135% of the required parking spaces of Table 14-1.</w:t>
      </w:r>
    </w:p>
    <w:p>
      <w:pPr>
        <w:numPr>
          <w:ilvl w:val="0"/>
          <w:numId w:val="2104"/>
        </w:numPr>
      </w:pPr>
      <w:r>
        <w:t xml:space="preserve">2. A funeral home parking lot shall be screened and landscaped in accordance with the requirements of this Ordinance. HH. Helipad/Heliport 1. The design and location of helipads and heliports shall meet all applicable requirements of the Federal Aviation Administration. II. Transitional Shelter 1. A transitional shelter shall be screened along interior side and rear lot lines with a solid wall or fence, a minimum of four feet and a maximum of six feet in height.</w:t>
      </w:r>
    </w:p>
    <w:p>
      <w:pPr>
        <w:numPr>
          <w:ilvl w:val="0"/>
          <w:numId w:val="2105"/>
        </w:numPr>
      </w:pPr>
      <w:r>
        <w:t xml:space="preserve">2. The premises of a transitional shelter, along with all adjacent streets, sidewalks, and alleys within 100 feet, shall be inspected regularly for the purpose of removing any litter or debris found thereon.</w:t>
      </w:r>
    </w:p>
    <w:p>
      <w:pPr>
        <w:numPr>
          <w:ilvl w:val="0"/>
          <w:numId w:val="2106"/>
        </w:numPr>
      </w:pPr>
      <w:r>
        <w:t xml:space="preserve">3. Transitional shelter guests shall be provided with an enclosed waiting area one hour prior to opening, except when the shelter accepts guests by appointment only or is open 24 hours per day.</w:t>
      </w:r>
    </w:p>
    <w:p>
      <w:pPr>
        <w:numPr>
          <w:ilvl w:val="0"/>
          <w:numId w:val="2107"/>
        </w:numPr>
      </w:pPr>
      <w:r>
        <w:t xml:space="preserve">4. The operator shall submit a management plan for the facility. JJ. Cannabis Retailer 1. No more than the square footage for which the applicant is licenses shall be permitted for the use.</w:t>
      </w:r>
    </w:p>
    <w:p>
      <w:pPr>
        <w:numPr>
          <w:ilvl w:val="0"/>
          <w:numId w:val="2108"/>
        </w:numPr>
      </w:pPr>
      <w:r>
        <w:t xml:space="preserve">2. Any square footage in the property not devoted to the use must be segregated from the facility by a wall or similar structure.</w:t>
      </w:r>
    </w:p>
    <w:p>
      <w:pPr>
        <w:numPr>
          <w:ilvl w:val="0"/>
          <w:numId w:val="2109"/>
        </w:numPr>
      </w:pPr>
      <w:r>
        <w:t xml:space="preserve">3. The applicant must submit evidence of the following:</w:t>
      </w:r>
    </w:p>
    <w:p>
      <w:pPr>
        <w:pStyle w:val="Compact"/>
        <w:numPr>
          <w:ilvl w:val="0"/>
          <w:numId w:val="2110"/>
        </w:numPr>
      </w:pPr>
    </w:p>
    <w:p>
      <w:pPr>
        <w:numPr>
          <w:ilvl w:val="1"/>
          <w:numId w:val="2111"/>
        </w:numPr>
      </w:pPr>
      <w:r>
        <w:t xml:space="preserve">a. That the applicant has taken all reasonable measures to contain noise and odors.</w:t>
      </w:r>
    </w:p>
    <w:p>
      <w:pPr>
        <w:pStyle w:val="Compact"/>
        <w:numPr>
          <w:ilvl w:val="0"/>
          <w:numId w:val="2112"/>
        </w:numPr>
      </w:pPr>
    </w:p>
    <w:p>
      <w:pPr>
        <w:numPr>
          <w:ilvl w:val="1"/>
          <w:numId w:val="2113"/>
        </w:numPr>
      </w:pPr>
      <w:r>
        <w:t xml:space="preserve">b. The security plan(s) for the property and the facility.</w:t>
      </w:r>
    </w:p>
    <w:p>
      <w:pPr>
        <w:pStyle w:val="Compact"/>
        <w:numPr>
          <w:ilvl w:val="0"/>
          <w:numId w:val="2114"/>
        </w:numPr>
      </w:pPr>
    </w:p>
    <w:p>
      <w:pPr>
        <w:numPr>
          <w:ilvl w:val="1"/>
          <w:numId w:val="2115"/>
        </w:numPr>
      </w:pPr>
      <w:r>
        <w:t xml:space="preserve">c. Staffing numbers for all hours of each day.</w:t>
      </w:r>
    </w:p>
    <w:p>
      <w:pPr>
        <w:numPr>
          <w:ilvl w:val="0"/>
          <w:numId w:val="2116"/>
        </w:numPr>
      </w:pPr>
      <w:r>
        <w:t xml:space="preserve">4. A Cannabis Retailer may not be located within 500 feet from the property line of a preexisting public or private school, other Cannabis Retailer.</w:t>
      </w:r>
    </w:p>
    <w:p>
      <w:pPr>
        <w:numPr>
          <w:ilvl w:val="0"/>
          <w:numId w:val="2117"/>
        </w:numPr>
      </w:pPr>
      <w:r>
        <w:t xml:space="preserve">5. Setbacks under this section shall be measured from the nearest property line of the Cannabis Retailer using a direct line to the nearest property line of the school, or other Cannabis Retailer.</w:t>
      </w:r>
    </w:p>
    <w:p>
      <w:pPr>
        <w:numPr>
          <w:ilvl w:val="0"/>
          <w:numId w:val="2118"/>
        </w:numPr>
      </w:pPr>
      <w:r>
        <w:t xml:space="preserve">6. All Cannabis Retailers operating within the City of Providence shall be required to prominently display signage outlining city and state cannabis consumption laws, in compliance with all regulation put forth by the Rhode Island Cannabis Control Commission. This signage must be visible at all customer entry points and within all sales areas. The signage shall include, but not be limited to, the prohibition of smoking or vaporizing cannabis in public spaces such as parks, sidewalks, and other areas where smoking is prohibited, in accordance with the Rhode Island Cannabis Act, the Public Health and Workplace Safety Act, and all applicable city ordinances.</w:t>
      </w:r>
    </w:p>
    <w:p>
      <w:pPr>
        <w:numPr>
          <w:ilvl w:val="0"/>
          <w:numId w:val="2119"/>
        </w:numPr>
      </w:pPr>
      <w:r>
        <w:t xml:space="preserve">7. In addition to the notice requirements in Sections 1801 and 1901, the applicant shall simultaneously submit notice to the City Clerk of the special use permit application, and the City Clerk shall send such notice to the council person of the ward in which the facility is proposed. KK. Cannabis - Social Equity/Workers’ Cooperative Licensed Cannabis Retailer 1. Any square footage in the property not devoted to the use must be segregated from the facility by a wall or similar structure.</w:t>
      </w:r>
    </w:p>
    <w:p>
      <w:pPr>
        <w:numPr>
          <w:ilvl w:val="0"/>
          <w:numId w:val="2120"/>
        </w:numPr>
      </w:pPr>
      <w:r>
        <w:t xml:space="preserve">2. The applicant must submit evidence of the following: a. That the applicant has taken all reasonable measures to contain noise and odors.</w:t>
      </w:r>
    </w:p>
    <w:p>
      <w:pPr>
        <w:pStyle w:val="Compact"/>
        <w:numPr>
          <w:ilvl w:val="0"/>
          <w:numId w:val="2121"/>
        </w:numPr>
      </w:pPr>
    </w:p>
    <w:p>
      <w:pPr>
        <w:numPr>
          <w:ilvl w:val="1"/>
          <w:numId w:val="2122"/>
        </w:numPr>
      </w:pPr>
      <w:r>
        <w:t xml:space="preserve">b. The security plan(s) for the property and the facility.</w:t>
      </w:r>
    </w:p>
    <w:p>
      <w:pPr>
        <w:pStyle w:val="Compact"/>
        <w:numPr>
          <w:ilvl w:val="0"/>
          <w:numId w:val="2123"/>
        </w:numPr>
      </w:pPr>
    </w:p>
    <w:p>
      <w:pPr>
        <w:numPr>
          <w:ilvl w:val="1"/>
          <w:numId w:val="2124"/>
        </w:numPr>
      </w:pPr>
      <w:r>
        <w:t xml:space="preserve">c. Staffing numbers for all hours of each day.</w:t>
      </w:r>
    </w:p>
    <w:p>
      <w:pPr>
        <w:numPr>
          <w:ilvl w:val="0"/>
          <w:numId w:val="2125"/>
        </w:numPr>
      </w:pPr>
      <w:r>
        <w:t xml:space="preserve">3. A Social Equity/Workers’ Collaborative Licensed Cannabis Retailer may not be located within 500 feet from the property line of a preexisting public or private school.</w:t>
      </w:r>
    </w:p>
    <w:p>
      <w:pPr>
        <w:numPr>
          <w:ilvl w:val="0"/>
          <w:numId w:val="2126"/>
        </w:numPr>
      </w:pPr>
      <w:r>
        <w:t xml:space="preserve">4. Setbacks under this section shall be measured from the nearest property line of the Cannabis Retailer using a direct line to the nearest property line of the school, other Cannabis Retailer.</w:t>
      </w:r>
    </w:p>
    <w:p>
      <w:pPr>
        <w:numPr>
          <w:ilvl w:val="0"/>
          <w:numId w:val="2127"/>
        </w:numPr>
      </w:pPr>
      <w:r>
        <w:t xml:space="preserve">5. All Social Equity/Workers’ Collaborative Licensed Cannabis Retailers operating within the City of Providence shall be required to prominently display signage outlining city and state cannabis consumption laws, in compliance with all regulation put forth by the Rhode Island Cannabis Control Commission. This signage must be visible at all customer entry points and within all sales areas. The signage shall include, but not be limited to, the prohibition of smoking or vaporizing cannabis in public spaces such as parks, sidewalks, and other areas where smoking is prohibited, in accordance with the Rhode Island Cannabis Act, the Public Health and Workplace Safety Act, and all applicable city ordinances.</w:t>
      </w:r>
    </w:p>
    <w:p>
      <w:pPr>
        <w:numPr>
          <w:ilvl w:val="0"/>
          <w:numId w:val="2128"/>
        </w:numPr>
      </w:pPr>
      <w:r>
        <w:t xml:space="preserve">6. In addition to the notice requirements in Sections 1801 and 1901, the applicant shall simultaneously submit notice to the City Clerk of the special use permit application, and the City Clerk shall send such notice to the council person of the ward in which the facility is proposed.</w:t>
      </w:r>
    </w:p>
    <w:bookmarkEnd w:id="91"/>
    <w:bookmarkStart w:id="92" w:name="temporary-use-standards"/>
    <w:p>
      <w:pPr>
        <w:pStyle w:val="Heading2"/>
      </w:pPr>
      <w:r>
        <w:t xml:space="preserve">§ 1203. TEMPORARY USE STANDARDS</w:t>
      </w:r>
    </w:p>
    <w:p>
      <w:pPr>
        <w:pStyle w:val="FirstParagraph"/>
      </w:pPr>
      <w:r>
        <w:t xml:space="preserve">1203 TEMPORARY USE STANDARDS Temporary uses are required to comply with the use standards of this section, in addition to all other regulations of this Ordinance. These regulations are for temporary uses located on private property. Unless otherwise indicated, all temporary uses require a temporary use permit, which shall be applied for by and issued to the property owner.</w:t>
      </w:r>
    </w:p>
    <w:p>
      <w:pPr>
        <w:numPr>
          <w:ilvl w:val="0"/>
          <w:numId w:val="2129"/>
        </w:numPr>
      </w:pPr>
      <w:r>
        <w:t xml:space="preserve">A. Farmers Market The timeframe of a farmers market, including number of days per week and overall duration of the event, shall be determined and approved as part of the temporary use permit.</w:t>
      </w:r>
    </w:p>
    <w:p>
      <w:pPr>
        <w:numPr>
          <w:ilvl w:val="0"/>
          <w:numId w:val="2130"/>
        </w:numPr>
      </w:pPr>
      <w:r>
        <w:t xml:space="preserve">B. Temporary Contractor’s Office</w:t>
      </w:r>
    </w:p>
    <w:p>
      <w:pPr>
        <w:numPr>
          <w:ilvl w:val="0"/>
          <w:numId w:val="1000"/>
        </w:numPr>
      </w:pPr>
      <w:r>
        <w:t xml:space="preserve">1. A temporary contractor’s office is allowed incidental and necessary to a construction project.</w:t>
      </w:r>
    </w:p>
    <w:p>
      <w:pPr>
        <w:numPr>
          <w:ilvl w:val="0"/>
          <w:numId w:val="2131"/>
        </w:numPr>
      </w:pPr>
      <w:r>
        <w:t xml:space="preserve">2. The temporary use permit is valid for the duration of the building permit, including any extensions.</w:t>
      </w:r>
    </w:p>
    <w:p>
      <w:pPr>
        <w:numPr>
          <w:ilvl w:val="0"/>
          <w:numId w:val="2132"/>
        </w:numPr>
      </w:pPr>
      <w:r>
        <w:t xml:space="preserve">3. The temporary contractor’s office shall be removed within 30 days of completion of the construction project.</w:t>
      </w:r>
    </w:p>
    <w:p>
      <w:pPr>
        <w:pStyle w:val="Compact"/>
        <w:numPr>
          <w:ilvl w:val="0"/>
          <w:numId w:val="2133"/>
        </w:numPr>
      </w:pPr>
    </w:p>
    <w:p>
      <w:pPr>
        <w:numPr>
          <w:ilvl w:val="1"/>
          <w:numId w:val="2134"/>
        </w:numPr>
      </w:pPr>
      <w:r>
        <w:t xml:space="preserve">C. Temporary Mobile Food Sales</w:t>
      </w:r>
    </w:p>
    <w:p>
      <w:pPr>
        <w:numPr>
          <w:ilvl w:val="1"/>
          <w:numId w:val="1000"/>
        </w:numPr>
      </w:pPr>
      <w:r>
        <w:t xml:space="preserve">1. The timeframe of a temporary mobile food sales use shall be one year and approved as part of the temporary use permit.</w:t>
      </w:r>
    </w:p>
    <w:p>
      <w:pPr>
        <w:numPr>
          <w:ilvl w:val="0"/>
          <w:numId w:val="2135"/>
        </w:numPr>
      </w:pPr>
      <w:r>
        <w:t xml:space="preserve">2. The temporary use permit shall be evaluated on the basis of the adequacy of the parcel size, parking provisions, traffic access, and the absence of undue adverse impact, including noise, on other properties.</w:t>
      </w:r>
    </w:p>
    <w:p>
      <w:pPr>
        <w:numPr>
          <w:ilvl w:val="0"/>
          <w:numId w:val="2136"/>
        </w:numPr>
      </w:pPr>
      <w:r>
        <w:t xml:space="preserve">3. All mobile food establishments operating on the property shall be properly licensed by the Health Department, and/or the Department of Business Regulation, and/or Board of Licenses.</w:t>
      </w:r>
    </w:p>
    <w:p>
      <w:pPr>
        <w:numPr>
          <w:ilvl w:val="0"/>
          <w:numId w:val="2137"/>
        </w:numPr>
      </w:pPr>
      <w:r>
        <w:t xml:space="preserve">4. Sale of alcohol is prohibited in all zoning districts with the exception of the Downcity Overlay District.</w:t>
      </w:r>
    </w:p>
    <w:p>
      <w:pPr>
        <w:numPr>
          <w:ilvl w:val="0"/>
          <w:numId w:val="2138"/>
        </w:numPr>
      </w:pPr>
      <w:r>
        <w:t xml:space="preserve">5. All temporary mobile food sales establishments shall cease operation by 10 p.m.</w:t>
      </w:r>
    </w:p>
    <w:p>
      <w:pPr>
        <w:numPr>
          <w:ilvl w:val="0"/>
          <w:numId w:val="2139"/>
        </w:numPr>
      </w:pPr>
      <w:r>
        <w:t xml:space="preserve">6. During business hours, a trash receptacle shall be provided for customer use and the area shall be kept clear of litter and debris at all times.</w:t>
      </w:r>
    </w:p>
    <w:p>
      <w:pPr>
        <w:numPr>
          <w:ilvl w:val="0"/>
          <w:numId w:val="2140"/>
        </w:numPr>
      </w:pPr>
      <w:r>
        <w:t xml:space="preserve">7. Additional outdoor seating may be provided by the mobile food sales operator on the site, but no seating may be permanently installed.</w:t>
      </w:r>
    </w:p>
    <w:p>
      <w:pPr>
        <w:numPr>
          <w:ilvl w:val="0"/>
          <w:numId w:val="2141"/>
        </w:numPr>
      </w:pPr>
      <w:r>
        <w:t xml:space="preserve">8. A permanent water or wastewater connection is prohibited.</w:t>
      </w:r>
    </w:p>
    <w:p>
      <w:pPr>
        <w:numPr>
          <w:ilvl w:val="0"/>
          <w:numId w:val="2142"/>
        </w:numPr>
      </w:pPr>
      <w:r>
        <w:t xml:space="preserve">9. Electrical service may be provided only by temporary service or other connection provided by an electric utility, or an on-board generator.</w:t>
      </w:r>
    </w:p>
    <w:p>
      <w:pPr>
        <w:numPr>
          <w:ilvl w:val="0"/>
          <w:numId w:val="2143"/>
        </w:numPr>
      </w:pPr>
      <w:r>
        <w:t xml:space="preserve">10. Drive-through service is prohibited.</w:t>
      </w:r>
    </w:p>
    <w:p>
      <w:pPr>
        <w:numPr>
          <w:ilvl w:val="0"/>
          <w:numId w:val="2144"/>
        </w:numPr>
      </w:pPr>
      <w:r>
        <w:t xml:space="preserve">11. A mobile food establishment is limited to signs attached to the exterior of the truck or trailer that shall be mounted flat against the truck or trailer with a maximum projection of six inches, and one A-frame sign. The A-frame sign is subject to the standards for such sign in Article 16.</w:t>
      </w:r>
    </w:p>
    <w:p>
      <w:pPr>
        <w:numPr>
          <w:ilvl w:val="0"/>
          <w:numId w:val="2145"/>
        </w:numPr>
      </w:pPr>
      <w:r>
        <w:t xml:space="preserve">12. No seating or trash receptacle is permitted to block the public right-of-way.</w:t>
      </w:r>
    </w:p>
    <w:p>
      <w:pPr>
        <w:numPr>
          <w:ilvl w:val="0"/>
          <w:numId w:val="2146"/>
        </w:numPr>
      </w:pPr>
      <w:r>
        <w:t xml:space="preserve">13. Incidental Entertainment is permitted during hours of operation.</w:t>
      </w:r>
    </w:p>
    <w:p>
      <w:pPr>
        <w:pStyle w:val="Compact"/>
        <w:numPr>
          <w:ilvl w:val="0"/>
          <w:numId w:val="2147"/>
        </w:numPr>
      </w:pPr>
    </w:p>
    <w:p>
      <w:pPr>
        <w:numPr>
          <w:ilvl w:val="1"/>
          <w:numId w:val="2148"/>
        </w:numPr>
      </w:pPr>
      <w:r>
        <w:t xml:space="preserve">D. Temporary Entertainment</w:t>
      </w:r>
    </w:p>
    <w:p>
      <w:pPr>
        <w:numPr>
          <w:ilvl w:val="1"/>
          <w:numId w:val="1000"/>
        </w:numPr>
      </w:pPr>
      <w:r>
        <w:t xml:space="preserve">1. Temporary Entertainment shall not require a temporary use permit. Temporary Entertainment events are limited to nine events per calendar year and a maximum duration of three days per event, with a minimum of 30 days between events.</w:t>
      </w:r>
    </w:p>
    <w:p>
      <w:pPr>
        <w:numPr>
          <w:ilvl w:val="0"/>
          <w:numId w:val="2149"/>
        </w:numPr>
      </w:pPr>
      <w:r>
        <w:t xml:space="preserve">2. Any temporary structures shall be removed within five days of the conclusion of the event.</w:t>
      </w:r>
    </w:p>
    <w:p>
      <w:pPr>
        <w:numPr>
          <w:ilvl w:val="0"/>
          <w:numId w:val="2150"/>
        </w:numPr>
      </w:pPr>
      <w:r>
        <w:t xml:space="preserve">3. Temporary Entertainment shall be located on private property unless an encroachment permit is approved to allow outdoor entertainment in the public right-of-way.</w:t>
      </w:r>
    </w:p>
    <w:p>
      <w:pPr>
        <w:pStyle w:val="Compact"/>
        <w:numPr>
          <w:ilvl w:val="0"/>
          <w:numId w:val="2151"/>
        </w:numPr>
      </w:pPr>
    </w:p>
    <w:p>
      <w:pPr>
        <w:numPr>
          <w:ilvl w:val="1"/>
          <w:numId w:val="2152"/>
        </w:numPr>
      </w:pPr>
      <w:r>
        <w:t xml:space="preserve">E. Temporary Outdoor Sales</w:t>
      </w:r>
    </w:p>
    <w:p>
      <w:pPr>
        <w:numPr>
          <w:ilvl w:val="1"/>
          <w:numId w:val="1000"/>
        </w:numPr>
      </w:pPr>
      <w:r>
        <w:t xml:space="preserve">1. The timeframe for outdoor sales, including number of days per week, hours of operation, and overall duration of the sale, shall be determined and approved as part of the temporary use permit.</w:t>
      </w:r>
    </w:p>
    <w:p>
      <w:pPr>
        <w:numPr>
          <w:ilvl w:val="0"/>
          <w:numId w:val="2153"/>
        </w:numPr>
      </w:pPr>
      <w:r>
        <w:t xml:space="preserve">2. The temporary use permit shall be evaluated on the basis of the adequacy of the parcel size, parking provisions, traffic access, and the absence of undue adverse impact, including noise, on other properties.</w:t>
      </w:r>
    </w:p>
    <w:p>
      <w:pPr>
        <w:numPr>
          <w:ilvl w:val="0"/>
          <w:numId w:val="2154"/>
        </w:numPr>
      </w:pPr>
      <w:r>
        <w:t xml:space="preserve">3. Outdoor sales shall not interfere with any pedestrian access or parking spaces and aisles.</w:t>
      </w:r>
    </w:p>
    <w:p>
      <w:pPr>
        <w:numPr>
          <w:ilvl w:val="0"/>
          <w:numId w:val="2155"/>
        </w:numPr>
      </w:pPr>
      <w:r>
        <w:t xml:space="preserve">4. Outdoor sales shall be located on private property unless an encroachment permit is approved to allow outdoor sales in the public right-of-way.</w:t>
      </w:r>
    </w:p>
    <w:p>
      <w:pPr>
        <w:pStyle w:val="Compact"/>
        <w:numPr>
          <w:ilvl w:val="0"/>
          <w:numId w:val="2156"/>
        </w:numPr>
      </w:pPr>
    </w:p>
    <w:p>
      <w:pPr>
        <w:numPr>
          <w:ilvl w:val="1"/>
          <w:numId w:val="2157"/>
        </w:numPr>
      </w:pPr>
      <w:r>
        <w:t xml:space="preserve">F. Temporary Outdoor Storage Container</w:t>
      </w:r>
    </w:p>
    <w:p>
      <w:pPr>
        <w:numPr>
          <w:ilvl w:val="1"/>
          <w:numId w:val="1000"/>
        </w:numPr>
      </w:pPr>
      <w:r>
        <w:t xml:space="preserve">1. Temporary storage containers are permitted in any zoning district when used for loading or unloading. Containers are permitted on site for a period not to exceed 72 hours with no temporary use permit. If a longer time period is required, a temporary use permit is required.</w:t>
      </w:r>
    </w:p>
    <w:p>
      <w:pPr>
        <w:numPr>
          <w:ilvl w:val="0"/>
          <w:numId w:val="2158"/>
        </w:numPr>
      </w:pPr>
      <w:r>
        <w:t xml:space="preserve">2. Temporary storage containers shall not be used for permanent storage. They shall not serve as a substitute for permanent storage needs on the site on which they are located. Containers shall not be permanently attached to the ground, serviced with permanent utilities, or stacked on the site.</w:t>
      </w:r>
    </w:p>
    <w:p>
      <w:pPr>
        <w:pStyle w:val="Compact"/>
        <w:numPr>
          <w:ilvl w:val="0"/>
          <w:numId w:val="2159"/>
        </w:numPr>
      </w:pPr>
    </w:p>
    <w:p>
      <w:pPr>
        <w:numPr>
          <w:ilvl w:val="1"/>
          <w:numId w:val="2160"/>
        </w:numPr>
      </w:pPr>
      <w:r>
        <w:t xml:space="preserve">G. Temporary Parking Lot (Principal Use)</w:t>
      </w:r>
    </w:p>
    <w:p>
      <w:pPr>
        <w:numPr>
          <w:ilvl w:val="0"/>
          <w:numId w:val="2161"/>
        </w:numPr>
      </w:pPr>
      <w:r>
        <w:t xml:space="preserve">1. Temporary Parking Lot (Principal Use) shall be permitted under the following conditions: a. A temporary parking lot shall be permitted when parking spaces on another site are displaced due to a construction project and there is a need to relocate those spaces temporarily during the duration of the construction project.</w:t>
      </w:r>
    </w:p>
    <w:p>
      <w:pPr>
        <w:pStyle w:val="Compact"/>
        <w:numPr>
          <w:ilvl w:val="0"/>
          <w:numId w:val="2162"/>
        </w:numPr>
      </w:pPr>
    </w:p>
    <w:p>
      <w:pPr>
        <w:numPr>
          <w:ilvl w:val="1"/>
          <w:numId w:val="2163"/>
        </w:numPr>
      </w:pPr>
      <w:r>
        <w:t xml:space="preserve">b. The temporary parking lot shall be permitted by temporary use permit for a period not to exceed one year. The temporary use permit shall be issued no earlier than the building permit for said construction project. The temporary use permit may be renewed annually. No temporary parking lot may be permitted for a period of more than three years, or beyond the issuance of a certificate of occupancy of said construction project, whichever is shorter.</w:t>
      </w:r>
    </w:p>
    <w:p>
      <w:pPr>
        <w:pStyle w:val="Compact"/>
        <w:numPr>
          <w:ilvl w:val="0"/>
          <w:numId w:val="2164"/>
        </w:numPr>
      </w:pPr>
    </w:p>
    <w:p>
      <w:pPr>
        <w:numPr>
          <w:ilvl w:val="1"/>
          <w:numId w:val="2165"/>
        </w:numPr>
      </w:pPr>
      <w:r>
        <w:t xml:space="preserve">c. In the D-1 zone, no demolition shall be permitted to accommodate a temporary parking lot.</w:t>
      </w:r>
    </w:p>
    <w:p>
      <w:pPr>
        <w:pStyle w:val="Compact"/>
        <w:numPr>
          <w:ilvl w:val="0"/>
          <w:numId w:val="2166"/>
        </w:numPr>
      </w:pPr>
    </w:p>
    <w:p>
      <w:pPr>
        <w:numPr>
          <w:ilvl w:val="1"/>
          <w:numId w:val="2167"/>
        </w:numPr>
      </w:pPr>
      <w:r>
        <w:t xml:space="preserve">d. The temporary parking lot shall be surfaced with a durable all-weather material that meets the standards promulgated by the Department of Public Works.</w:t>
      </w:r>
    </w:p>
    <w:p>
      <w:pPr>
        <w:pStyle w:val="Compact"/>
        <w:numPr>
          <w:ilvl w:val="0"/>
          <w:numId w:val="2168"/>
        </w:numPr>
      </w:pPr>
    </w:p>
    <w:p>
      <w:pPr>
        <w:numPr>
          <w:ilvl w:val="1"/>
          <w:numId w:val="2169"/>
        </w:numPr>
      </w:pPr>
      <w:r>
        <w:t xml:space="preserve">e. Parking shall be permitted on existing areas of impervious surface without the necessity to comply with tree and landscaping regulations of this Ordinance. New areas of impervious surface shall require compliance with applicable landscaping and stormwater regulations.</w:t>
      </w:r>
    </w:p>
    <w:p>
      <w:pPr>
        <w:pStyle w:val="Compact"/>
        <w:numPr>
          <w:ilvl w:val="0"/>
          <w:numId w:val="2170"/>
        </w:numPr>
      </w:pPr>
    </w:p>
    <w:p>
      <w:pPr>
        <w:numPr>
          <w:ilvl w:val="1"/>
          <w:numId w:val="2171"/>
        </w:numPr>
      </w:pPr>
      <w:r>
        <w:t xml:space="preserve">f. The temporary parking lot may also be used for temporary staging of construction materials and equipment supporting said construction project. The area devoted to the staging of construction materials and equipment shall be less than 50% of the area of the temporary parking lot.</w:t>
      </w:r>
    </w:p>
    <w:bookmarkEnd w:id="92"/>
    <w:bookmarkStart w:id="93" w:name="use-definitions"/>
    <w:p>
      <w:pPr>
        <w:pStyle w:val="Heading2"/>
      </w:pPr>
      <w:r>
        <w:t xml:space="preserve">§ 1204. USE DEFINITIONS</w:t>
      </w:r>
    </w:p>
    <w:p>
      <w:pPr>
        <w:pStyle w:val="FirstParagraph"/>
      </w:pPr>
      <w:r>
        <w:t xml:space="preserve">1204 USE DEFINITIONS All uses within Section 1200 and Table 12-1 are defined in this section. Certain uses are defined to be inclusive of many uses. When a use meets a specific definition, it is regulated as such and is not regulated as part of a more inclusive use category.</w:t>
      </w:r>
    </w:p>
    <w:p>
      <w:pPr>
        <w:pStyle w:val="BodyText"/>
      </w:pPr>
      <w:r>
        <w:t xml:space="preserve">Adult Use. A business that sells or disseminates explicit sexual material, and at which access to the public display of explicit sexual material is restricted to persons 18 years of age or older. An adult bookstore, adult cabaret, or adult motion picture theater are considered adult uses and are defined as follows: 1. Adult Bookstore/Retail. A business which offers for sale or rent any of the following: publications, books, magazines, periodicals, photographs, films, motion pictures, video cassettes, DVD, or other video reproductions, or other visual representations that depict or describe specified sexual activities or specified anatomical areas, or instruments, devices, or paraphernalia that are designed for use in connection with specified sexual activities. 2. Adult Arcade. A business where, for any form of consideration, one or more still or motion picture projectors, slide projectors or similar machines are used to show films, motion pictures, video cassettes, DVD, slides, computer generated graphics, or other photographic reproductions which are characterized by an emphasis upon the depiction or description of specified sexual activities or specified anatomical areas. 3. Adult Cabaret. A business that features dancers, go-go dancers, exotic dancers or similar entertainers, or live entertainment, in which persons regularly appear in a state of nudity, or where live performances are characterized by the exposure of specified anatomical areas or by specified sexual activities. Adult cabaret establishments specifically exclude minors, or minors are specifically prohibited by statute or ordinance, regardless of whether any such business is licensed to sell alcoholic beverages. 4. Adult Motion Picture Theater. A business used for presenting motion pictures that are distinguished or characterized by an emphasis on matter depicting, describing, or relating to specified sexual activities or specified anatomical areas for observation by patrons. 5. Adult Hotel/Motel. A hotel or motel or similar business establishment that rents, leases or lets any room for less than a six hour period, or rents, leases or lets any single room more than twice in a 24 hour period.</w:t>
      </w:r>
    </w:p>
    <w:p>
      <w:pPr>
        <w:numPr>
          <w:ilvl w:val="0"/>
          <w:numId w:val="2172"/>
        </w:numPr>
      </w:pPr>
      <w:r>
        <w:t xml:space="preserve">6. The following definitions describe the sexually-oriented activities contained within the general definitions for the above adult uses: a. Sexually Oriented Devices. Any artificial or simulated specified anatomical area or other device or paraphernalia that is designed in whole or part for specified sexual activities.</w:t>
      </w:r>
    </w:p>
    <w:p>
      <w:pPr>
        <w:pStyle w:val="Compact"/>
        <w:numPr>
          <w:ilvl w:val="0"/>
          <w:numId w:val="2173"/>
        </w:numPr>
      </w:pPr>
    </w:p>
    <w:p>
      <w:pPr>
        <w:numPr>
          <w:ilvl w:val="1"/>
          <w:numId w:val="2174"/>
        </w:numPr>
      </w:pPr>
      <w:r>
        <w:t xml:space="preserve">b. Specified Anatomical Area. Less than completely and opaquely covered genitals, pubic region, buttock, and female breast below a point immediately above the top of the areola, or human male genitals in a discernible turgid state, even if completely and opaquely covered.</w:t>
      </w:r>
    </w:p>
    <w:p>
      <w:pPr>
        <w:pStyle w:val="Compact"/>
        <w:numPr>
          <w:ilvl w:val="0"/>
          <w:numId w:val="2175"/>
        </w:numPr>
      </w:pPr>
    </w:p>
    <w:p>
      <w:pPr>
        <w:numPr>
          <w:ilvl w:val="1"/>
          <w:numId w:val="2176"/>
        </w:numPr>
      </w:pPr>
      <w:r>
        <w:t xml:space="preserve">c. Specified Sexual Activities. Any activity that includes human genitals in a state of sexual stimulation or arousal; acts of human masturbation, sexual intercourse, or sodomy; or fondling or erotic touching of human genitals, pubic regions, buttocks, or female breasts, even if completely or opaquely covered.</w:t>
      </w:r>
    </w:p>
    <w:p>
      <w:pPr>
        <w:pStyle w:val="Compact"/>
        <w:numPr>
          <w:ilvl w:val="0"/>
          <w:numId w:val="2177"/>
        </w:numPr>
      </w:pPr>
    </w:p>
    <w:p>
      <w:pPr>
        <w:numPr>
          <w:ilvl w:val="1"/>
          <w:numId w:val="2178"/>
        </w:numPr>
      </w:pPr>
      <w:r>
        <w:t xml:space="preserve">Amusement/Entertainment/Sports Facility</w:t>
      </w:r>
      <w:r>
        <w:br/>
      </w:r>
      <w:r>
        <w:t xml:space="preserve">Indoor. A facility for spectator and participatory uses conducted within an enclosed building, such as movie theaters, sports arenas, bowling alleys, tumbling centers, skating centers, roller rinks, and pool halls. Indoor amusement facilities do not include live performance venues. An indoor amusement facility may include concession stands.</w:t>
      </w:r>
    </w:p>
    <w:p>
      <w:pPr>
        <w:pStyle w:val="Compact"/>
        <w:numPr>
          <w:ilvl w:val="0"/>
          <w:numId w:val="2179"/>
        </w:numPr>
      </w:pPr>
    </w:p>
    <w:p>
      <w:pPr>
        <w:numPr>
          <w:ilvl w:val="1"/>
          <w:numId w:val="2180"/>
        </w:numPr>
      </w:pPr>
      <w:r>
        <w:t xml:space="preserve">Amusement/Entertainment/Sports Facility</w:t>
      </w:r>
      <w:r>
        <w:br/>
      </w:r>
      <w:r>
        <w:t xml:space="preserve">Outdoor. A facility for spectator and participatory uses conducted outdoors or within partially enclosed structures, such as stadiums, fairgrounds, batting cages, miniature golf courses, and amusement parks. An outdoor amusement facility may include concession stands. Animal Care Facility. An establishment which provides care for domestic animals, including veterinary offices for the treatment of animals, where animals may be boarded during their convalescence, pet grooming facilities, and pet boarding facilities, where animals are boarded during the day or for overnight stays. Animal care facilities do not include breeding facilities or kennels. Art Gallery. An establishment engaged in the sale, loan and/or display of paintings, sculpture, photographs, video art, or other works of art. Art gallery does not include a cultural facility, such as a library or museum, which may also display paintings, sculpture, photographs, video art, or other works. Arts Studio. An establishment where an art, type of art or activity is taught, studied, or practiced such as dance, martial arts, photography, music, painting, gymnastics, pilates, or yoga. An arts studio also includes private exercise studios that are only open for private sessions with trainers and/or classes.</w:t>
      </w:r>
    </w:p>
    <w:p>
      <w:pPr>
        <w:pStyle w:val="Compact"/>
        <w:numPr>
          <w:ilvl w:val="0"/>
          <w:numId w:val="2181"/>
        </w:numPr>
      </w:pPr>
    </w:p>
    <w:p>
      <w:pPr>
        <w:numPr>
          <w:ilvl w:val="1"/>
          <w:numId w:val="2182"/>
        </w:numPr>
      </w:pPr>
      <w:r>
        <w:t xml:space="preserve">Automated Teller Machine (ATM)</w:t>
      </w:r>
      <w:r>
        <w:br/>
      </w:r>
      <w:r>
        <w:t xml:space="preserve">Standalone. A freestanding machine used by bank and financial service patrons for conducting transactions including deposits, fund transfers, and withdrawals without contact with financial institution personnel. Bar. An establishment for the sale of alcoholic beverages for consumption on the premises. A smoking lounge or smoking bar is included within this use, whether alcohol is served or not. Snack foods or other prepared food may be available for consumption on the premises as a permitted ancillary use. Incidental Entertainment and Incidental Entertainment – Expanded are permissible accessory uses within a bar. Bed and Breakfast. A residential dwelling that provides lodging for a daily fee in guest rooms with no in-room cooking facilities. A bed and breakfast may include dining facilities. Billboard/Outdoor Advertising. A permanent sign that directs attention to a business, commodity, service, or entertainment conducted, sold, or offered at a location other then the premises where the sign is located. Body Modification Establishment. An establishment that offers tattooing services, body piercing, and/or nonmedical body modification. Body modification establishment does not include an establishment that offers only ear piercing as an ancillary service.</w:t>
      </w:r>
    </w:p>
    <w:p>
      <w:pPr>
        <w:pStyle w:val="Compact"/>
        <w:numPr>
          <w:ilvl w:val="0"/>
          <w:numId w:val="2183"/>
        </w:numPr>
      </w:pPr>
    </w:p>
    <w:p>
      <w:pPr>
        <w:numPr>
          <w:ilvl w:val="1"/>
          <w:numId w:val="2184"/>
        </w:numPr>
      </w:pPr>
      <w:r>
        <w:t xml:space="preserve">Broadcasting Facility</w:t>
      </w:r>
      <w:r>
        <w:br/>
      </w:r>
      <w:r>
        <w:t xml:space="preserve">TV/Radio. A facility engaged in broadcasting and information relay services for radio and television signals, including studio facilities. A broadcasting facility may or may not include antennas to broadcast the signal. Cannabis Cultivator, or “marijuana cultivator.” An entity state registered/licensed to cultivate, process, and package cannabis, to deliver cannabis to cannabis establishments, and to transfer cannabis to other cannabis establishments, but not to consumers. Cannabis Establishment, or “marijuana establishment.” A cannabis cultivator, independent testing laboratory, cannabis product manufacturer, cannabis retailer, hybrid cannabis retailer, or any other type of state registered/licensed cannabis-related business.</w:t>
      </w:r>
    </w:p>
    <w:p>
      <w:pPr>
        <w:pStyle w:val="Compact"/>
        <w:numPr>
          <w:ilvl w:val="0"/>
          <w:numId w:val="2185"/>
        </w:numPr>
      </w:pPr>
    </w:p>
    <w:p>
      <w:pPr>
        <w:numPr>
          <w:ilvl w:val="1"/>
          <w:numId w:val="2186"/>
        </w:numPr>
      </w:pPr>
      <w:r>
        <w:t xml:space="preserve">Cannabis</w:t>
      </w:r>
      <w:r>
        <w:br/>
      </w:r>
      <w:r>
        <w:t xml:space="preserve">Hybrid Cannabis Retailer, or “hybrid compassion center” means a compassion center licensed by the state pursuant to chapter 28.6 of title 21 of the General Laws that is in good standing with the Department of Business Regulation and that has been authorized to sell non-medical or adult use cannabis to consumers pursuant to chapter 28.11 of title 21 of the General Laws. Cannabis Retailer, or “marijuana retailer.” An entity registered/licensed pursuant to chapter 28.11 of title 21 of the General Laws to purchase and deliver cannabis and cannabis products from cannabis establishments and to deliver, sell, or otherwise transfer cannabis and cannabis products to cannabis establishments and to consumers.</w:t>
      </w:r>
    </w:p>
    <w:p>
      <w:pPr>
        <w:pStyle w:val="Compact"/>
        <w:numPr>
          <w:ilvl w:val="0"/>
          <w:numId w:val="2187"/>
        </w:numPr>
      </w:pPr>
    </w:p>
    <w:p>
      <w:pPr>
        <w:numPr>
          <w:ilvl w:val="1"/>
          <w:numId w:val="2188"/>
        </w:numPr>
      </w:pPr>
      <w:r>
        <w:t xml:space="preserve">Cannabis</w:t>
      </w:r>
      <w:r>
        <w:br/>
      </w:r>
      <w:r>
        <w:t xml:space="preserve">Social Equity/Workers’ Cooperative Licensed Cannabis Retailer. A cannabis retailer that is a state registered and licensed Social Equity applicant or a Workers’ Collaborative as defined by and pursuant to chapter 28.11 of title 21 of the General Laws. Car Wash. An establishment for the washing and cleaning of passenger vehicles, recreational vehicles, or other light duty equipment, whether automatic, by hand, or self-service. Cemetery. Land and structures reserved for the interring of human remains or the interring of animal remains. Cemeteries may include structures for performing religious ceremonies related to the entombment of the deceased, mortuaries, including the sales of items related to the internment of remains, and related accessory structures, such as sheds for the storage of maintenance equipment. Community Center. A facility used as a place of meeting, recreation, or social activity, and not operated for profit, which is open to the public. Community center may also include ancillary day care facilities. Community Residence – Type I. A home or residential facility licensed by the state pursuant to Rhode Island General Laws Chapter 24 of Title 40.1, where six or fewer children and/or adults with developmental disabilities reside in a family setting and may or may not receive supervised care. This does not include halfway houses or substance abuse treatment facilities. Community Residence – Type II. A home or residential facility where children and/or adults reside in a family setting and may or may not receive supervised care. This does not include halfway houses or substance abuse treatment facilities. This is limited to the following:</w:t>
      </w:r>
    </w:p>
    <w:p>
      <w:pPr>
        <w:numPr>
          <w:ilvl w:val="0"/>
          <w:numId w:val="2189"/>
        </w:numPr>
      </w:pPr>
      <w:r>
        <w:t xml:space="preserve">1. A group home licensed by the state pursuant to Rhode Island General Laws Chapter 24 of Title 40.1 or Chapter 17.4 of Title 23 providing care or supervision, or both, to not more than eight persons with disabilities or who are in need of personal services, supervision, or assistance essential for sustaining the activities of daily living.</w:t>
      </w:r>
    </w:p>
    <w:p>
      <w:pPr>
        <w:numPr>
          <w:ilvl w:val="0"/>
          <w:numId w:val="2190"/>
        </w:numPr>
      </w:pPr>
      <w:r>
        <w:t xml:space="preserve">2. A residence for children providing care or supervision, or both, to not more than eight children including those of the care giver and licensed by the state pursuant to Rhode Island General Laws Chapter 72.1 of Title 42.</w:t>
      </w:r>
    </w:p>
    <w:p>
      <w:pPr>
        <w:numPr>
          <w:ilvl w:val="0"/>
          <w:numId w:val="2191"/>
        </w:numPr>
      </w:pPr>
      <w:r>
        <w:t xml:space="preserve">3. A community transitional residence providing care or assistance, or both, to no more than six unrelated persons or no more than three families, not to exceed a total of eight persons, requiring temporary financial assistance, and/or to persons who are victims of crimes, abuse, or neglect, and who are expected to reside in that residence not less than 60 days nor more than two years. Residents will have access to and use of all common areas, including eating areas and living rooms, and will receive appropriate social services for the purpose of fostering independence, self-sufficiency, and eventual transition to a permanent living situation. Conservation Area. Designated open space that preserves and protects natural features, wildlife, and critical environmental features. A conservation area may include opportunities for passive recreation and environmental education. Contractor Storage Yard. Land and/or structures used primarily for the storage of equipment, vehicles, machinery, or building materials in the conduct of any building trade or building craft and in use by the owner or occupant of the lot in the conduct of his/her building trades or building craft. Country Club. An establishment open to members, their families, and invited guests organized and operated for social and recreation purposes with indoor and/or outdoor recreation facilities, dining facilities, meeting rooms, and similar uses. Cultural Facility. A facility open to the public that provides access to cultural exhibits and activities including, but not limited to, museums, cultural centers, non-commercial galleries, historical societies, and libraries. A cultural facility may include retail sales of related items and restaurants as ancillary uses.</w:t>
      </w:r>
    </w:p>
    <w:p>
      <w:pPr>
        <w:numPr>
          <w:ilvl w:val="0"/>
          <w:numId w:val="2192"/>
        </w:numPr>
      </w:pPr>
      <w:r>
        <w:t xml:space="preserve">Day Care</w:t>
      </w:r>
      <w:r>
        <w:br/>
      </w:r>
      <w:r>
        <w:t xml:space="preserve">Day Care Center. Any other day care that is not a family day care home.</w:t>
      </w:r>
    </w:p>
    <w:p>
      <w:pPr>
        <w:numPr>
          <w:ilvl w:val="0"/>
          <w:numId w:val="2193"/>
        </w:numPr>
      </w:pPr>
      <w:r>
        <w:t xml:space="preserve">Day Care</w:t>
      </w:r>
      <w:r>
        <w:br/>
      </w:r>
      <w:r>
        <w:t xml:space="preserve">Family Day Care Home. Any home other than the individual's home in which day care in lieu of parental care or supervision is offered at the same time to no more than a total of twelve individuals receiving day care. Drive-Through Facility. That portion of a business where business is transacted with customers in such a way that allows customers to remain in their vehicle. A drive through facility is approved separately as a principal use.</w:t>
      </w:r>
    </w:p>
    <w:p>
      <w:pPr>
        <w:numPr>
          <w:ilvl w:val="0"/>
          <w:numId w:val="2194"/>
        </w:numPr>
      </w:pPr>
      <w:r>
        <w:t xml:space="preserve">Dwelling</w:t>
      </w:r>
      <w:r>
        <w:br/>
      </w:r>
      <w:r>
        <w:t xml:space="preserve">Adaptive Reuse. A residential or mixed-use structure converted from a previously commercial, institutional, or industrial building, including offices, schools, religious facilities, medical buildings, mills, and malls.</w:t>
      </w:r>
    </w:p>
    <w:p>
      <w:pPr>
        <w:numPr>
          <w:ilvl w:val="0"/>
          <w:numId w:val="2195"/>
        </w:numPr>
      </w:pPr>
      <w:r>
        <w:t xml:space="preserve">Dwelling</w:t>
      </w:r>
      <w:r>
        <w:br/>
      </w:r>
      <w:r>
        <w:t xml:space="preserve">Multi-Family. A structure or development containing four or more dwelling units used for residential occupancy or the residential component of a mixed-use building. A multi-family dwelling does not include a rowhouse dwelling.</w:t>
      </w:r>
    </w:p>
    <w:p>
      <w:pPr>
        <w:numPr>
          <w:ilvl w:val="0"/>
          <w:numId w:val="2196"/>
        </w:numPr>
      </w:pPr>
      <w:r>
        <w:t xml:space="preserve">Dwelling</w:t>
      </w:r>
      <w:r>
        <w:br/>
      </w:r>
      <w:r>
        <w:t xml:space="preserve">Rowhouse. A structure consisting of two or more dwelling units, configured in a manner such that the dwelling units are aligned horizontally and separated by a party wall, and where the dwelling units are separated by lot lines at the party wall. A rowhouse is designed so that each unit has a separate street-facing exterior entrance and direct ground level access to the front yard. A rowhouse dwelling does not include a multi-family dwelling.</w:t>
      </w:r>
    </w:p>
    <w:p>
      <w:pPr>
        <w:numPr>
          <w:ilvl w:val="0"/>
          <w:numId w:val="2197"/>
        </w:numPr>
      </w:pPr>
      <w:r>
        <w:t xml:space="preserve">Dwelling</w:t>
      </w:r>
      <w:r>
        <w:br/>
      </w:r>
      <w:r>
        <w:t xml:space="preserve">Single-Family. A structure containing only one dwelling unit on a single lot.</w:t>
      </w:r>
    </w:p>
    <w:p>
      <w:pPr>
        <w:numPr>
          <w:ilvl w:val="0"/>
          <w:numId w:val="2198"/>
        </w:numPr>
      </w:pPr>
      <w:r>
        <w:t xml:space="preserve">Dwelling</w:t>
      </w:r>
      <w:r>
        <w:br/>
      </w:r>
      <w:r>
        <w:t xml:space="preserve">Two-Family. A structure containing two dwelling units on a single lot.</w:t>
      </w:r>
    </w:p>
    <w:p>
      <w:pPr>
        <w:numPr>
          <w:ilvl w:val="0"/>
          <w:numId w:val="2199"/>
        </w:numPr>
      </w:pPr>
      <w:r>
        <w:t xml:space="preserve">Dwelling</w:t>
      </w:r>
      <w:r>
        <w:br/>
      </w:r>
      <w:r>
        <w:t xml:space="preserve">Three-Family. A structure containing three dwelling units on a single lot.</w:t>
      </w:r>
    </w:p>
    <w:p>
      <w:pPr>
        <w:numPr>
          <w:ilvl w:val="0"/>
          <w:numId w:val="2200"/>
        </w:numPr>
      </w:pPr>
      <w:r>
        <w:t xml:space="preserve">Educational Facility</w:t>
      </w:r>
      <w:r>
        <w:br/>
      </w:r>
      <w:r>
        <w:t xml:space="preserve">Primary or Secondary. A public, private, or parochial facility that offers instruction at the elementary, junior high, and/or high school levels. A day care center and/or preschool may be included as part of an Educational Facility – Primary or Secondary as an ancillary use.</w:t>
      </w:r>
    </w:p>
    <w:p>
      <w:pPr>
        <w:numPr>
          <w:ilvl w:val="0"/>
          <w:numId w:val="2201"/>
        </w:numPr>
      </w:pPr>
      <w:r>
        <w:t xml:space="preserve">Educational Facility</w:t>
      </w:r>
      <w:r>
        <w:br/>
      </w:r>
      <w:r>
        <w:t xml:space="preserve">University or College. A facility for post-secondary higher learning that grants associate or bachelor degrees. The institution may also have research facilities and/or professional schools that grant master and doctoral degrees. Educational facilities – university or college include ancillary uses such as dormitories, cafeterias, restaurants, retail sales, indoor or outdoor recreational facilities, and similar uses.</w:t>
      </w:r>
    </w:p>
    <w:p>
      <w:pPr>
        <w:numPr>
          <w:ilvl w:val="0"/>
          <w:numId w:val="2202"/>
        </w:numPr>
      </w:pPr>
      <w:r>
        <w:t xml:space="preserve">Educational Facility</w:t>
      </w:r>
      <w:r>
        <w:br/>
      </w:r>
      <w:r>
        <w:t xml:space="preserve">Vocational. A facility that offers instruction in industrial, clerical, computer, managerial, automotive, repair (electrical, plumbing, carpentry, etc.), or commercial skills, or a business conducted as a commercial enterprise, such as a school for general educational development or driving school. Educational facility vocational also applies to privately operated schools that do not offer a complete educational curriculum. Electric Vehicle Charging Station (Principal Use). A facility with battery charging station equipment where the primary purpose is the transfer of electric energy by conductive or inductive means to a battery or other energy storage device in an electric vehicle. Electric vehicle charging station also includes battery exchange stations for electric vehicles. Farmers Market. Temporary use of structures and/or land for the sale of a variety of fresh fruits, flowers, vegetables, or ornamental plants, and other locally produced farm and food products, including value-added products, directly to consumers from two or more famers or vendors that have taken such items on consignment for retail sale. Financial Institution/Bank. A bank, savings and loan, credit union, or mortgage office. Fraternity/Sorority. A structure used by a chartered fraternal or sororal membership organization or association, used as a residence and/or a dining and recreational facility for members of organizations or associations who are students at a university, which permits the organization or association to use its facilities because of the relationship of such organization or association to the body of students enrolled in such institution. Freight Terminal. A facility for freight pick-up or distribution by rail, air, truck, or shipping transport. Funeral Home. An establishment that prepares the dead for burial display and for rituals before burial or cremation, including chapels for the display of the deceased and the conducting of rituals before burial or cremation, and crematoriums. Gas Station. An establishment where fuel for vehicles is stored and dispensed from fixed equipment into the fuel tanks of motor vehicles. This may also include ancillary retail uses, an ancillary car wash facility (one stall), and solar and/or electric charging stations. Golf Course/Driving Range. A tract of land design with at least nine holes for playing a game of golf and improved with tees, greens, fairways, and hazards. A golf course may include a clubhouse, restrooms and shelters as ancillary uses. A driving range may be designed as a standalone facility or included as part of a golf course, which is defined as a tract of land equipped with distance markers, clubs, balls and tees for practicing the hitting of golf balls, and may include a snack-bar and pro-shop. Government Office. Offices owned, operated, or occupied by a governmental agency to provide a governmental service to the public. Government offices do not include public safety or public works facilities. Greenhouse/Nursery– Retail. An establishment where flowers, shrubbery, vegetables, trees, and other horticultural and floricultural products are propagated and sold, and may include gardening and landscape supplies and products such as hardware, garden tools and utensils, and paving stone and bricks. Group Quarters. A structure with two or more rooming units occupied, designed, or intended to be occupied by individuals who may share common areas and facilities, but do not form a single housekeeping unit, and do not provide compensation under a single lease for occupancy. Group quarters provide sleeping accommodations, but no in-room cooking facilities. Group quarters do not include halfway houses or community residences. Group quarters may or may not provide medical treatment or social services to occupants. Halfway House. A residential facility for adults or children who have been institutionalized for criminal conduct and who require a group setting to facilitate the transition to a functional member of society. Healthcare Institution. Facilities for primary health services and medical or surgical care to people, primarily inpatient, and including, as an integral part of the institution, related facilities such as laboratories, outpatient facilities, dormitories, or educational facilities, and ancillary uses such as cafeterias, restaurants, retail sales, and similar uses. Heavy Retail, Rental, and Service. Retail, rental, and/or service establishments of a heavier commercial character typically requiring permanent outdoor service or storage areas and/or partially enclosed structures. Examples of heavy retail, rental, and service establishments include large-scale home improvement centers with outdoor storage and display and rental components, lumberyards, truck rental establishments, and sales, rental, and repair of heavy equipment. Helipad. An area of land or portion of a structure used for the landing and take-off of helicopters with no facilities for service or permanent basing of such aircraft. Heliport. A designated landing area for discharging or picking up passengers or goods by helicopter or similar vertical lift aircraft, and includes terminal facilities for passengers, goods, aircraft servicing, or storage. Hotel/Motel. A facility that provides sleeping accommodations for a fee and customary lodging services. Related ancillary uses include, but are not limited to, meeting facilities, restaurants, bars, and recreational facilities for the use of guests.</w:t>
      </w:r>
    </w:p>
    <w:p>
      <w:pPr>
        <w:numPr>
          <w:ilvl w:val="0"/>
          <w:numId w:val="2203"/>
        </w:numPr>
      </w:pPr>
      <w:r>
        <w:t xml:space="preserve">Industrial</w:t>
      </w:r>
      <w:r>
        <w:br/>
      </w:r>
      <w:r>
        <w:t xml:space="preserve">Artisan. A manufacturing establishment for artisan-related crafts that are more intensive uses, such as small-scale metalworking, glassblowing, furniture making, pottery, leathercraft, hand-woven articles, and related items.</w:t>
      </w:r>
    </w:p>
    <w:p>
      <w:pPr>
        <w:numPr>
          <w:ilvl w:val="0"/>
          <w:numId w:val="2204"/>
        </w:numPr>
      </w:pPr>
      <w:r>
        <w:t xml:space="preserve">Industrial</w:t>
      </w:r>
      <w:r>
        <w:br/>
      </w:r>
      <w:r>
        <w:t xml:space="preserve">General. The manufacturing of products from processed or unprocessed raw materials, including processing, fabrication, assembly, treatment, and packaging of such products, and incidental storage, sales, and distribution of such products. This manufacturing may produce noise, vibrations, illumination, or particulate that is perceptible to adjacent land users but is not offensive or obnoxious. General industrial uses typically have ancillary outdoor storage areas. (See Section 1200.F for prohibited types of general industrial uses.)</w:t>
      </w:r>
    </w:p>
    <w:p>
      <w:pPr>
        <w:numPr>
          <w:ilvl w:val="0"/>
          <w:numId w:val="2205"/>
        </w:numPr>
      </w:pPr>
      <w:r>
        <w:t xml:space="preserve">Industrial</w:t>
      </w:r>
      <w:r>
        <w:br/>
      </w:r>
      <w:r>
        <w:t xml:space="preserve">Light. The manufacturing from previously prepared materials of finished products or parts, including processing, fabrication, assembly, treatment and packaging of such products, and incidental storage, sales, and distribution of such products, provided all manufacturing activities are contained entirely within a building, and noise, odor, smoke, heat, glare, and vibration resulting from the industrial activity are confined entirely within the building. A light industrial use may also include a showroom, ancillary sales of products related to the items manufactured or stored on-site, or ancillary outdoor storage. Light industrial includes metal fabrication and aquaculture/aquaponic facilities. (See Section 1200.F for prohibited types of general industrial uses.) Industrial Design. An establishment where the form, usability, physical ergonomics, marketing, brand development and sales of various products are researched and developed. An industrial design establishment may create prototypes of products, but shall not manufacture products for direct sale and distribution from the premises. Landfill. A facility for the disposal of inert, non-hazardous industrial materials that are not biodegradable, and are not economically and beneficially reusable at the time of their disposal, or for the disposal of non-hazardous household/commercial solid waste.</w:t>
      </w:r>
    </w:p>
    <w:p>
      <w:pPr>
        <w:numPr>
          <w:ilvl w:val="0"/>
          <w:numId w:val="2206"/>
        </w:numPr>
      </w:pPr>
      <w:r>
        <w:t xml:space="preserve">Live Entertainment</w:t>
      </w:r>
      <w:r>
        <w:br/>
      </w:r>
      <w:r>
        <w:t xml:space="preserve">Ancillary Use. A live performance, performed by one or more persons including, but not limited to, musical acts, theatrical plays, performance art, stand-up comedy, disc jockeys (DJs), and magic, included as part of the operation of a bar, restaurant, amusement facility, or similar use. As an ancillary use, the other principal use(s) operating on the site shall be active and open to the public while the performance is occurring and during hours when no performance is scheduled. Live Entertainment - Ancillary Use shall be approved separately as a principal use. Live Entertainment - Ancillary Use does not include:</w:t>
      </w:r>
    </w:p>
    <w:p>
      <w:pPr>
        <w:numPr>
          <w:ilvl w:val="0"/>
          <w:numId w:val="2207"/>
        </w:numPr>
      </w:pPr>
      <w:r>
        <w:t xml:space="preserve">1. Any adult use.</w:t>
      </w:r>
    </w:p>
    <w:p>
      <w:pPr>
        <w:numPr>
          <w:ilvl w:val="0"/>
          <w:numId w:val="2208"/>
        </w:numPr>
      </w:pPr>
      <w:r>
        <w:t xml:space="preserve">2. Nightclub.</w:t>
      </w:r>
    </w:p>
    <w:p>
      <w:pPr>
        <w:numPr>
          <w:ilvl w:val="0"/>
          <w:numId w:val="2209"/>
        </w:numPr>
      </w:pPr>
      <w:r>
        <w:t xml:space="preserve">3. Temporary Entertainment.</w:t>
      </w:r>
    </w:p>
    <w:p>
      <w:pPr>
        <w:numPr>
          <w:ilvl w:val="0"/>
          <w:numId w:val="2210"/>
        </w:numPr>
      </w:pPr>
      <w:r>
        <w:t xml:space="preserve">4. Incidental Entertainment.</w:t>
      </w:r>
    </w:p>
    <w:p>
      <w:pPr>
        <w:numPr>
          <w:ilvl w:val="0"/>
          <w:numId w:val="2211"/>
        </w:numPr>
      </w:pPr>
      <w:r>
        <w:t xml:space="preserve">5. Incidental Entertainment - Expanded Live Performance Venue.</w:t>
      </w:r>
      <w:r>
        <w:br/>
      </w:r>
      <w:r>
        <w:t xml:space="preserve">A facility for the presentation of live entertainment, including musical acts, theatrical plays, stand-up comedy, and similar performances. Performances are scheduled in advance and tickets are required for admission and shall be available for purchase in advance, though tickets may be purchased at the venue’s box office on the day of the performance. A live performance venue is only open to the public when a live performance is scheduled. A live performance venue may include classroom space utilized during hours it is not open to the public for a performance. A live performance venue may include concession stands, including sale of alcohol, but only when it is open to the public for a performance. A live performance venue does not include any adult uses or nightclubs. Lodge/Meeting Hall. A facility operated by an organization or association for a common purpose, such as, but not limited to, a meeting hall for a fraternal or social organization or a union hall, but not including clubs organized primarily for-profit or to render a service which is customarily carried on as a business.</w:t>
      </w:r>
    </w:p>
    <w:p>
      <w:pPr>
        <w:numPr>
          <w:ilvl w:val="0"/>
          <w:numId w:val="2212"/>
        </w:numPr>
      </w:pPr>
      <w:r>
        <w:t xml:space="preserve">Marina</w:t>
      </w:r>
      <w:r>
        <w:br/>
      </w:r>
      <w:r>
        <w:t xml:space="preserve">Commercial. Facilities for docking or storage of commercial boats that may provide services. No lodging for the occupants, other than the manager or owner of the commercial marina, or entertainment are permitted.</w:t>
      </w:r>
    </w:p>
    <w:p>
      <w:pPr>
        <w:numPr>
          <w:ilvl w:val="0"/>
          <w:numId w:val="2213"/>
        </w:numPr>
      </w:pPr>
      <w:r>
        <w:t xml:space="preserve">Marina</w:t>
      </w:r>
      <w:r>
        <w:br/>
      </w:r>
      <w:r>
        <w:t xml:space="preserve">Recreational. Facilities for docking or storage of pleasure boats or providing services to pleasure boats and the occupants thereof, including minor servicing and repair to boats while in the water, sale of fuel and supplies, or provision of lodging, food, beverages, and entertainment as accessory uses. A yacht club is considered a recreational marina. Materials Processing. Facilities for:</w:t>
      </w:r>
    </w:p>
    <w:p>
      <w:pPr>
        <w:numPr>
          <w:ilvl w:val="0"/>
          <w:numId w:val="2214"/>
        </w:numPr>
      </w:pPr>
      <w:r>
        <w:t xml:space="preserve">1. The processing of cement, salt, rock, sand, gravel, and stone; or 2.</w:t>
      </w:r>
      <w:r>
        <w:br/>
      </w:r>
      <w:r>
        <w:t xml:space="preserve">The storage, temporary or otherwise, of unprocessed metal, processed metal, wastepaper, rags, or other junk materials; or 3. The purchase or sale, by weight across an on-site scale, of unprocessed metal, processed metal, wastepaper, rags, or other junk materials; or 4. The sorting, baling, separating, shearing, shredding, or torch preparation of metal or any other form of scrapmetal processing, including automobile flattening and crushing. Medical/Dental Office. A facility operated by one or more physicians, dentists, chiropractors, psychiatrists, physiotherapists, or other licensed practitioners of the healing arts for the examination and treatment of persons solely on an outpatient basis. Medical/dental offices also include alternative medicine clinics, such as acupuncture and holistic therapies, and physical therapy offices for physical rehabilitation. Micro-Brewery. A facility for the production and packaging of malt beverages of low alcoholic content for wholesale distribution, with a capacity of less than 15,000 barrels per year and may include a tasting room. A tasting room allows customers to taste samples of products manufactured on site and purchase related sales items. Micro-Distillery. A facility for the production and packaging of alcoholic beverages in quantities not to exceed twelve 12,000 gallons per year and may include a tasting room. A tasting room allows customers to taste samples of products manufactured on site and purchase related sales items. Micro-Winery. A facility for the production and packaging of any alcoholic beverages obtained by the fermentation of the natural contents of fruits or vegetables, containing sugar, including such beverages when fortified by the addition of alcohol or spirits, in quantities not to exceed 25,000 gallons per year and may include a tasting room. A tasting room allows customers to taste samples of products manufactured on site and purchase related sales items. Movie Studio. Facilities for the production of motion pictures and film, including stages, exterior sets, film laboratories, sound recording facilities, construction, repair and storage facilities, caretaker and temporary housing, related commercial vehicles, and accessory fabrication activities. Neighborhood Commercial Establishment. A commercial use within a primarily residential neighborhood that is non-residential in its original construction and/or use. Nightclub. An establishment that provides entertainment, including live music and disc jockeys (DJs), and an area for dancing by patrons of the establishment. A nightclub has as its primary source of revenue the sale of alcoholic beverages and/or cover charges. Portions of the floor area may be set up for alcohol service, including a bar counter, with or without stools, and other seating areas. A nightclub is only open to the public when it is providing such entertainment and admission (cover charge) is generally charged for admittance. Office. An establishment that engages in the processing, manipulation, or application of business information or professional expertise. Such an office may or may not offer services to the public. An office is not materially involved in fabricating, assembling, or warehousing of physical products for the retail or wholesale market, nor engaged in the repair of products or retail services. An office does not include financial institution/bank, government office, or industrial design. Outdoor Dining. A seating area that is located outdoors and contiguous to a restaurant or bar, typically in addition to an indoor seating area. Outdoor dining shall be approved separately as a principal use. Outdoor Market. A retail market located outdoors that rents space to individual vendors who sell their merchandise. Park/Playground. A non-commercial facility that serves the recreational needs of residents and visitors. Park/playground includes, but is not limited to, playgrounds, ballfields, football fields, soccer fields, basketball courts, tennis courts, dog parks, skateboard parks, passive recreation areas, and park district field houses. Park/playground may also include non-commercial indoor or outdoor amusement facilities, such as zoos and amphitheaters, and ancillary restaurant and retail establishments. Parking Lot. An open, hard-surfaced area, other than a street or public way, used for the storage of operable vehicles, whether for compensation or at no charge. Parking Structure. A structure of one or more levels or floors used for the parking or storage of operable vehicles, whether for compensation or at no charge. Passenger Terminal. A facility for the handling, receiving, and transferring passenger traffic for aircraft, rail, buses, and watercraft. Personal Service Establishment. An establishment that provides frequent or recurrent needed services of a personal nature. Typical uses include, but are not limited to, beauty shops, barbershops, tanning salons, electronics repair shops, nail salons, laundromats, health clubs, dry cleaners, and tailors. Place of Worship. A facility where persons regularly assemble for religious purposes and related social events, and may include group housing for persons under religious vows or orders. Places of worship may also include ancillary day care facilities and/or classrooms for weekly religious instruction. Plant Agriculture. The growing of plants for food or fiber, to sell or consume. Power Plant. An industrial facility for the generation of electric power. A power plant does not include electricity generated from solar or wind. Prison/Correctional Institution. A facility for the detention, confinement, treatment, and rehabilitation of persons arrested or convicted for the violation of civil or criminal law. Public Safety Facility. A facility operated by and for the use of public safety agencies, such as the fire department and police departments, including the dispatch, storage, and maintenance of police and fire vehicles. Public safety facilities include kennels for canine units of public safety agencies. Public Works Facility. A facility operated by the municipal public works department to provide city services, including dispatch, storage, and maintenance of municipal vehicles. Racetrack. A measured course where animals or automobiles are entered in competition against one another or against time, including tracks used only for training purposes. Reception Facility. A facility that provides hosting and rental services of a banquet hall or similar facilities for private events including, but not limited to, wedding receptions, holiday parties, and fundraisers, with food and beverages that are prepared and served on-site or by a caterer to invited guests during intermittent dates and hours of operation. Live entertainment may be provided as an ancillary use as part of an event. A reception facility is not operated as a restaurant with regular hours of operation. Rehabilitation Center. A facility for treatment of alcohol or drug addiction that is licensed, certified, or accredited by the appropriate local, state, or federal agencies, in which unrelated persons are provided housing, food, treatment, and supportive services. Research and Development. A facility where research and development is conducted in industries that include, but are not limited to, biotechnology, pharmaceuticals, medical instrumentation or supplies, communication, and information technology, electronics and instrumentation, and computer hardware and software. Research and development facilities shall not exceed Biosafety Level Three as regulated by the Department of Health and Human Services, Center for Disease Control and Prevention, and the National Institute of Health. A research and development establishment may create prototypes of products, but shall not manufacture products for direct sale and distribution from the premises. Residential Care Facility. A licensed group care facility that provides 24-hour medical or non-medical care of persons in need of personal services, supervision, or assistance essential for sustaining the activities of daily living, or for the protection of the individual. A residential care facility includes nursing homes, assisted living, and continuum of care facilities. Restaurant. An establishment where food and drinks are provided to the public, primarily for on-premises consumption by seated patrons. If the establishment also serves alcoholic beverages, a full menu of food and drinks shall also be prepared on premises. Incidental Entertainment and Incidental Entertainment - Expanded are permissible accessory uses within a restaurant. Retail Goods Establishment. An establishment that provides physical goods, products, or merchandise directly to the consumer, where such goods are typically available for immediate purchase and removal from the premises by the purchaser. Sale of alcohol products is regulated separately as retail sales of alcohol. Retail Sales of Alcohol. Retail sales of alcoholic beverages in factory original containers for consumption offpremises, when licensed by the Board of Licenses. Self-Storage Facility. A facility for the storage of personal property where individual renters control and access individual storage spaces. Ancillary retail sales of related items, such as moving supplies, and facility offices may also be included. Ship and Boat Building/Repair. An establishment for the manufacturing, repair, storage, and sale of ships and boats. Ship and boat building/repair does not include the leasing of dry dock or marina storage for individual boat owners. Solar Energy System (Principal Use). An energy system operated by a public, private, or cooperative company for the generation, transmission, distribution, storage, or processing of solar energy for the purposes of space heating and cooling, electricity generation, and/or water heating. Slaughterhouse. A facility where livestock is confined, slaughtered, and processed in preparation for distribution. A slaughterhouse does not include facilities exclusive for the killing of fowl. Specialty Food Service. A business that specializes in the sale of certain food products, such as a delicatessen, bakery, candy maker, meat market, catering business, cheesemonger, coffee roaster, or fishmonger, and may offer areas for ancillary retail sales or restaurants that serve the products processed on-site. Specialty food service also includes preparation, processing, canning, or packaging of food products where all processing is completely enclosed and there are no outside impacts. Stock Yard/Feeding Pen. Facilities for the feeding, breeding, raising, and/or holding of livestock.</w:t>
      </w:r>
    </w:p>
    <w:p>
      <w:pPr>
        <w:numPr>
          <w:ilvl w:val="0"/>
          <w:numId w:val="2215"/>
        </w:numPr>
      </w:pPr>
      <w:r>
        <w:t xml:space="preserve">Storage Yard</w:t>
      </w:r>
      <w:r>
        <w:br/>
      </w:r>
      <w:r>
        <w:t xml:space="preserve">Outdoor. The storage of material outdoors as a principal use of land for more than 24 hours. Items stored within an outdoor storage yard shall be owned, consigned, or leased by the owner of the storage yard. However, boats and recreational vehicles that are not owned, consigned, or leased by the owner of the storage yard may also be stored on-site. Tank Farm. The storage of chemicals, petroleum products, ethanol products, hazardous materials, and similar substances in aboveground or belowground storage containers designed for wholesale distribution. This does not include liquefied natural gas or liquified propane gas. Temporary Contractor’s Office. A temporary structure utilized as a watchman’s quarters, construction office, equipment shed, or sales center during the construction of a new development. Temporary Emergency Housing. A temporary shelter for citizens during seasonal or emergency events, such as extreme temperature, flooding, or natural disaster. Temporary Mobile and Manufactured Homes. A mobile or manufactured home located on a residential lot when the residence is rendered uninhabitable by virtue of a casualty for the use and occupancy of the former occupants of the residence only. Temporary Mobile Food Sales. A mobile food establishment where food or alcohol preparation and service is housed in a truck or trailer, container, or a non-motorized mobile food cart. Temporary Entertainment. Periodic live indoor or outdoor performance, performed by one or more persons including, but not limited to, musical acts, theatrical plays, performance art, stand-up comedy, disc jockeys (DJs), and magic. Temporary Entertainment event includes fireworks shows, horse shows, animal shows, carnivals/circuses, temporary worship services, and other similar events. Temporary Outdoor Sales. Temporary uses, which may include temporary structures, where goods are sold, such as consignment auctions, arts and crafts fairs, flea markets, rummage sales, temporary vehicle sales, and holiday sales, such as Christmas tree lots and pumpkin sales lots. This temporary use category does not include outdoor sales related to a retail goods establishment where such goods are part of the establishment’s regular items offered for purchase. Temporary Outdoor Storage Container. Temporary self-storage containers delivered to a residence or business owner to store belongings, and then picked up and returned to a warehouse until called for. Temporary Parking Lot (Principal Use). A principal use parking lot that is permitted for a temporary period subject to certain use standards. Transitional Shelter. A facility that provides temporary or transitional shelter for the homeless in general or for specific populations of the homeless. Utility. Facilities that produce and/or transmit basic services, such as gas, sewer, or water, including large-scale developments such as electrical substations, high voltage transmission lines, and water towers and tanks. Utilities do not include public works facilities. Utility does not include wind energy systems, solar energy systems, and power plants. Vehicle Repair/Service. An establishment that that provides services and repairs to motor vehicles, motorcycles, and other recreational vehicles. Vehicle repair/service does not include repair of heavy equipment, which is considered part of heavy retail, rental, and service. Vehicle Operations Facility. A facility for the dispatch, storage, and maintenance of emergency medical care vehicles, taxicabs, school buses, utility vehicles, and livery vehicles. Vehicle operations facility does not include a public works or public safety facility. Vehicle Dealership/Rental. An establishment that sells or leases new or used automobiles and recreational vehicles, or rents automobiles and vans, including incidental parking and servicing of vehicles. A vehicle dealership/rental establishment may maintain an inventory of the vehicles for sale or lease either on-site or at a nearby location, and may provide on-site facilities for the repair and service of the vehicles owned by the establishment. Vehicle dealership/rental does not include truck rental establishments or rental of heavy equipment, which is considered part of heavy retail, rental, and service. Warehouse. An enclosed facility for the storage and distribution of manufactured products, supplies, and/or equipment. Waste Incineration Facility. A facility that disposes of, treats, processes, or recycles solid waste or medical waste through combustion, gasification, or pyrolysis, or exposes solid waste or medical waste to temperatures above 400 degrees Fahrenheit. Waste Facility. A facility for the processing of waste, including sewage disposal facilities or solid waste transfer station, operated by a state or municipal agency. Wholesale Establishment. A business where goods are sold to either retailers, or to industrial, commercial, institutional, or other professional business users, or to other wholesalers and related subordinated services. Wind Energy System (Principal Use). An energy system operated by a public, private, or cooperative company for the generation, transmission, distribution, or processing of wind energy. Wireless Telecommunications. Towers, antennas, and facilities used to transmit and receive signals that facilitate wireless telecommunications. The following definitions describe the wireless telecommunications infrastructure described within the general definition for wireless telecommunications:</w:t>
      </w:r>
    </w:p>
    <w:p>
      <w:pPr>
        <w:numPr>
          <w:ilvl w:val="0"/>
          <w:numId w:val="2216"/>
        </w:numPr>
      </w:pPr>
      <w:r>
        <w:t xml:space="preserve">1. Antenna.</w:t>
      </w:r>
      <w:r>
        <w:br/>
      </w:r>
      <w:r>
        <w:t xml:space="preserve">A specific device, the surface of which is used to transmit and/or receive signals transmitted to or from other antennas. This does not include satellite dish antennae.</w:t>
      </w:r>
    </w:p>
    <w:p>
      <w:pPr>
        <w:numPr>
          <w:ilvl w:val="0"/>
          <w:numId w:val="2217"/>
        </w:numPr>
      </w:pPr>
      <w:r>
        <w:t xml:space="preserve">2. Facility.</w:t>
      </w:r>
      <w:r>
        <w:br/>
      </w:r>
      <w:r>
        <w:t xml:space="preserve">An un-staffed structure used to house and protect the equipment necessary for processing telecommunications signals, which may include air conditioning equipment and emergency generators.</w:t>
      </w:r>
    </w:p>
    <w:p>
      <w:pPr>
        <w:numPr>
          <w:ilvl w:val="0"/>
          <w:numId w:val="2218"/>
        </w:numPr>
      </w:pPr>
      <w:r>
        <w:t xml:space="preserve">3. Tower.</w:t>
      </w:r>
      <w:r>
        <w:br/>
      </w:r>
      <w:r>
        <w:t xml:space="preserve">A structure designed and constructed to support one or more wireless telecommunications antennae and including all appurtenant devices attached to it.</w:t>
      </w:r>
    </w:p>
    <w:bookmarkEnd w:id="93"/>
    <w:bookmarkStart w:id="94" w:name="site-development"/>
    <w:p>
      <w:pPr>
        <w:pStyle w:val="Heading1"/>
      </w:pPr>
      <w:r>
        <w:t xml:space="preserve">§ 13. SITE DEVELOPMENT</w:t>
      </w:r>
    </w:p>
    <w:p>
      <w:pPr>
        <w:pStyle w:val="FirstParagraph"/>
      </w:pPr>
      <w:r>
        <w:t xml:space="preserve">ARTICLE 13. SITE DEVELOPMENT 1300 GENERAL REQUIREMENTS 1301 EXTERIOR LIGHTING 1302 ACCESSORY STRUCTURES AND USES 1303 PERMITTED ENCROACHMENTS 1304 ENVIRONMENTAL PERFORMANCE STANDARDS</w:t>
      </w:r>
    </w:p>
    <w:bookmarkEnd w:id="94"/>
    <w:bookmarkStart w:id="95" w:name="general-requirements"/>
    <w:p>
      <w:pPr>
        <w:pStyle w:val="Heading2"/>
      </w:pPr>
      <w:r>
        <w:t xml:space="preserve">§ 1300. GENERAL REQUIREMENTS</w:t>
      </w:r>
    </w:p>
    <w:p>
      <w:pPr>
        <w:pStyle w:val="FirstParagraph"/>
      </w:pPr>
      <w:r>
        <w:t xml:space="preserve">1300 GENERAL REQUIREMENTS</w:t>
      </w:r>
    </w:p>
    <w:p>
      <w:pPr>
        <w:numPr>
          <w:ilvl w:val="0"/>
          <w:numId w:val="2219"/>
        </w:numPr>
      </w:pPr>
      <w:r>
        <w:t xml:space="preserve">A. Number of Structures on a Lot In the R-1A, R-1, R-3, and R-P Districts there shall be no more than one principal building per lot. This does not include permitted accessory structures. In all other districts, more than one principal building is permitted on a lot, provided that each complies with all bulk and yard requirements of a district as though it were a principal building on an individual lot.</w:t>
      </w:r>
    </w:p>
    <w:p>
      <w:pPr>
        <w:numPr>
          <w:ilvl w:val="0"/>
          <w:numId w:val="2220"/>
        </w:numPr>
      </w:pPr>
      <w:r>
        <w:t xml:space="preserve">B. All Activities within an Enclosed Structure Within all districts, all activities shall be conducted entirely within an enclosed structure, with the exception of the following uses and activities:</w:t>
      </w:r>
    </w:p>
    <w:p>
      <w:pPr>
        <w:numPr>
          <w:ilvl w:val="0"/>
          <w:numId w:val="2221"/>
        </w:numPr>
      </w:pPr>
      <w:r>
        <w:t xml:space="preserve">1. Parking lots, principal and ancillary.</w:t>
      </w:r>
    </w:p>
    <w:p>
      <w:pPr>
        <w:numPr>
          <w:ilvl w:val="0"/>
          <w:numId w:val="2222"/>
        </w:numPr>
      </w:pPr>
      <w:r>
        <w:t xml:space="preserve">2. Park/playground, conservation areas, and similar open space uses.</w:t>
      </w:r>
    </w:p>
    <w:p>
      <w:pPr>
        <w:numPr>
          <w:ilvl w:val="0"/>
          <w:numId w:val="2223"/>
        </w:numPr>
      </w:pPr>
      <w:r>
        <w:t xml:space="preserve">3. Establishments with a permitted outdoor component, including, but not limited to, outdoor amusement facilities, outdoor storage yards, heavy retail, rental, and service, contractor storage yards, outdoor dining, car washes, animal care facilities, plant agriculture, and similar businesses. However, these businesses may be limited or the outdoor components prohibited as a condition of a special use, when special use approval is applicable.</w:t>
      </w:r>
    </w:p>
    <w:p>
      <w:pPr>
        <w:numPr>
          <w:ilvl w:val="0"/>
          <w:numId w:val="2224"/>
        </w:numPr>
      </w:pPr>
      <w:r>
        <w:t xml:space="preserve">4. Permitted outdoor storage, and outdoor sales and display areas.</w:t>
      </w:r>
    </w:p>
    <w:p>
      <w:pPr>
        <w:numPr>
          <w:ilvl w:val="0"/>
          <w:numId w:val="2225"/>
        </w:numPr>
      </w:pPr>
      <w:r>
        <w:t xml:space="preserve">5. Permitted outdoor temporary uses.</w:t>
      </w:r>
    </w:p>
    <w:p>
      <w:pPr>
        <w:numPr>
          <w:ilvl w:val="0"/>
          <w:numId w:val="2226"/>
        </w:numPr>
      </w:pPr>
      <w:r>
        <w:t xml:space="preserve">6. Activities customarily related to dwelling.</w:t>
      </w:r>
    </w:p>
    <w:p>
      <w:pPr>
        <w:pStyle w:val="Compact"/>
        <w:numPr>
          <w:ilvl w:val="0"/>
          <w:numId w:val="2227"/>
        </w:numPr>
      </w:pPr>
    </w:p>
    <w:p>
      <w:pPr>
        <w:numPr>
          <w:ilvl w:val="1"/>
          <w:numId w:val="2228"/>
        </w:numPr>
      </w:pPr>
      <w:r>
        <w:t xml:space="preserve">C. Applicability of Required Setbacks No lot may be reduced in area so that the setbacks are less than required by this Ordinance. The required setbacks for a lot cannot be considered a setback for any other lot. No principal building or accessory structure may be located in a required setback unless specifically permitted by this Ordinance or a variance is approved.</w:t>
      </w:r>
    </w:p>
    <w:p>
      <w:pPr>
        <w:pStyle w:val="Compact"/>
        <w:numPr>
          <w:ilvl w:val="0"/>
          <w:numId w:val="2229"/>
        </w:numPr>
      </w:pPr>
    </w:p>
    <w:p>
      <w:pPr>
        <w:numPr>
          <w:ilvl w:val="1"/>
          <w:numId w:val="2230"/>
        </w:numPr>
      </w:pPr>
      <w:r>
        <w:t xml:space="preserve">D. Applicability of Bulk Requirements All structures shall meet the dimensional requirements of the zoning district in which the structure is located. No existing structure may be enlarged, altered, reconstructed, or relocated in such a manner that conflicts with the requirements of the district in which the structure it is located unless a variance is approved.</w:t>
      </w:r>
    </w:p>
    <w:bookmarkEnd w:id="95"/>
    <w:bookmarkStart w:id="96" w:name="exterior-lighting"/>
    <w:p>
      <w:pPr>
        <w:pStyle w:val="Heading2"/>
      </w:pPr>
      <w:r>
        <w:t xml:space="preserve">§ 1301. EXTERIOR LIGHTING</w:t>
      </w:r>
    </w:p>
    <w:p>
      <w:pPr>
        <w:pStyle w:val="FirstParagraph"/>
      </w:pPr>
      <w:r>
        <w:t xml:space="preserve">1301 EXTERIOR LIGHTING</w:t>
      </w:r>
    </w:p>
    <w:p>
      <w:pPr>
        <w:numPr>
          <w:ilvl w:val="0"/>
          <w:numId w:val="2231"/>
        </w:numPr>
      </w:pPr>
      <w:r>
        <w:t xml:space="preserve">A. Purpose Exterior lighting is used to illuminate uses, parking lots, signs, and other site elements on a property. When well designed and properly installed, exterior lighting improves visibility and safety, provides a sense of security, and complements the character of the City. Conversely, poorly designed and improperly installed lighting can be inefficient, cause glare, and create light trespass and sky glow. In order to ensure that exterior lighting is well designed, and impacts on adjacent properties are controlled, the following requirements control exterior lighting in the City’s zoning districts.</w:t>
      </w:r>
    </w:p>
    <w:p>
      <w:pPr>
        <w:numPr>
          <w:ilvl w:val="0"/>
          <w:numId w:val="2232"/>
        </w:numPr>
      </w:pPr>
      <w:r>
        <w:t xml:space="preserve">B. Lighting Plan Required</w:t>
      </w:r>
    </w:p>
    <w:p>
      <w:pPr>
        <w:numPr>
          <w:ilvl w:val="0"/>
          <w:numId w:val="1000"/>
        </w:numPr>
      </w:pPr>
      <w:r>
        <w:t xml:space="preserve">1. A lighting plan is required for all non-residential uses and multi-family and rowhouse dwellings. Single-family, two-family, three-family, and rowhouse dwellings are exempt from a required lighting plan but are subject to applicable lighting requirements.</w:t>
      </w:r>
    </w:p>
    <w:p>
      <w:pPr>
        <w:numPr>
          <w:ilvl w:val="0"/>
          <w:numId w:val="2233"/>
        </w:numPr>
      </w:pPr>
      <w:r>
        <w:t xml:space="preserve">2. A lighting plan shall include the following: a. A plan showing all light pole locations, building-mounted lights, bollard lights, and all other lighting, with schematic wiring layout and power source connection indicated.</w:t>
      </w:r>
    </w:p>
    <w:p>
      <w:pPr>
        <w:pStyle w:val="Compact"/>
        <w:numPr>
          <w:ilvl w:val="0"/>
          <w:numId w:val="2234"/>
        </w:numPr>
      </w:pPr>
    </w:p>
    <w:p>
      <w:pPr>
        <w:numPr>
          <w:ilvl w:val="1"/>
          <w:numId w:val="2235"/>
        </w:numPr>
      </w:pPr>
      <w:r>
        <w:t xml:space="preserve">b. Specifications for luminaires and lamp types, poles, wiring, conduit, and appurtenant construction, including photographs or drawings of proposed light fixtures.</w:t>
      </w:r>
    </w:p>
    <w:p>
      <w:pPr>
        <w:pStyle w:val="Compact"/>
        <w:numPr>
          <w:ilvl w:val="0"/>
          <w:numId w:val="2236"/>
        </w:numPr>
      </w:pPr>
    </w:p>
    <w:p>
      <w:pPr>
        <w:numPr>
          <w:ilvl w:val="1"/>
          <w:numId w:val="2237"/>
        </w:numPr>
      </w:pPr>
      <w:r>
        <w:t xml:space="preserve">c. Pole, luminaire, and foundation details including pole height, height of building-mounted lights, mounting height, and height of the luminaire.</w:t>
      </w:r>
    </w:p>
    <w:p>
      <w:pPr>
        <w:pStyle w:val="Compact"/>
        <w:numPr>
          <w:ilvl w:val="0"/>
          <w:numId w:val="2238"/>
        </w:numPr>
      </w:pPr>
    </w:p>
    <w:p>
      <w:pPr>
        <w:numPr>
          <w:ilvl w:val="1"/>
          <w:numId w:val="2239"/>
        </w:numPr>
      </w:pPr>
      <w:r>
        <w:t xml:space="preserve">d. Elevations of the site including all structures and luminaires sufficient to determine the total cut off angle of all luminaires and their relationship to abutting parcels.</w:t>
      </w:r>
    </w:p>
    <w:p>
      <w:pPr>
        <w:pStyle w:val="Compact"/>
        <w:numPr>
          <w:ilvl w:val="0"/>
          <w:numId w:val="2240"/>
        </w:numPr>
      </w:pPr>
    </w:p>
    <w:p>
      <w:pPr>
        <w:numPr>
          <w:ilvl w:val="1"/>
          <w:numId w:val="2241"/>
        </w:numPr>
      </w:pPr>
      <w:r>
        <w:t xml:space="preserve">e. Photometric plans that show the footcandle measurement at all lot lines.</w:t>
      </w:r>
    </w:p>
    <w:p>
      <w:pPr>
        <w:pStyle w:val="Compact"/>
        <w:numPr>
          <w:ilvl w:val="0"/>
          <w:numId w:val="2242"/>
        </w:numPr>
      </w:pPr>
    </w:p>
    <w:p>
      <w:pPr>
        <w:numPr>
          <w:ilvl w:val="1"/>
          <w:numId w:val="2243"/>
        </w:numPr>
      </w:pPr>
      <w:r>
        <w:t xml:space="preserve">f. Other information and data reasonably necessary to evaluate the required lighting plan.</w:t>
      </w:r>
    </w:p>
    <w:p>
      <w:pPr>
        <w:pStyle w:val="Compact"/>
        <w:numPr>
          <w:ilvl w:val="0"/>
          <w:numId w:val="2244"/>
        </w:numPr>
      </w:pPr>
    </w:p>
    <w:p>
      <w:pPr>
        <w:numPr>
          <w:ilvl w:val="1"/>
          <w:numId w:val="2245"/>
        </w:numPr>
      </w:pPr>
      <w:r>
        <w:t xml:space="preserve">C. Maximum Lighting Regulations</w:t>
      </w:r>
    </w:p>
    <w:p>
      <w:pPr>
        <w:numPr>
          <w:ilvl w:val="1"/>
          <w:numId w:val="1000"/>
        </w:numPr>
      </w:pPr>
      <w:r>
        <w:t xml:space="preserve">1. The maximum allowable light level at any lot line is one footcandle.</w:t>
      </w:r>
    </w:p>
    <w:p>
      <w:pPr>
        <w:numPr>
          <w:ilvl w:val="0"/>
          <w:numId w:val="2246"/>
        </w:numPr>
      </w:pPr>
      <w:r>
        <w:t xml:space="preserve">2. No glare onto adjacent properties is permitted.</w:t>
      </w:r>
    </w:p>
    <w:p>
      <w:pPr>
        <w:pStyle w:val="Compact"/>
        <w:numPr>
          <w:ilvl w:val="0"/>
          <w:numId w:val="2247"/>
        </w:numPr>
      </w:pPr>
    </w:p>
    <w:p>
      <w:pPr>
        <w:numPr>
          <w:ilvl w:val="1"/>
          <w:numId w:val="2248"/>
        </w:numPr>
      </w:pPr>
      <w:r>
        <w:t xml:space="preserve">D. Luminaire Standards All luminaires shall be designed as cut off luminaires. Cut off luminaires are those with a cut off angle of 75 degrees or less. Cut off luminaires are subject to the following standards.</w:t>
      </w:r>
    </w:p>
    <w:p>
      <w:pPr>
        <w:numPr>
          <w:ilvl w:val="0"/>
          <w:numId w:val="2249"/>
        </w:numPr>
      </w:pPr>
      <w:r>
        <w:t xml:space="preserve">1. The maximum total height of a cut off luminaire, either freestanding or attached to a structure, shall be 25 feet. (Figure 13-1)</w:t>
      </w:r>
    </w:p>
    <w:p>
      <w:pPr>
        <w:numPr>
          <w:ilvl w:val="0"/>
          <w:numId w:val="2250"/>
        </w:numPr>
      </w:pPr>
      <w:r>
        <w:t xml:space="preserve">2. A cut off luminaire shall be designed to completely shield the light source from an observer three and one-half feet above the ground at any point along an abutting lot line. (Figure 13-1)</w:t>
      </w:r>
    </w:p>
    <w:p>
      <w:pPr>
        <w:pStyle w:val="Compact"/>
        <w:numPr>
          <w:ilvl w:val="0"/>
          <w:numId w:val="2251"/>
        </w:numPr>
      </w:pPr>
    </w:p>
    <w:p>
      <w:pPr>
        <w:numPr>
          <w:ilvl w:val="1"/>
          <w:numId w:val="2252"/>
        </w:numPr>
      </w:pPr>
      <w:r>
        <w:t xml:space="preserve">E. Exceptions to Lighting Standards</w:t>
      </w:r>
    </w:p>
    <w:p>
      <w:pPr>
        <w:numPr>
          <w:ilvl w:val="1"/>
          <w:numId w:val="1000"/>
        </w:numPr>
      </w:pPr>
      <w:r>
        <w:t xml:space="preserve">1. Luminaires used for public roadway illumination are exempt from the requirements of this section.</w:t>
      </w:r>
    </w:p>
    <w:p>
      <w:pPr>
        <w:numPr>
          <w:ilvl w:val="0"/>
          <w:numId w:val="2253"/>
        </w:numPr>
      </w:pPr>
      <w:r>
        <w:t xml:space="preserve">2. All temporary emergency lighting required by public safety agencies or other emergency services, as well as all vehicular luminaires, are exempt from the requirements of this section.</w:t>
      </w:r>
    </w:p>
    <w:p>
      <w:pPr>
        <w:numPr>
          <w:ilvl w:val="0"/>
          <w:numId w:val="2254"/>
        </w:numPr>
      </w:pPr>
      <w:r>
        <w:t xml:space="preserve">3. Because of their unique requirements for nighttime visibility and limited hours of operation, outdoor recreational facilities (public or private) such as, but not limited to, football fields, soccer fields, baseball fields, softball fields, tennis courts, golf driving ranges, show areas, and other similar uses are exempt from the requirements of this section. Recreational facilities are permitted a total luminaire height of 60 feet in any district. University or college educational facilities may erect luminaires not to exceed 90 feet when approved through an Institutional Master Plan and accompanied by a lighting plan.</w:t>
      </w:r>
    </w:p>
    <w:p>
      <w:pPr>
        <w:numPr>
          <w:ilvl w:val="0"/>
          <w:numId w:val="2255"/>
        </w:numPr>
      </w:pPr>
      <w:r>
        <w:t xml:space="preserve">4. Certain temporary uses may be unable to meet the requirements of this section. When such temporary uses are allowed, approval of all lighting is required as part of the temporary use permit.</w:t>
      </w:r>
    </w:p>
    <w:p>
      <w:pPr>
        <w:pStyle w:val="Compact"/>
        <w:numPr>
          <w:ilvl w:val="0"/>
          <w:numId w:val="2256"/>
        </w:numPr>
      </w:pPr>
    </w:p>
    <w:p>
      <w:pPr>
        <w:numPr>
          <w:ilvl w:val="1"/>
          <w:numId w:val="2257"/>
        </w:numPr>
      </w:pPr>
      <w:r>
        <w:t xml:space="preserve">F. Prohibited Lighting</w:t>
      </w:r>
    </w:p>
    <w:p>
      <w:pPr>
        <w:numPr>
          <w:ilvl w:val="1"/>
          <w:numId w:val="1000"/>
        </w:numPr>
      </w:pPr>
      <w:r>
        <w:t xml:space="preserve">1. Luminaires with no cut off are prohibited. A luminaire is considered to have no cut off if it is unshielded or has a cut off angle greater than 75 degrees.</w:t>
      </w:r>
    </w:p>
    <w:p>
      <w:pPr>
        <w:numPr>
          <w:ilvl w:val="0"/>
          <w:numId w:val="2258"/>
        </w:numPr>
      </w:pPr>
      <w:r>
        <w:t xml:space="preserve">2. Flickering or flashing lights are prohibited.</w:t>
      </w:r>
    </w:p>
    <w:p>
      <w:pPr>
        <w:numPr>
          <w:ilvl w:val="0"/>
          <w:numId w:val="2259"/>
        </w:numPr>
      </w:pPr>
      <w:r>
        <w:t xml:space="preserve">3. Searchlights, laser source lights, or any similar high intensity lights are prohibited.</w:t>
      </w:r>
    </w:p>
    <w:bookmarkEnd w:id="96"/>
    <w:bookmarkStart w:id="97" w:name="accessory-structures-and-uses"/>
    <w:p>
      <w:pPr>
        <w:pStyle w:val="Heading2"/>
      </w:pPr>
      <w:r>
        <w:t xml:space="preserve">§ 1302. ACCESSORY STRUCTURES AND USES</w:t>
      </w:r>
    </w:p>
    <w:p>
      <w:pPr>
        <w:pStyle w:val="FirstParagraph"/>
      </w:pPr>
      <w:r>
        <w:t xml:space="preserve">1302 ACCESSORY STRUCTURES AND USES Accessory structures and uses are permitted in all districts unless specifically prohibited by this Ordinance. All accessory structures and uses are subject to the requirements of this section and the permitted encroachment requirements of Section 1303. Additional accessory structures not regulated in this section may be regulated in Section 1303.</w:t>
      </w:r>
    </w:p>
    <w:p>
      <w:pPr>
        <w:numPr>
          <w:ilvl w:val="0"/>
          <w:numId w:val="2260"/>
        </w:numPr>
      </w:pPr>
      <w:r>
        <w:t xml:space="preserve">A. General Regulations for Accessory Structures</w:t>
      </w:r>
    </w:p>
    <w:p>
      <w:pPr>
        <w:numPr>
          <w:ilvl w:val="0"/>
          <w:numId w:val="1000"/>
        </w:numPr>
      </w:pPr>
      <w:r>
        <w:t xml:space="preserve">1. All accessory structures are subject to the following regulations, in addition to any other specific regulations within this section.</w:t>
      </w:r>
    </w:p>
    <w:p>
      <w:pPr>
        <w:numPr>
          <w:ilvl w:val="0"/>
          <w:numId w:val="2261"/>
        </w:numPr>
      </w:pPr>
      <w:r>
        <w:t xml:space="preserve">2. No accessory structure shall be constructed prior to construction of the principal building or use to which it is accessory.</w:t>
      </w:r>
    </w:p>
    <w:p>
      <w:pPr>
        <w:numPr>
          <w:ilvl w:val="0"/>
          <w:numId w:val="2262"/>
        </w:numPr>
      </w:pPr>
      <w:r>
        <w:t xml:space="preserve">3. Unless required by the building code, certain accessory structures are specifically exempted by this Ordinance, as noted below.</w:t>
      </w:r>
    </w:p>
    <w:p>
      <w:pPr>
        <w:numPr>
          <w:ilvl w:val="0"/>
          <w:numId w:val="2263"/>
        </w:numPr>
      </w:pPr>
      <w:r>
        <w:t xml:space="preserve">4. Only those accessory structures permitted by this section and Section 1303 are permitted in required setbacks. Certain accessory structures may also be prohibited in certain yards. Required setbacks are described in the district standards. The use of the term “yard” refers to the area between the building line and the lot line. The distinction is made because certain principal buildings may not be built at required district setback lines, thereby creating a yard larger than the minimum setback dimension. If a structure is permitted within a yard, it is permitted within the required setback subject to any additional limitations.</w:t>
      </w:r>
    </w:p>
    <w:p>
      <w:pPr>
        <w:numPr>
          <w:ilvl w:val="0"/>
          <w:numId w:val="2264"/>
        </w:numPr>
      </w:pPr>
      <w:r>
        <w:t xml:space="preserve">5. Accessory structures are included and shall comply with all maximum impervious surface and building coverage requirements.</w:t>
      </w:r>
    </w:p>
    <w:p>
      <w:pPr>
        <w:numPr>
          <w:ilvl w:val="0"/>
          <w:numId w:val="2265"/>
        </w:numPr>
      </w:pPr>
      <w:r>
        <w:t xml:space="preserve">6. The maximum height of any detached accessory structure is 10 feet at the lot line, then an additional one foot in height for each one foot of additional setback to a maximum of 20 feet and two stories, unless otherwise permitted or restricted by this Ordinance.</w:t>
      </w:r>
    </w:p>
    <w:p>
      <w:pPr>
        <w:numPr>
          <w:ilvl w:val="0"/>
          <w:numId w:val="2266"/>
        </w:numPr>
      </w:pPr>
      <w:r>
        <w:t xml:space="preserve">7. Accessory structures permitted in rear, interior, or corner side yards shall be at least three feet from any lot line, unless otherwise permitted or restricted by this Ordinance.</w:t>
      </w:r>
    </w:p>
    <w:p>
      <w:pPr>
        <w:numPr>
          <w:ilvl w:val="0"/>
          <w:numId w:val="2267"/>
        </w:numPr>
      </w:pPr>
      <w:r>
        <w:t xml:space="preserve">8. Accessory structures require a building permit unless specifically exempted by this Ordinance.</w:t>
      </w:r>
    </w:p>
    <w:p>
      <w:pPr>
        <w:numPr>
          <w:ilvl w:val="0"/>
          <w:numId w:val="2268"/>
        </w:numPr>
      </w:pPr>
      <w:r>
        <w:t xml:space="preserve">9. In all residential zones, a mobile home, manufactured home, recreational vehicle, semi-tractor trailer, shipping container, boat or motor vehicle shall not be used as an accessory structure.</w:t>
      </w:r>
    </w:p>
    <w:p>
      <w:pPr>
        <w:pStyle w:val="Compact"/>
        <w:numPr>
          <w:ilvl w:val="0"/>
          <w:numId w:val="2269"/>
        </w:numPr>
      </w:pPr>
    </w:p>
    <w:p>
      <w:pPr>
        <w:numPr>
          <w:ilvl w:val="1"/>
          <w:numId w:val="2270"/>
        </w:numPr>
      </w:pPr>
      <w:r>
        <w:t xml:space="preserve">B. Amateur (HAM) Radio Equipment</w:t>
      </w:r>
    </w:p>
    <w:p>
      <w:pPr>
        <w:numPr>
          <w:ilvl w:val="1"/>
          <w:numId w:val="1000"/>
        </w:numPr>
      </w:pPr>
      <w:r>
        <w:t xml:space="preserve">1. Towers that solely support amateur (HAM) radio equipment and conform to all applicable performance criteria as set forth in Section 1304 are permitted only in the rear yard, and shall be located ten feet from any lot line and any principal building. Towers are limited to the maximum building height of the applicable district plus an additional ten feet.</w:t>
      </w:r>
    </w:p>
    <w:p>
      <w:pPr>
        <w:numPr>
          <w:ilvl w:val="0"/>
          <w:numId w:val="2271"/>
        </w:numPr>
      </w:pPr>
      <w:r>
        <w:t xml:space="preserve">2. Antennas may also be building-mounted and are limited to a maximum height of ten feet above the structure.</w:t>
      </w:r>
    </w:p>
    <w:p>
      <w:pPr>
        <w:numPr>
          <w:ilvl w:val="0"/>
          <w:numId w:val="2272"/>
        </w:numPr>
      </w:pPr>
      <w:r>
        <w:t xml:space="preserve">3. Every effort shall be made to install towers or antennas in locations that are not readily visible from adjacent residential lots or from the public right-of-way, excluding alleys.</w:t>
      </w:r>
    </w:p>
    <w:p>
      <w:pPr>
        <w:numPr>
          <w:ilvl w:val="0"/>
          <w:numId w:val="2273"/>
        </w:numPr>
      </w:pPr>
      <w:r>
        <w:t xml:space="preserve">4. Any antennas and/or towers owned and operated by the City are exempt from these requirements.</w:t>
      </w:r>
    </w:p>
    <w:p>
      <w:pPr>
        <w:pStyle w:val="Compact"/>
        <w:numPr>
          <w:ilvl w:val="0"/>
          <w:numId w:val="2274"/>
        </w:numPr>
      </w:pPr>
    </w:p>
    <w:p>
      <w:pPr>
        <w:numPr>
          <w:ilvl w:val="1"/>
          <w:numId w:val="2275"/>
        </w:numPr>
      </w:pPr>
      <w:r>
        <w:t xml:space="preserve">C. Apiary</w:t>
      </w:r>
    </w:p>
    <w:p>
      <w:pPr>
        <w:numPr>
          <w:ilvl w:val="1"/>
          <w:numId w:val="1000"/>
        </w:numPr>
      </w:pPr>
      <w:r>
        <w:t xml:space="preserve">1. Apiaries do not require a building permit.</w:t>
      </w:r>
    </w:p>
    <w:p>
      <w:pPr>
        <w:numPr>
          <w:ilvl w:val="0"/>
          <w:numId w:val="2276"/>
        </w:numPr>
      </w:pPr>
      <w:r>
        <w:t xml:space="preserve">2. Apiaries are permitted only in the rear yard and shall be located 10 feet from any lot line and the principal building.</w:t>
      </w:r>
    </w:p>
    <w:p>
      <w:pPr>
        <w:numPr>
          <w:ilvl w:val="0"/>
          <w:numId w:val="2277"/>
        </w:numPr>
      </w:pPr>
      <w:r>
        <w:t xml:space="preserve">3. All bee colonies shall be kept in a removable frame hive, which shall be kept in sound and usable condition.</w:t>
      </w:r>
    </w:p>
    <w:p>
      <w:pPr>
        <w:numPr>
          <w:ilvl w:val="0"/>
          <w:numId w:val="2278"/>
        </w:numPr>
      </w:pPr>
      <w:r>
        <w:t xml:space="preserve">4. Where any colony is located within 25 feet of a lot line, as measured from the nearest point on the hive to the lot line, the beekeeper shall establish and maintain a flyway barrier at least six feet in height consisting of a hedge, fence, solid wall, or combination that is parallel to the lot line and extends ten feet beyond the colony in each direction so that bees are forced to fly at an elevation of at least six feet above ground level over the property lines in the vicinity of the apiary.</w:t>
      </w:r>
    </w:p>
    <w:p>
      <w:pPr>
        <w:numPr>
          <w:ilvl w:val="0"/>
          <w:numId w:val="2279"/>
        </w:numPr>
      </w:pPr>
      <w:r>
        <w:t xml:space="preserve">5. Each beekeeper shall provide a convenient source of water available to the bees at all times.</w:t>
      </w:r>
    </w:p>
    <w:p>
      <w:pPr>
        <w:numPr>
          <w:ilvl w:val="0"/>
          <w:numId w:val="2280"/>
        </w:numPr>
      </w:pPr>
      <w:r>
        <w:t xml:space="preserve">6. In any instance in which a colony exhibits unusual aggressive characteristics by stinging or attempting to sting without due provocation or exhibits an unusual disposition toward swarming, the beekeeper shall promptly re-queen the colony.</w:t>
      </w:r>
    </w:p>
    <w:p>
      <w:pPr>
        <w:pStyle w:val="Compact"/>
        <w:numPr>
          <w:ilvl w:val="0"/>
          <w:numId w:val="2281"/>
        </w:numPr>
      </w:pPr>
    </w:p>
    <w:p>
      <w:pPr>
        <w:numPr>
          <w:ilvl w:val="1"/>
          <w:numId w:val="2282"/>
        </w:numPr>
      </w:pPr>
      <w:r>
        <w:t xml:space="preserve">D. Aquaculture/Aquaponics</w:t>
      </w:r>
    </w:p>
    <w:p>
      <w:pPr>
        <w:numPr>
          <w:ilvl w:val="1"/>
          <w:numId w:val="1000"/>
        </w:numPr>
      </w:pPr>
      <w:r>
        <w:t xml:space="preserve">1. Aquaculture/aquaponics facilities do not require a building permit.</w:t>
      </w:r>
    </w:p>
    <w:p>
      <w:pPr>
        <w:numPr>
          <w:ilvl w:val="0"/>
          <w:numId w:val="2283"/>
        </w:numPr>
      </w:pPr>
      <w:r>
        <w:t xml:space="preserve">2. Aquaculture/aquaponics facilities are permitted only in the rear yard and shall be located 10 feet from any lot line.</w:t>
      </w:r>
    </w:p>
    <w:p>
      <w:pPr>
        <w:numPr>
          <w:ilvl w:val="0"/>
          <w:numId w:val="2284"/>
        </w:numPr>
      </w:pPr>
      <w:r>
        <w:t xml:space="preserve">3. All aquaculture/aquaponics operations shall be located within fully or partially enclosed structures designed for holding and rearing fish, and contain adequate space and shade.</w:t>
      </w:r>
    </w:p>
    <w:p>
      <w:pPr>
        <w:pStyle w:val="Compact"/>
        <w:numPr>
          <w:ilvl w:val="0"/>
          <w:numId w:val="2285"/>
        </w:numPr>
      </w:pPr>
    </w:p>
    <w:p>
      <w:pPr>
        <w:numPr>
          <w:ilvl w:val="1"/>
          <w:numId w:val="2286"/>
        </w:numPr>
      </w:pPr>
      <w:r>
        <w:t xml:space="preserve">E. Carport</w:t>
      </w:r>
    </w:p>
    <w:p>
      <w:pPr>
        <w:numPr>
          <w:ilvl w:val="1"/>
          <w:numId w:val="1000"/>
        </w:numPr>
      </w:pPr>
      <w:r>
        <w:t xml:space="preserve">1. Carports shall be located over a driveway.</w:t>
      </w:r>
    </w:p>
    <w:p>
      <w:pPr>
        <w:numPr>
          <w:ilvl w:val="0"/>
          <w:numId w:val="2287"/>
        </w:numPr>
      </w:pPr>
      <w:r>
        <w:t xml:space="preserve">2. A carport is permitted only in the interior side yard, corner side yard, or rear yard and shall be at least four feet from any lot line.</w:t>
      </w:r>
    </w:p>
    <w:p>
      <w:pPr>
        <w:numPr>
          <w:ilvl w:val="0"/>
          <w:numId w:val="2288"/>
        </w:numPr>
      </w:pPr>
      <w:r>
        <w:t xml:space="preserve">3. The total length of a carport is limited to 20 feet. The height of a carport is limited to 10 feet.</w:t>
      </w:r>
    </w:p>
    <w:p>
      <w:pPr>
        <w:numPr>
          <w:ilvl w:val="0"/>
          <w:numId w:val="2289"/>
        </w:numPr>
      </w:pPr>
      <w:r>
        <w:t xml:space="preserve">4. A carport shall be entirely open on at least three sides except for the necessary supporting columns and customary architectural features.</w:t>
      </w:r>
    </w:p>
    <w:p>
      <w:pPr>
        <w:numPr>
          <w:ilvl w:val="0"/>
          <w:numId w:val="2290"/>
        </w:numPr>
      </w:pPr>
      <w:r>
        <w:t xml:space="preserve">5. A carport shall be constructed as a permanent structure. Temporary tent structures are not considered carports.</w:t>
      </w:r>
    </w:p>
    <w:p>
      <w:pPr>
        <w:pStyle w:val="Compact"/>
        <w:numPr>
          <w:ilvl w:val="0"/>
          <w:numId w:val="2291"/>
        </w:numPr>
      </w:pPr>
    </w:p>
    <w:p>
      <w:pPr>
        <w:numPr>
          <w:ilvl w:val="1"/>
          <w:numId w:val="2292"/>
        </w:numPr>
      </w:pPr>
      <w:r>
        <w:t xml:space="preserve">F. Chicken Coop</w:t>
      </w:r>
    </w:p>
    <w:p>
      <w:pPr>
        <w:numPr>
          <w:ilvl w:val="1"/>
          <w:numId w:val="1000"/>
        </w:numPr>
      </w:pPr>
      <w:r>
        <w:t xml:space="preserve">1. Chicken coops do not require a building permit.</w:t>
      </w:r>
    </w:p>
    <w:p>
      <w:pPr>
        <w:numPr>
          <w:ilvl w:val="0"/>
          <w:numId w:val="2293"/>
        </w:numPr>
      </w:pPr>
      <w:r>
        <w:t xml:space="preserve">2. Chicken coops are permitted in the rear yard only.</w:t>
      </w:r>
    </w:p>
    <w:p>
      <w:pPr>
        <w:numPr>
          <w:ilvl w:val="0"/>
          <w:numId w:val="2294"/>
        </w:numPr>
      </w:pPr>
      <w:r>
        <w:t xml:space="preserve">3. No hens shall be kept or raised within a dwelling.</w:t>
      </w:r>
    </w:p>
    <w:p>
      <w:pPr>
        <w:numPr>
          <w:ilvl w:val="0"/>
          <w:numId w:val="2295"/>
        </w:numPr>
      </w:pPr>
      <w:r>
        <w:t xml:space="preserve">4. One hen is permitted per each 800 square feet of total lot area, up to a maximum of six hens on any lot. The owner of the hens shall be a resident of the dwelling on the lot.</w:t>
      </w:r>
    </w:p>
    <w:p>
      <w:pPr>
        <w:numPr>
          <w:ilvl w:val="0"/>
          <w:numId w:val="2296"/>
        </w:numPr>
      </w:pPr>
      <w:r>
        <w:t xml:space="preserve">5. Roosters are prohibited. However, if the sex of a chick cannot be determined at hatching, a chick of either sex may be kept on the property for up to six months.</w:t>
      </w:r>
    </w:p>
    <w:p>
      <w:pPr>
        <w:numPr>
          <w:ilvl w:val="0"/>
          <w:numId w:val="2297"/>
        </w:numPr>
      </w:pPr>
      <w:r>
        <w:t xml:space="preserve">6. All hens shall be subject to the nuisance provisions of the Providence Code of Ordinances.</w:t>
      </w:r>
    </w:p>
    <w:p>
      <w:pPr>
        <w:numPr>
          <w:ilvl w:val="0"/>
          <w:numId w:val="2298"/>
        </w:numPr>
      </w:pPr>
      <w:r>
        <w:t xml:space="preserve">7. All hens shall be confined between the hours of 9:00 p.m. and 8:00 a.m.</w:t>
      </w:r>
    </w:p>
    <w:p>
      <w:pPr>
        <w:numPr>
          <w:ilvl w:val="0"/>
          <w:numId w:val="2299"/>
        </w:numPr>
      </w:pPr>
      <w:r>
        <w:t xml:space="preserve">8. All hens shall be provided with both a chicken coop and a fenced outdoor enclosure, subject to the following provisions: a. The chicken coop shall provide a minimum of two square feet per hen.</w:t>
      </w:r>
    </w:p>
    <w:p>
      <w:pPr>
        <w:pStyle w:val="Compact"/>
        <w:numPr>
          <w:ilvl w:val="0"/>
          <w:numId w:val="2300"/>
        </w:numPr>
      </w:pPr>
    </w:p>
    <w:p>
      <w:pPr>
        <w:numPr>
          <w:ilvl w:val="1"/>
          <w:numId w:val="2301"/>
        </w:numPr>
      </w:pPr>
      <w:r>
        <w:t xml:space="preserve">b. The chicken coop and fenced enclosure shall be kept in good repair, maintained in a clean and sanitary condition, and free of vermin, obnoxious smells, and substances. The facility shall be adequately lit and ventilated.</w:t>
      </w:r>
    </w:p>
    <w:p>
      <w:pPr>
        <w:pStyle w:val="Compact"/>
        <w:numPr>
          <w:ilvl w:val="0"/>
          <w:numId w:val="2302"/>
        </w:numPr>
      </w:pPr>
    </w:p>
    <w:p>
      <w:pPr>
        <w:numPr>
          <w:ilvl w:val="1"/>
          <w:numId w:val="2303"/>
        </w:numPr>
      </w:pPr>
      <w:r>
        <w:t xml:space="preserve">c. The chicken coop shall be designed to ensure the health and well being of the hens, including protection from predators, the elements, and inclement weather.</w:t>
      </w:r>
    </w:p>
    <w:p>
      <w:pPr>
        <w:pStyle w:val="Compact"/>
        <w:numPr>
          <w:ilvl w:val="0"/>
          <w:numId w:val="2304"/>
        </w:numPr>
      </w:pPr>
    </w:p>
    <w:p>
      <w:pPr>
        <w:numPr>
          <w:ilvl w:val="1"/>
          <w:numId w:val="2305"/>
        </w:numPr>
      </w:pPr>
      <w:r>
        <w:t xml:space="preserve">d. The chicken coop shall be located upon an impermeable surface that prevents waste run-off.</w:t>
      </w:r>
    </w:p>
    <w:p>
      <w:pPr>
        <w:numPr>
          <w:ilvl w:val="0"/>
          <w:numId w:val="2306"/>
        </w:numPr>
      </w:pPr>
      <w:r>
        <w:t xml:space="preserve">9. All manure shall be composted in enclosed bins.</w:t>
      </w:r>
    </w:p>
    <w:p>
      <w:pPr>
        <w:numPr>
          <w:ilvl w:val="0"/>
          <w:numId w:val="2307"/>
        </w:numPr>
      </w:pPr>
      <w:r>
        <w:t xml:space="preserve">10. Slaughtering of chickens on-site is prohibited.</w:t>
      </w:r>
    </w:p>
    <w:p>
      <w:pPr>
        <w:pStyle w:val="Compact"/>
        <w:numPr>
          <w:ilvl w:val="0"/>
          <w:numId w:val="2308"/>
        </w:numPr>
      </w:pPr>
    </w:p>
    <w:p>
      <w:pPr>
        <w:numPr>
          <w:ilvl w:val="1"/>
          <w:numId w:val="2309"/>
        </w:numPr>
      </w:pPr>
      <w:r>
        <w:t xml:space="preserve">G. Coldframe Structure</w:t>
      </w:r>
    </w:p>
    <w:p>
      <w:pPr>
        <w:numPr>
          <w:ilvl w:val="1"/>
          <w:numId w:val="1000"/>
        </w:numPr>
      </w:pPr>
      <w:r>
        <w:t xml:space="preserve">1. Coldframe structures do not require a building permit.</w:t>
      </w:r>
    </w:p>
    <w:p>
      <w:pPr>
        <w:numPr>
          <w:ilvl w:val="0"/>
          <w:numId w:val="2310"/>
        </w:numPr>
      </w:pPr>
      <w:r>
        <w:t xml:space="preserve">2. Coldframe structures up to three feet in height are permitted only in the interior side, corner side, and rear yards.</w:t>
      </w:r>
    </w:p>
    <w:p>
      <w:pPr>
        <w:numPr>
          <w:ilvl w:val="0"/>
          <w:numId w:val="2311"/>
        </w:numPr>
      </w:pPr>
      <w:r>
        <w:t xml:space="preserve">3. Coldframe structures over three feet in height are permitted only in the rear yard.</w:t>
      </w:r>
    </w:p>
    <w:p>
      <w:pPr>
        <w:numPr>
          <w:ilvl w:val="0"/>
          <w:numId w:val="2312"/>
        </w:numPr>
      </w:pPr>
      <w:r>
        <w:t xml:space="preserve">4. Coldframe structures shall be limited to a maximum square footage of 32 square feet and a maximum height of six feet.</w:t>
      </w:r>
    </w:p>
    <w:p>
      <w:pPr>
        <w:pStyle w:val="Compact"/>
        <w:numPr>
          <w:ilvl w:val="0"/>
          <w:numId w:val="2313"/>
        </w:numPr>
      </w:pPr>
    </w:p>
    <w:p>
      <w:pPr>
        <w:numPr>
          <w:ilvl w:val="1"/>
          <w:numId w:val="2314"/>
        </w:numPr>
      </w:pPr>
      <w:r>
        <w:t xml:space="preserve">H. Electric Vehicle Charging Station</w:t>
      </w:r>
    </w:p>
    <w:p>
      <w:pPr>
        <w:numPr>
          <w:ilvl w:val="1"/>
          <w:numId w:val="1000"/>
        </w:numPr>
      </w:pPr>
      <w:r>
        <w:t xml:space="preserve">1. Commercial electric vehicle charging stations are permitted as an accessory use within any parking lot, parking structure, or gas station in all districts.</w:t>
      </w:r>
    </w:p>
    <w:p>
      <w:pPr>
        <w:numPr>
          <w:ilvl w:val="0"/>
          <w:numId w:val="2315"/>
        </w:numPr>
      </w:pPr>
      <w:r>
        <w:t xml:space="preserve">2. Private charging stations are permitted as an accessory use to all residential uses to serve the occupants of the dwelling located on that property.</w:t>
      </w:r>
    </w:p>
    <w:p>
      <w:pPr>
        <w:numPr>
          <w:ilvl w:val="0"/>
          <w:numId w:val="2316"/>
        </w:numPr>
      </w:pPr>
      <w:r>
        <w:t xml:space="preserve">3. Electric charging station equipment shall not block the public right-of-way.</w:t>
      </w:r>
    </w:p>
    <w:p>
      <w:pPr>
        <w:numPr>
          <w:ilvl w:val="0"/>
          <w:numId w:val="2317"/>
        </w:numPr>
      </w:pPr>
      <w:r>
        <w:t xml:space="preserve">4. Each public charging station space shall be posted with a sign indicating the space is only for electric vehicle charging purposes. Days and hour of operations shall be included if time limits of tow away provisions are to be enforced by the owner. Information identifying voltage and amperage levels or safety information shall be posted.</w:t>
      </w:r>
    </w:p>
    <w:p>
      <w:pPr>
        <w:numPr>
          <w:ilvl w:val="0"/>
          <w:numId w:val="2318"/>
        </w:numPr>
      </w:pPr>
      <w:r>
        <w:t xml:space="preserve">5. Charging station equipment shall be maintained in good condition and all equipment shall be functional. Charging stations no longer in use shall be immediately removed.</w:t>
      </w:r>
    </w:p>
    <w:p>
      <w:pPr>
        <w:pStyle w:val="Compact"/>
        <w:numPr>
          <w:ilvl w:val="0"/>
          <w:numId w:val="2319"/>
        </w:numPr>
      </w:pPr>
    </w:p>
    <w:p>
      <w:pPr>
        <w:numPr>
          <w:ilvl w:val="1"/>
          <w:numId w:val="2320"/>
        </w:numPr>
      </w:pPr>
      <w:r>
        <w:t xml:space="preserve">I. Fences and Walls</w:t>
      </w:r>
    </w:p>
    <w:p>
      <w:pPr>
        <w:numPr>
          <w:ilvl w:val="1"/>
          <w:numId w:val="1000"/>
        </w:numPr>
      </w:pPr>
      <w:r>
        <w:t xml:space="preserve">1. General Requirements a. Every fence and wall shall be maintained in a good repair and safe condition at all times. Every damaged or missing element shall be repaired, removed, or replaced immediately.</w:t>
      </w:r>
    </w:p>
    <w:p>
      <w:pPr>
        <w:pStyle w:val="Compact"/>
        <w:numPr>
          <w:ilvl w:val="0"/>
          <w:numId w:val="2321"/>
        </w:numPr>
      </w:pPr>
    </w:p>
    <w:p>
      <w:pPr>
        <w:pStyle w:val="Compact"/>
        <w:numPr>
          <w:ilvl w:val="1"/>
          <w:numId w:val="2322"/>
        </w:numPr>
      </w:pPr>
    </w:p>
    <w:p>
      <w:pPr>
        <w:numPr>
          <w:ilvl w:val="2"/>
          <w:numId w:val="2323"/>
        </w:numPr>
      </w:pPr>
      <w:r>
        <w:t xml:space="preserve">b. Height is measured from the adjacent finished grade to the highest point, except that decorative posts of a fence or wall may exceed the maximum height by six inches. (Figure 13- 2)</w:t>
      </w:r>
    </w:p>
    <w:p>
      <w:pPr>
        <w:pStyle w:val="Compact"/>
        <w:numPr>
          <w:ilvl w:val="0"/>
          <w:numId w:val="2324"/>
        </w:numPr>
      </w:pPr>
    </w:p>
    <w:p>
      <w:pPr>
        <w:pStyle w:val="Compact"/>
        <w:numPr>
          <w:ilvl w:val="1"/>
          <w:numId w:val="2325"/>
        </w:numPr>
      </w:pPr>
    </w:p>
    <w:p>
      <w:pPr>
        <w:numPr>
          <w:ilvl w:val="2"/>
          <w:numId w:val="2326"/>
        </w:numPr>
      </w:pPr>
      <w:r>
        <w:t xml:space="preserve">c. The bottom rail of a fence shall be installed a maximum vertical distance of six inches above the adjacent finished grade for the entire length of the fence. (Figure 13-2)</w:t>
      </w:r>
    </w:p>
    <w:p>
      <w:pPr>
        <w:pStyle w:val="Compact"/>
        <w:numPr>
          <w:ilvl w:val="0"/>
          <w:numId w:val="2327"/>
        </w:numPr>
      </w:pPr>
    </w:p>
    <w:p>
      <w:pPr>
        <w:pStyle w:val="Compact"/>
        <w:numPr>
          <w:ilvl w:val="1"/>
          <w:numId w:val="2328"/>
        </w:numPr>
      </w:pPr>
    </w:p>
    <w:p>
      <w:pPr>
        <w:numPr>
          <w:ilvl w:val="2"/>
          <w:numId w:val="2329"/>
        </w:numPr>
      </w:pPr>
      <w:r>
        <w:t xml:space="preserve">d. When fence requirements are a condition of a use or site element, per this Ordinance, such requirements control.</w:t>
      </w:r>
    </w:p>
    <w:p>
      <w:pPr>
        <w:pStyle w:val="Compact"/>
        <w:numPr>
          <w:ilvl w:val="0"/>
          <w:numId w:val="2330"/>
        </w:numPr>
      </w:pPr>
    </w:p>
    <w:p>
      <w:pPr>
        <w:pStyle w:val="Compact"/>
        <w:numPr>
          <w:ilvl w:val="1"/>
          <w:numId w:val="2331"/>
        </w:numPr>
      </w:pPr>
    </w:p>
    <w:p>
      <w:pPr>
        <w:numPr>
          <w:ilvl w:val="2"/>
          <w:numId w:val="2332"/>
        </w:numPr>
      </w:pPr>
      <w:r>
        <w:t xml:space="preserve">e. Additional fence and wall requirements may be found in the D-1 District and ES Overlay District, or in the use standards of Article 12.</w:t>
      </w:r>
    </w:p>
    <w:p>
      <w:pPr>
        <w:pStyle w:val="Compact"/>
        <w:numPr>
          <w:ilvl w:val="0"/>
          <w:numId w:val="2333"/>
        </w:numPr>
      </w:pPr>
    </w:p>
    <w:p>
      <w:pPr>
        <w:pStyle w:val="Compact"/>
        <w:numPr>
          <w:ilvl w:val="1"/>
          <w:numId w:val="2334"/>
        </w:numPr>
      </w:pPr>
    </w:p>
    <w:p>
      <w:pPr>
        <w:numPr>
          <w:ilvl w:val="2"/>
          <w:numId w:val="2335"/>
        </w:numPr>
      </w:pPr>
      <w:r>
        <w:t xml:space="preserve">f. The combined height of any fence and wall cannot be more than 6 feet.</w:t>
      </w:r>
    </w:p>
    <w:p>
      <w:pPr>
        <w:pStyle w:val="Compact"/>
        <w:numPr>
          <w:ilvl w:val="0"/>
          <w:numId w:val="2336"/>
        </w:numPr>
      </w:pPr>
    </w:p>
    <w:p>
      <w:pPr>
        <w:pStyle w:val="Compact"/>
        <w:numPr>
          <w:ilvl w:val="1"/>
          <w:numId w:val="2337"/>
        </w:numPr>
      </w:pPr>
    </w:p>
    <w:p>
      <w:pPr>
        <w:numPr>
          <w:ilvl w:val="2"/>
          <w:numId w:val="2338"/>
        </w:numPr>
      </w:pPr>
      <w:r>
        <w:t xml:space="preserve">g. Fences may be installed on lot lines.</w:t>
      </w:r>
    </w:p>
    <w:p>
      <w:pPr>
        <w:numPr>
          <w:ilvl w:val="0"/>
          <w:numId w:val="2339"/>
        </w:numPr>
      </w:pPr>
      <w:r>
        <w:t xml:space="preserve">2. Fences</w:t>
      </w:r>
    </w:p>
    <w:p>
      <w:pPr>
        <w:numPr>
          <w:ilvl w:val="0"/>
          <w:numId w:val="1000"/>
        </w:numPr>
      </w:pPr>
      <w:r>
        <w:t xml:space="preserve">a. For all residential uses, no fence within 5 feet of a front lot line shall exceed 36 inches in height. All other fences are limited to six feet in height. (Figure 13-3)</w:t>
      </w:r>
    </w:p>
    <w:p>
      <w:pPr>
        <w:numPr>
          <w:ilvl w:val="0"/>
          <w:numId w:val="2340"/>
        </w:numPr>
      </w:pPr>
      <w:r>
        <w:t xml:space="preserve">3. Barbed Wire and Razor Wire Fences</w:t>
      </w:r>
    </w:p>
    <w:p>
      <w:pPr>
        <w:numPr>
          <w:ilvl w:val="0"/>
          <w:numId w:val="1000"/>
        </w:numPr>
      </w:pPr>
      <w:r>
        <w:t xml:space="preserve">a. Barbed wire and razor wire fences are prohibited in all districts.</w:t>
      </w:r>
    </w:p>
    <w:p>
      <w:pPr>
        <w:numPr>
          <w:ilvl w:val="0"/>
          <w:numId w:val="2341"/>
        </w:numPr>
      </w:pPr>
      <w:r>
        <w:t xml:space="preserve">4. Walls</w:t>
      </w:r>
    </w:p>
    <w:p>
      <w:pPr>
        <w:numPr>
          <w:ilvl w:val="0"/>
          <w:numId w:val="1000"/>
        </w:numPr>
      </w:pPr>
      <w:r>
        <w:t xml:space="preserve">a. A wall shall not exceed 12 inches in width, unless it is used to retain grade and the width is not visible above any adjacent finished grade. No wall within 5 feet of a front lot line shall exceed 36 inches in height. All other walls are limited to 6 feet in height. (Figure 13-3)</w:t>
      </w:r>
    </w:p>
    <w:p>
      <w:pPr>
        <w:pStyle w:val="Compact"/>
        <w:numPr>
          <w:ilvl w:val="0"/>
          <w:numId w:val="2342"/>
        </w:numPr>
      </w:pPr>
    </w:p>
    <w:p>
      <w:pPr>
        <w:numPr>
          <w:ilvl w:val="1"/>
          <w:numId w:val="2343"/>
        </w:numPr>
      </w:pPr>
      <w:r>
        <w:t xml:space="preserve">b. No wall shall be constructed of unfinished building materials, including but not limited to, poured concrete, or concrete blocks unless the wall is properly capped and finished on both faces. In residential zones, masonry units for walls shall be no larger than 18 inches in width and 8 inches in height.</w:t>
      </w:r>
    </w:p>
    <w:p>
      <w:pPr>
        <w:pStyle w:val="Compact"/>
        <w:numPr>
          <w:ilvl w:val="0"/>
          <w:numId w:val="2344"/>
        </w:numPr>
      </w:pPr>
    </w:p>
    <w:p>
      <w:pPr>
        <w:numPr>
          <w:ilvl w:val="1"/>
          <w:numId w:val="2345"/>
        </w:numPr>
      </w:pPr>
      <w:r>
        <w:t xml:space="preserve">J. Garage The following standards apply to all residential garages, with the exception of multi-family dwellings. Attached garages are not considered an accessory structure but are subject to the regulations of this section for attached garages.</w:t>
      </w:r>
    </w:p>
    <w:p>
      <w:pPr>
        <w:numPr>
          <w:ilvl w:val="0"/>
          <w:numId w:val="2346"/>
        </w:numPr>
      </w:pPr>
      <w:r>
        <w:t xml:space="preserve">1. Attached Garage</w:t>
      </w:r>
    </w:p>
    <w:p>
      <w:pPr>
        <w:numPr>
          <w:ilvl w:val="0"/>
          <w:numId w:val="1000"/>
        </w:numPr>
      </w:pPr>
      <w:r>
        <w:t xml:space="preserve">a. Front-loaded attached garages shall be limited to 50% of the width of the front building line or 22 feet, whichever is greater. Garage width is measure between garage doors; in the case of garages designed with multiple garage doors the distance is measured between the edge of the outmost doors. (Figure 13-4)</w:t>
      </w:r>
    </w:p>
    <w:p>
      <w:pPr>
        <w:pStyle w:val="Compact"/>
        <w:numPr>
          <w:ilvl w:val="0"/>
          <w:numId w:val="2347"/>
        </w:numPr>
      </w:pPr>
    </w:p>
    <w:p>
      <w:pPr>
        <w:numPr>
          <w:ilvl w:val="1"/>
          <w:numId w:val="2348"/>
        </w:numPr>
      </w:pPr>
      <w:r>
        <w:t xml:space="preserve">b. Attached garages shall be set back a minimum of five feet from the front building line.</w:t>
      </w:r>
    </w:p>
    <w:p>
      <w:pPr>
        <w:pStyle w:val="Compact"/>
        <w:numPr>
          <w:ilvl w:val="0"/>
          <w:numId w:val="2349"/>
        </w:numPr>
      </w:pPr>
    </w:p>
    <w:p>
      <w:pPr>
        <w:numPr>
          <w:ilvl w:val="1"/>
          <w:numId w:val="2350"/>
        </w:numPr>
      </w:pPr>
      <w:r>
        <w:t xml:space="preserve">c. There shall be a driveway, at least 18 feet long, between a street lot line and a garage door. Where the garage door faces an alley, the front of the garage may be set to the lot line.</w:t>
      </w:r>
    </w:p>
    <w:p>
      <w:pPr>
        <w:numPr>
          <w:ilvl w:val="0"/>
          <w:numId w:val="2351"/>
        </w:numPr>
      </w:pPr>
      <w:r>
        <w:t xml:space="preserve">2. Detached Garage</w:t>
      </w:r>
    </w:p>
    <w:p>
      <w:pPr>
        <w:numPr>
          <w:ilvl w:val="0"/>
          <w:numId w:val="1000"/>
        </w:numPr>
      </w:pPr>
      <w:r>
        <w:t xml:space="preserve">a. One detached garage is permitted per lot.</w:t>
      </w:r>
    </w:p>
    <w:p>
      <w:pPr>
        <w:pStyle w:val="Compact"/>
        <w:numPr>
          <w:ilvl w:val="0"/>
          <w:numId w:val="2352"/>
        </w:numPr>
      </w:pPr>
    </w:p>
    <w:p>
      <w:pPr>
        <w:numPr>
          <w:ilvl w:val="1"/>
          <w:numId w:val="2353"/>
        </w:numPr>
      </w:pPr>
      <w:r>
        <w:t xml:space="preserve">b. A detached garage may be used in part or entirely as an office, recreation room, or accessory dwelling unit.</w:t>
      </w:r>
    </w:p>
    <w:p>
      <w:pPr>
        <w:pStyle w:val="Compact"/>
        <w:numPr>
          <w:ilvl w:val="0"/>
          <w:numId w:val="2354"/>
        </w:numPr>
      </w:pPr>
    </w:p>
    <w:p>
      <w:pPr>
        <w:numPr>
          <w:ilvl w:val="1"/>
          <w:numId w:val="2355"/>
        </w:numPr>
      </w:pPr>
      <w:r>
        <w:t xml:space="preserve">c. Detached garages are permitted only in the rear, interior side, and corner side yards. Detached garages shall be set back a minimum of five feet from the front building line. No setback is required from any side or rear lot line.</w:t>
      </w:r>
    </w:p>
    <w:p>
      <w:pPr>
        <w:pStyle w:val="Compact"/>
        <w:numPr>
          <w:ilvl w:val="0"/>
          <w:numId w:val="2356"/>
        </w:numPr>
      </w:pPr>
    </w:p>
    <w:p>
      <w:pPr>
        <w:numPr>
          <w:ilvl w:val="1"/>
          <w:numId w:val="2357"/>
        </w:numPr>
      </w:pPr>
      <w:r>
        <w:t xml:space="preserve">d. If a lot abuts a public alley that provides adequate access to a street, a detached garage shall be constructed so that access is from the public alley.</w:t>
      </w:r>
    </w:p>
    <w:p>
      <w:pPr>
        <w:pStyle w:val="Compact"/>
        <w:numPr>
          <w:ilvl w:val="0"/>
          <w:numId w:val="2358"/>
        </w:numPr>
      </w:pPr>
    </w:p>
    <w:p>
      <w:pPr>
        <w:numPr>
          <w:ilvl w:val="1"/>
          <w:numId w:val="2359"/>
        </w:numPr>
      </w:pPr>
      <w:r>
        <w:t xml:space="preserve">e. There shall be a driveway, at least 18 feet long, between a street lot line and a garage door. Where the garage door faces an alley, the front of the garage may be set to the lot line.</w:t>
      </w:r>
    </w:p>
    <w:p>
      <w:pPr>
        <w:numPr>
          <w:ilvl w:val="0"/>
          <w:numId w:val="2360"/>
        </w:numPr>
      </w:pPr>
      <w:r>
        <w:t xml:space="preserve">3. Integral Garage</w:t>
      </w:r>
    </w:p>
    <w:p>
      <w:pPr>
        <w:numPr>
          <w:ilvl w:val="0"/>
          <w:numId w:val="1000"/>
        </w:numPr>
      </w:pPr>
      <w:r>
        <w:t xml:space="preserve">a. Integral garages are those whose area occupies part of the primary mass of a residential structure, regardless of the grade at which the garage is entered. It is considered a separate category from an attached garage.</w:t>
      </w:r>
    </w:p>
    <w:p>
      <w:pPr>
        <w:pStyle w:val="Compact"/>
        <w:numPr>
          <w:ilvl w:val="0"/>
          <w:numId w:val="2361"/>
        </w:numPr>
      </w:pPr>
    </w:p>
    <w:p>
      <w:pPr>
        <w:numPr>
          <w:ilvl w:val="1"/>
          <w:numId w:val="2362"/>
        </w:numPr>
      </w:pPr>
      <w:r>
        <w:t xml:space="preserve">b. The width of integral garage(s) shall be limited to 50% of the width of the building façade containing the garage door(s) or 22 feet, whichever is greater; provided however that the width of the integral garage(s) within a rowhouse shall be limited to 75% of the width of the rowhouse unit. Garage width is measured as the distance between the right and left garage door edges; in the case of garages designed with multiple garage doors, the width is measured as the total distance between the edges of the outmost doors.</w:t>
      </w:r>
    </w:p>
    <w:p>
      <w:pPr>
        <w:pStyle w:val="Compact"/>
        <w:numPr>
          <w:ilvl w:val="0"/>
          <w:numId w:val="2363"/>
        </w:numPr>
      </w:pPr>
    </w:p>
    <w:p>
      <w:pPr>
        <w:numPr>
          <w:ilvl w:val="1"/>
          <w:numId w:val="2364"/>
        </w:numPr>
      </w:pPr>
      <w:r>
        <w:t xml:space="preserve">c. If an integral garage faces a front lot line, there shall be a pedestrian entrance door on the façade containing the garage.</w:t>
      </w:r>
    </w:p>
    <w:p>
      <w:pPr>
        <w:pStyle w:val="Compact"/>
        <w:numPr>
          <w:ilvl w:val="0"/>
          <w:numId w:val="2365"/>
        </w:numPr>
      </w:pPr>
    </w:p>
    <w:p>
      <w:pPr>
        <w:numPr>
          <w:ilvl w:val="1"/>
          <w:numId w:val="2366"/>
        </w:numPr>
      </w:pPr>
      <w:r>
        <w:t xml:space="preserve">d. The garage door(s) shall not be closer to the street than any part of the façade containing the garage door(s).</w:t>
      </w:r>
    </w:p>
    <w:p>
      <w:pPr>
        <w:pStyle w:val="Compact"/>
        <w:numPr>
          <w:ilvl w:val="0"/>
          <w:numId w:val="2367"/>
        </w:numPr>
      </w:pPr>
    </w:p>
    <w:p>
      <w:pPr>
        <w:numPr>
          <w:ilvl w:val="1"/>
          <w:numId w:val="2368"/>
        </w:numPr>
      </w:pPr>
      <w:r>
        <w:t xml:space="preserve">e. Excepting rowhouses, there shall be a driveway, at least 18 feet long, between a street lot line and a garage door, or in a case where the front yard setback permits, a garage door may be between zero and three feet from the front lot line.</w:t>
      </w:r>
    </w:p>
    <w:p>
      <w:pPr>
        <w:pStyle w:val="Compact"/>
        <w:numPr>
          <w:ilvl w:val="0"/>
          <w:numId w:val="2369"/>
        </w:numPr>
      </w:pPr>
    </w:p>
    <w:p>
      <w:pPr>
        <w:numPr>
          <w:ilvl w:val="1"/>
          <w:numId w:val="2370"/>
        </w:numPr>
      </w:pPr>
      <w:r>
        <w:t xml:space="preserve">f. If an integral garage is incorporated into a rowhouse, it shall contain no more than a single vehicular stall.</w:t>
      </w:r>
    </w:p>
    <w:p>
      <w:pPr>
        <w:pStyle w:val="Compact"/>
        <w:numPr>
          <w:ilvl w:val="0"/>
          <w:numId w:val="2371"/>
        </w:numPr>
      </w:pPr>
    </w:p>
    <w:p>
      <w:pPr>
        <w:numPr>
          <w:ilvl w:val="1"/>
          <w:numId w:val="2372"/>
        </w:numPr>
      </w:pPr>
      <w:r>
        <w:t xml:space="preserve">g. If an integral garage is incorporated into a rowhouse and faces a front lot line, the garage door shall contain a total area of transparency equal to at least 15% of its area.</w:t>
      </w:r>
    </w:p>
    <w:p>
      <w:pPr>
        <w:pStyle w:val="Compact"/>
        <w:numPr>
          <w:ilvl w:val="0"/>
          <w:numId w:val="2373"/>
        </w:numPr>
      </w:pPr>
    </w:p>
    <w:p>
      <w:pPr>
        <w:numPr>
          <w:ilvl w:val="1"/>
          <w:numId w:val="2374"/>
        </w:numPr>
      </w:pPr>
      <w:r>
        <w:t xml:space="preserve">K. Home Occupation</w:t>
      </w:r>
    </w:p>
    <w:p>
      <w:pPr>
        <w:numPr>
          <w:ilvl w:val="1"/>
          <w:numId w:val="1000"/>
        </w:numPr>
      </w:pPr>
      <w:r>
        <w:t xml:space="preserve">1. The home occupation shall be conducted by a member or members of the family or individuals permanently residing on the premises.</w:t>
      </w:r>
    </w:p>
    <w:p>
      <w:pPr>
        <w:numPr>
          <w:ilvl w:val="0"/>
          <w:numId w:val="2375"/>
        </w:numPr>
      </w:pPr>
      <w:r>
        <w:t xml:space="preserve">2. No more than one person is employed in the home occupation, other than an occupant or occupants of the premises.</w:t>
      </w:r>
    </w:p>
    <w:p>
      <w:pPr>
        <w:numPr>
          <w:ilvl w:val="0"/>
          <w:numId w:val="2376"/>
        </w:numPr>
      </w:pPr>
      <w:r>
        <w:t xml:space="preserve">3. Signs, displays, or activities that indicate from the exterior that the structure is being used, in part, for any purpose other than that of a residence are prohibited. However, one identification sign not exceeding two square feet in area is permitted.</w:t>
      </w:r>
    </w:p>
    <w:p>
      <w:pPr>
        <w:numPr>
          <w:ilvl w:val="0"/>
          <w:numId w:val="2377"/>
        </w:numPr>
      </w:pPr>
      <w:r>
        <w:t xml:space="preserve">4. The home occupation and all related activity, including storage, shall be conducted completely within the principal building or permitted accessory structure.</w:t>
      </w:r>
    </w:p>
    <w:p>
      <w:pPr>
        <w:numPr>
          <w:ilvl w:val="0"/>
          <w:numId w:val="2378"/>
        </w:numPr>
      </w:pPr>
      <w:r>
        <w:t xml:space="preserve">5. No commodities can be sold or services rendered that require receipt or delivery of merchandise, goods, or equipment other than by a passenger motor vehicle or by parcel or letter carrier mail services using vehicles typically employed in residential deliveries.</w:t>
      </w:r>
    </w:p>
    <w:p>
      <w:pPr>
        <w:numPr>
          <w:ilvl w:val="0"/>
          <w:numId w:val="2379"/>
        </w:numPr>
      </w:pPr>
      <w:r>
        <w:t xml:space="preserve">6. Alterations to the residence or permitted accessory structures that would alter the residential character of the dwelling are prohibited.</w:t>
      </w:r>
    </w:p>
    <w:p>
      <w:pPr>
        <w:numPr>
          <w:ilvl w:val="0"/>
          <w:numId w:val="2380"/>
        </w:numPr>
      </w:pPr>
      <w:r>
        <w:t xml:space="preserve">7. The home occupation and any related activity shall not create any traffic hazards or nuisances in public rights-of-way.</w:t>
      </w:r>
    </w:p>
    <w:p>
      <w:pPr>
        <w:numPr>
          <w:ilvl w:val="0"/>
          <w:numId w:val="2381"/>
        </w:numPr>
      </w:pPr>
      <w:r>
        <w:t xml:space="preserve">8. No more than four clients, patients, pupils, or customers are permitted at any given time. Such visits shall occur between 8:00 a.m. and 9:00 p.m. and shall be by appointment only.</w:t>
      </w:r>
    </w:p>
    <w:p>
      <w:pPr>
        <w:numPr>
          <w:ilvl w:val="0"/>
          <w:numId w:val="2382"/>
        </w:numPr>
      </w:pPr>
      <w:r>
        <w:t xml:space="preserve">9. There shall be no perceptible noise, odor, smoke, electrical interference, vibration, or other nuisance emanating from the structure where the home occupation is located in excess of that normally associated with residential use.</w:t>
      </w:r>
    </w:p>
    <w:p>
      <w:pPr>
        <w:numPr>
          <w:ilvl w:val="0"/>
          <w:numId w:val="2383"/>
        </w:numPr>
      </w:pPr>
      <w:r>
        <w:t xml:space="preserve">10. Repair and service of vehicles or any heavy machinery is prohibited as a home occupation.</w:t>
      </w:r>
    </w:p>
    <w:p>
      <w:pPr>
        <w:numPr>
          <w:ilvl w:val="0"/>
          <w:numId w:val="2384"/>
        </w:numPr>
      </w:pPr>
      <w:r>
        <w:t xml:space="preserve">11. Family day care homes are not considered a home occupation and are regulated separately by this Ordinance.</w:t>
      </w:r>
    </w:p>
    <w:p>
      <w:pPr>
        <w:pStyle w:val="Compact"/>
        <w:numPr>
          <w:ilvl w:val="0"/>
          <w:numId w:val="2385"/>
        </w:numPr>
      </w:pPr>
    </w:p>
    <w:p>
      <w:pPr>
        <w:numPr>
          <w:ilvl w:val="1"/>
          <w:numId w:val="2386"/>
        </w:numPr>
      </w:pPr>
      <w:r>
        <w:t xml:space="preserve">L. Mechanical Equipment Mechanical equipment includes heating, ventilation, and air conditioning (HVAC) equipment, electrical generators, ground-mounted electrical transformers, and similar equipment.</w:t>
      </w:r>
    </w:p>
    <w:p>
      <w:pPr>
        <w:numPr>
          <w:ilvl w:val="0"/>
          <w:numId w:val="2387"/>
        </w:numPr>
      </w:pPr>
      <w:r>
        <w:t xml:space="preserve">1. Ground-Mounted Equipment</w:t>
      </w:r>
    </w:p>
    <w:p>
      <w:pPr>
        <w:numPr>
          <w:ilvl w:val="0"/>
          <w:numId w:val="1000"/>
        </w:numPr>
      </w:pPr>
      <w:r>
        <w:t xml:space="preserve">a. Mechanical equipment is prohibited in the front yard. If mechanical equipment is located in the front yard as of the effective date of this Ordinance, the equipment may remain and may be repaired and maintained unless it shall be replaced in its entirety or the principal structure is demolished.</w:t>
      </w:r>
    </w:p>
    <w:p>
      <w:pPr>
        <w:pStyle w:val="Compact"/>
        <w:numPr>
          <w:ilvl w:val="0"/>
          <w:numId w:val="2388"/>
        </w:numPr>
      </w:pPr>
    </w:p>
    <w:p>
      <w:pPr>
        <w:numPr>
          <w:ilvl w:val="1"/>
          <w:numId w:val="2389"/>
        </w:numPr>
      </w:pPr>
      <w:r>
        <w:t xml:space="preserve">b. Mechanical equipment is permitted only in the interior side, corner side, or rear yard and shall be located a minimum of three feet from any lot line.</w:t>
      </w:r>
    </w:p>
    <w:p>
      <w:pPr>
        <w:numPr>
          <w:ilvl w:val="0"/>
          <w:numId w:val="2390"/>
        </w:numPr>
      </w:pPr>
      <w:r>
        <w:t xml:space="preserve">2. Roof-Mounted Equipment</w:t>
      </w:r>
    </w:p>
    <w:p>
      <w:pPr>
        <w:numPr>
          <w:ilvl w:val="0"/>
          <w:numId w:val="1000"/>
        </w:numPr>
      </w:pPr>
      <w:r>
        <w:t xml:space="preserve">a. For structures three or more stories in height, all roof equipment shall be set back from the edge of the roof a minimum distance of one foot for every two feet by which the equipment extends above the roof.</w:t>
      </w:r>
    </w:p>
    <w:p>
      <w:pPr>
        <w:pStyle w:val="Compact"/>
        <w:numPr>
          <w:ilvl w:val="0"/>
          <w:numId w:val="2391"/>
        </w:numPr>
      </w:pPr>
    </w:p>
    <w:p>
      <w:pPr>
        <w:numPr>
          <w:ilvl w:val="1"/>
          <w:numId w:val="2392"/>
        </w:numPr>
      </w:pPr>
      <w:r>
        <w:t xml:space="preserve">b. For structures less than three stories in height and for any building where roof equipment cannot meet the setback requirement of item a above, there shall be either a parapet wall to screen the equipment or the equipment shall be housed in solid building material that is architecturally integrated with the structure.</w:t>
      </w:r>
    </w:p>
    <w:p>
      <w:pPr>
        <w:pStyle w:val="Compact"/>
        <w:numPr>
          <w:ilvl w:val="0"/>
          <w:numId w:val="2393"/>
        </w:numPr>
      </w:pPr>
    </w:p>
    <w:p>
      <w:pPr>
        <w:numPr>
          <w:ilvl w:val="1"/>
          <w:numId w:val="2394"/>
        </w:numPr>
      </w:pPr>
      <w:r>
        <w:t xml:space="preserve">M. Outdoor Sales and Display</w:t>
      </w:r>
    </w:p>
    <w:p>
      <w:pPr>
        <w:numPr>
          <w:ilvl w:val="1"/>
          <w:numId w:val="1000"/>
        </w:numPr>
      </w:pPr>
      <w:r>
        <w:t xml:space="preserve">1. Retail goods establishments and similar retail uses are permitted to have accessory outdoor sales and display of merchandise. However, outdoor storage of goods not offered for sale by the establishment is prohibited.</w:t>
      </w:r>
    </w:p>
    <w:p>
      <w:pPr>
        <w:numPr>
          <w:ilvl w:val="0"/>
          <w:numId w:val="2395"/>
        </w:numPr>
      </w:pPr>
      <w:r>
        <w:t xml:space="preserve">2. Any outdoor display shall be located on the same lot as the principal use. Outdoor display may be located on the adjoining sidewalk only with the appropriate City permits and/or licenses.</w:t>
      </w:r>
    </w:p>
    <w:p>
      <w:pPr>
        <w:numPr>
          <w:ilvl w:val="0"/>
          <w:numId w:val="2396"/>
        </w:numPr>
      </w:pPr>
      <w:r>
        <w:t xml:space="preserve">3. The goods may only displayed when the use is open for business and shall be removed at the end of each business day.</w:t>
      </w:r>
    </w:p>
    <w:p>
      <w:pPr>
        <w:pStyle w:val="Compact"/>
        <w:numPr>
          <w:ilvl w:val="0"/>
          <w:numId w:val="2397"/>
        </w:numPr>
      </w:pPr>
    </w:p>
    <w:p>
      <w:pPr>
        <w:numPr>
          <w:ilvl w:val="1"/>
          <w:numId w:val="2398"/>
        </w:numPr>
      </w:pPr>
      <w:r>
        <w:t xml:space="preserve">N. Refuse and Recycling Container The following standards do not apply to properties that use city-issued wheeled trash and recycling containers.</w:t>
      </w:r>
    </w:p>
    <w:p>
      <w:pPr>
        <w:numPr>
          <w:ilvl w:val="0"/>
          <w:numId w:val="2399"/>
        </w:numPr>
      </w:pPr>
      <w:r>
        <w:t xml:space="preserve">1. Refuse and recycling containers are prohibited in the front yard.</w:t>
      </w:r>
    </w:p>
    <w:p>
      <w:pPr>
        <w:numPr>
          <w:ilvl w:val="0"/>
          <w:numId w:val="2400"/>
        </w:numPr>
      </w:pPr>
      <w:r>
        <w:t xml:space="preserve">2. All refuse and recycling containers shall be fully enclosed on four sides by a solid fence, wall, or wall of the principal building a minimum of six feet and a maximum of eight feet in height. The enclosure shall be gated. Such gate shall be solid.</w:t>
      </w:r>
    </w:p>
    <w:p>
      <w:pPr>
        <w:numPr>
          <w:ilvl w:val="0"/>
          <w:numId w:val="2401"/>
        </w:numPr>
      </w:pPr>
      <w:r>
        <w:t xml:space="preserve">3. Refuse containers are permitted on a temporary basis in all residential zones, subject to the following standards: a. Construction project-related refuse containers must be removed from a property within one week of completion of the construction project.</w:t>
      </w:r>
    </w:p>
    <w:p>
      <w:pPr>
        <w:pStyle w:val="Compact"/>
        <w:numPr>
          <w:ilvl w:val="0"/>
          <w:numId w:val="2402"/>
        </w:numPr>
      </w:pPr>
    </w:p>
    <w:p>
      <w:pPr>
        <w:numPr>
          <w:ilvl w:val="1"/>
          <w:numId w:val="2403"/>
        </w:numPr>
      </w:pPr>
      <w:r>
        <w:t xml:space="preserve">b. All other temporary refuse containers are allowed on a property for up to two weeks.</w:t>
      </w:r>
    </w:p>
    <w:p>
      <w:pPr>
        <w:pStyle w:val="Compact"/>
        <w:numPr>
          <w:ilvl w:val="0"/>
          <w:numId w:val="2404"/>
        </w:numPr>
      </w:pPr>
    </w:p>
    <w:p>
      <w:pPr>
        <w:numPr>
          <w:ilvl w:val="1"/>
          <w:numId w:val="2405"/>
        </w:numPr>
      </w:pPr>
      <w:r>
        <w:t xml:space="preserve">O. Rooftop Accessory Structure</w:t>
      </w:r>
    </w:p>
    <w:p>
      <w:pPr>
        <w:numPr>
          <w:ilvl w:val="1"/>
          <w:numId w:val="1000"/>
        </w:numPr>
      </w:pPr>
      <w:r>
        <w:t xml:space="preserve">1. Accessory structures and rooftop features, such as green roofs, rooftop decks, rooftop gardens, stormwater detention systems, and similar accessory structures and uses are permitted on rooftops. Such structures are excluded from the calculation of height.</w:t>
      </w:r>
    </w:p>
    <w:p>
      <w:pPr>
        <w:numPr>
          <w:ilvl w:val="0"/>
          <w:numId w:val="2406"/>
        </w:numPr>
      </w:pPr>
      <w:r>
        <w:t xml:space="preserve">2. The roof shall contain sufficient space for future necessary operational installations such as mechanical equipment.</w:t>
      </w:r>
    </w:p>
    <w:p>
      <w:pPr>
        <w:numPr>
          <w:ilvl w:val="0"/>
          <w:numId w:val="2407"/>
        </w:numPr>
      </w:pPr>
      <w:r>
        <w:t xml:space="preserve">3. A rooftop greenhouse is excluded from building height calculations and does not count as a story. A rooftop greenhouse may exceed the building height maximum by no more than 25 feet so long as it is setback a minimum of ten feet from the building facade.</w:t>
      </w:r>
    </w:p>
    <w:p>
      <w:pPr>
        <w:pStyle w:val="Compact"/>
        <w:numPr>
          <w:ilvl w:val="0"/>
          <w:numId w:val="2408"/>
        </w:numPr>
      </w:pPr>
    </w:p>
    <w:p>
      <w:pPr>
        <w:numPr>
          <w:ilvl w:val="1"/>
          <w:numId w:val="2409"/>
        </w:numPr>
      </w:pPr>
      <w:r>
        <w:t xml:space="preserve">P. Satellite Dish Antenna</w:t>
      </w:r>
    </w:p>
    <w:p>
      <w:pPr>
        <w:numPr>
          <w:ilvl w:val="1"/>
          <w:numId w:val="1000"/>
        </w:numPr>
      </w:pPr>
      <w:r>
        <w:t xml:space="preserve">1. General Requirements a. Small satellite dish antennas do not require a building permit. Large satellite dish antennas require a building permit.</w:t>
      </w:r>
    </w:p>
    <w:p>
      <w:pPr>
        <w:pStyle w:val="Compact"/>
        <w:numPr>
          <w:ilvl w:val="0"/>
          <w:numId w:val="2410"/>
        </w:numPr>
      </w:pPr>
    </w:p>
    <w:p>
      <w:pPr>
        <w:pStyle w:val="Compact"/>
        <w:numPr>
          <w:ilvl w:val="1"/>
          <w:numId w:val="2411"/>
        </w:numPr>
      </w:pPr>
    </w:p>
    <w:p>
      <w:pPr>
        <w:numPr>
          <w:ilvl w:val="2"/>
          <w:numId w:val="2412"/>
        </w:numPr>
      </w:pPr>
      <w:r>
        <w:t xml:space="preserve">b. Satellite dish antennas shall be permanently installed on a building, in the ground, or on a foundation, and cannot be mounted on a portable or movable structure.</w:t>
      </w:r>
    </w:p>
    <w:p>
      <w:pPr>
        <w:pStyle w:val="Compact"/>
        <w:numPr>
          <w:ilvl w:val="0"/>
          <w:numId w:val="2413"/>
        </w:numPr>
      </w:pPr>
    </w:p>
    <w:p>
      <w:pPr>
        <w:pStyle w:val="Compact"/>
        <w:numPr>
          <w:ilvl w:val="1"/>
          <w:numId w:val="2414"/>
        </w:numPr>
      </w:pPr>
    </w:p>
    <w:p>
      <w:pPr>
        <w:numPr>
          <w:ilvl w:val="2"/>
          <w:numId w:val="2415"/>
        </w:numPr>
      </w:pPr>
      <w:r>
        <w:t xml:space="preserve">c. Subject to operational requirements, the dish color shall be of a neutral color, such as white or grey. No additional signs or advertising is permitted on the satellite dish itself, aside from the logos of the satellite dish service provider and/or dish manufacturer.</w:t>
      </w:r>
    </w:p>
    <w:p>
      <w:pPr>
        <w:pStyle w:val="Compact"/>
        <w:numPr>
          <w:ilvl w:val="0"/>
          <w:numId w:val="2416"/>
        </w:numPr>
      </w:pPr>
    </w:p>
    <w:p>
      <w:pPr>
        <w:pStyle w:val="Compact"/>
        <w:numPr>
          <w:ilvl w:val="1"/>
          <w:numId w:val="2417"/>
        </w:numPr>
      </w:pPr>
    </w:p>
    <w:p>
      <w:pPr>
        <w:numPr>
          <w:ilvl w:val="2"/>
          <w:numId w:val="2418"/>
        </w:numPr>
      </w:pPr>
      <w:r>
        <w:t xml:space="preserve">d. Cables and lines serving ground-mounted satellite dish antennas shall be located underground.</w:t>
      </w:r>
    </w:p>
    <w:p>
      <w:pPr>
        <w:pStyle w:val="Compact"/>
        <w:numPr>
          <w:ilvl w:val="0"/>
          <w:numId w:val="2419"/>
        </w:numPr>
      </w:pPr>
    </w:p>
    <w:p>
      <w:pPr>
        <w:pStyle w:val="Compact"/>
        <w:numPr>
          <w:ilvl w:val="1"/>
          <w:numId w:val="2420"/>
        </w:numPr>
      </w:pPr>
    </w:p>
    <w:p>
      <w:pPr>
        <w:numPr>
          <w:ilvl w:val="2"/>
          <w:numId w:val="2421"/>
        </w:numPr>
      </w:pPr>
      <w:r>
        <w:t xml:space="preserve">e. Compliance with all federal, state, and local regulations is required in the construction, installation, and operation of satellite dish antennas.</w:t>
      </w:r>
    </w:p>
    <w:p>
      <w:pPr>
        <w:pStyle w:val="Compact"/>
        <w:numPr>
          <w:ilvl w:val="0"/>
          <w:numId w:val="2422"/>
        </w:numPr>
      </w:pPr>
    </w:p>
    <w:p>
      <w:pPr>
        <w:pStyle w:val="Compact"/>
        <w:numPr>
          <w:ilvl w:val="1"/>
          <w:numId w:val="2423"/>
        </w:numPr>
      </w:pPr>
    </w:p>
    <w:p>
      <w:pPr>
        <w:numPr>
          <w:ilvl w:val="2"/>
          <w:numId w:val="2424"/>
        </w:numPr>
      </w:pPr>
      <w:r>
        <w:t xml:space="preserve">f. All exposed surfaces of the antenna shall be kept clean and all supports shall be painted to maintain a well-kept appearance.</w:t>
      </w:r>
    </w:p>
    <w:p>
      <w:pPr>
        <w:pStyle w:val="Compact"/>
        <w:numPr>
          <w:ilvl w:val="0"/>
          <w:numId w:val="2425"/>
        </w:numPr>
      </w:pPr>
    </w:p>
    <w:p>
      <w:pPr>
        <w:pStyle w:val="Compact"/>
        <w:numPr>
          <w:ilvl w:val="1"/>
          <w:numId w:val="2426"/>
        </w:numPr>
      </w:pPr>
    </w:p>
    <w:p>
      <w:pPr>
        <w:numPr>
          <w:ilvl w:val="2"/>
          <w:numId w:val="2427"/>
        </w:numPr>
      </w:pPr>
      <w:r>
        <w:t xml:space="preserve">g. Antennas no longer in use shall be immediately removed.</w:t>
      </w:r>
    </w:p>
    <w:p>
      <w:pPr>
        <w:pStyle w:val="Compact"/>
        <w:numPr>
          <w:ilvl w:val="0"/>
          <w:numId w:val="2428"/>
        </w:numPr>
      </w:pPr>
    </w:p>
    <w:p>
      <w:pPr>
        <w:pStyle w:val="Compact"/>
        <w:numPr>
          <w:ilvl w:val="1"/>
          <w:numId w:val="2429"/>
        </w:numPr>
      </w:pPr>
    </w:p>
    <w:p>
      <w:pPr>
        <w:numPr>
          <w:ilvl w:val="2"/>
          <w:numId w:val="2430"/>
        </w:numPr>
      </w:pPr>
      <w:r>
        <w:t xml:space="preserve">h. Every effort shall be made to install satellite dish antennas in locations that are not readily visible from neighboring properties or from the public right-of-way.</w:t>
      </w:r>
    </w:p>
    <w:p>
      <w:pPr>
        <w:numPr>
          <w:ilvl w:val="0"/>
          <w:numId w:val="2431"/>
        </w:numPr>
      </w:pPr>
      <w:r>
        <w:t xml:space="preserve">2. Small Satellite Dish Antenna Small satellite dish antennas, which are one meter (3.28 feet) or less in diameter, are subject to the general requirements above.</w:t>
      </w:r>
    </w:p>
    <w:p>
      <w:pPr>
        <w:numPr>
          <w:ilvl w:val="0"/>
          <w:numId w:val="2432"/>
        </w:numPr>
      </w:pPr>
      <w:r>
        <w:t xml:space="preserve">3. Large Satellite Dish Antenna Large satellite dish antennas, which are greater than one meter (3.28 feet) in diameter, are subject to the general requirements above as well as the following requirements: a. Residential Districts i. Large satellite dish antennas, which are greater than one meter (3.28 feet) in diameter, are permitted only in the rear yard, and shall be set back a distance from all lot lines that is at least equal to the height of the dish, but in no case less than five feet from any lot line.</w:t>
      </w:r>
    </w:p>
    <w:p>
      <w:pPr>
        <w:pStyle w:val="Compact"/>
        <w:numPr>
          <w:ilvl w:val="0"/>
          <w:numId w:val="2433"/>
        </w:numPr>
      </w:pPr>
    </w:p>
    <w:p>
      <w:pPr>
        <w:numPr>
          <w:ilvl w:val="1"/>
          <w:numId w:val="2434"/>
        </w:numPr>
      </w:pPr>
      <w:r>
        <w:t xml:space="preserve">ii. The overall height of a large satellite dish antenna shall not exceed 12 feet.</w:t>
      </w:r>
    </w:p>
    <w:p>
      <w:pPr>
        <w:pStyle w:val="Compact"/>
        <w:numPr>
          <w:ilvl w:val="0"/>
          <w:numId w:val="2435"/>
        </w:numPr>
      </w:pPr>
    </w:p>
    <w:p>
      <w:pPr>
        <w:numPr>
          <w:ilvl w:val="1"/>
          <w:numId w:val="2436"/>
        </w:numPr>
      </w:pPr>
      <w:r>
        <w:t xml:space="preserve">iii. A large satellite dish antenna shall be located and screened so that it cannot be readily seen from public rights-of-way or adjacent properties. Screening includes solid fences, plant materials, and/or earth berms located to conceal the antenna and its support structure. Plants shall be, a minimum of five feet tall at the time of installation.</w:t>
      </w:r>
    </w:p>
    <w:p>
      <w:pPr>
        <w:pStyle w:val="Compact"/>
        <w:numPr>
          <w:ilvl w:val="0"/>
          <w:numId w:val="2437"/>
        </w:numPr>
      </w:pPr>
    </w:p>
    <w:p>
      <w:pPr>
        <w:numPr>
          <w:ilvl w:val="1"/>
          <w:numId w:val="2438"/>
        </w:numPr>
      </w:pPr>
      <w:r>
        <w:t xml:space="preserve">b. Non-Residential Districts</w:t>
      </w:r>
    </w:p>
    <w:p>
      <w:pPr>
        <w:numPr>
          <w:ilvl w:val="1"/>
          <w:numId w:val="1000"/>
        </w:numPr>
      </w:pPr>
      <w:r>
        <w:t xml:space="preserve">i. Large satellite dish antenna are permitted only in the rear or interior side yard, and shall be set back a distance from all lot lines that is at least equal to the height of the dish, but in no case less than five feet from any lot line.</w:t>
      </w:r>
    </w:p>
    <w:p>
      <w:pPr>
        <w:pStyle w:val="Compact"/>
        <w:numPr>
          <w:ilvl w:val="0"/>
          <w:numId w:val="2439"/>
        </w:numPr>
      </w:pPr>
    </w:p>
    <w:p>
      <w:pPr>
        <w:numPr>
          <w:ilvl w:val="1"/>
          <w:numId w:val="2440"/>
        </w:numPr>
      </w:pPr>
      <w:r>
        <w:t xml:space="preserve">ii. Roof-mounting is permitted only if the satellite dish antenna is screened by an architectural feature. The visible portion of the dish shall not comprise more than 25% of the corresponding height or width of the screen.</w:t>
      </w:r>
    </w:p>
    <w:p>
      <w:pPr>
        <w:pStyle w:val="Compact"/>
        <w:numPr>
          <w:ilvl w:val="0"/>
          <w:numId w:val="2441"/>
        </w:numPr>
      </w:pPr>
    </w:p>
    <w:p>
      <w:pPr>
        <w:numPr>
          <w:ilvl w:val="1"/>
          <w:numId w:val="2442"/>
        </w:numPr>
      </w:pPr>
      <w:r>
        <w:t xml:space="preserve">iii. A large satellite dish antenna shall be located and screened so that it cannot be readily seen from public rights-of-way or adjacent properties. Screening includes solid fences, plant materials and/or earth berms located to conceal the antenna and its support structure. Plants shall be a minimum of five feet tall at the time of installation.</w:t>
      </w:r>
    </w:p>
    <w:p>
      <w:pPr>
        <w:pStyle w:val="Compact"/>
        <w:numPr>
          <w:ilvl w:val="0"/>
          <w:numId w:val="2443"/>
        </w:numPr>
      </w:pPr>
    </w:p>
    <w:p>
      <w:pPr>
        <w:numPr>
          <w:ilvl w:val="1"/>
          <w:numId w:val="2444"/>
        </w:numPr>
      </w:pPr>
      <w:r>
        <w:t xml:space="preserve">Q. Solar Energy System (Accessory Use)</w:t>
      </w:r>
    </w:p>
    <w:p>
      <w:pPr>
        <w:numPr>
          <w:ilvl w:val="0"/>
          <w:numId w:val="2445"/>
        </w:numPr>
      </w:pPr>
      <w:r>
        <w:t xml:space="preserve">1. General Requirements</w:t>
      </w:r>
    </w:p>
    <w:p>
      <w:pPr>
        <w:numPr>
          <w:ilvl w:val="0"/>
          <w:numId w:val="1000"/>
        </w:numPr>
      </w:pPr>
      <w:r>
        <w:t xml:space="preserve">a. A solar panel may be building-mounted or freestanding.</w:t>
      </w:r>
    </w:p>
    <w:p>
      <w:pPr>
        <w:pStyle w:val="Compact"/>
        <w:numPr>
          <w:ilvl w:val="0"/>
          <w:numId w:val="2446"/>
        </w:numPr>
      </w:pPr>
    </w:p>
    <w:p>
      <w:pPr>
        <w:numPr>
          <w:ilvl w:val="1"/>
          <w:numId w:val="2447"/>
        </w:numPr>
      </w:pPr>
      <w:r>
        <w:t xml:space="preserve">b. Solar panels shall be placed so that concentrated solar radiation or glare is not directed onto nearby properties or roadways.</w:t>
      </w:r>
    </w:p>
    <w:p>
      <w:pPr>
        <w:numPr>
          <w:ilvl w:val="0"/>
          <w:numId w:val="2448"/>
        </w:numPr>
      </w:pPr>
      <w:r>
        <w:t xml:space="preserve">2. Building-Mounted System</w:t>
      </w:r>
    </w:p>
    <w:p>
      <w:pPr>
        <w:numPr>
          <w:ilvl w:val="0"/>
          <w:numId w:val="1000"/>
        </w:numPr>
      </w:pPr>
      <w:r>
        <w:t xml:space="preserve">a. A building mounted system may be mounted on the roof or wall of a principal building or accessory structure.</w:t>
      </w:r>
    </w:p>
    <w:p>
      <w:pPr>
        <w:pStyle w:val="Compact"/>
        <w:numPr>
          <w:ilvl w:val="0"/>
          <w:numId w:val="2449"/>
        </w:numPr>
      </w:pPr>
    </w:p>
    <w:p>
      <w:pPr>
        <w:numPr>
          <w:ilvl w:val="1"/>
          <w:numId w:val="2450"/>
        </w:numPr>
      </w:pPr>
      <w:r>
        <w:t xml:space="preserve">b. On pitched roof buildings, the maximum height a solar panel shall rise is 18 inches.</w:t>
      </w:r>
    </w:p>
    <w:p>
      <w:pPr>
        <w:pStyle w:val="Compact"/>
        <w:numPr>
          <w:ilvl w:val="0"/>
          <w:numId w:val="2451"/>
        </w:numPr>
      </w:pPr>
    </w:p>
    <w:p>
      <w:pPr>
        <w:numPr>
          <w:ilvl w:val="1"/>
          <w:numId w:val="2452"/>
        </w:numPr>
      </w:pPr>
      <w:r>
        <w:t xml:space="preserve">c. On flat roofed buildings in R-1A, R-1, R-3, and R-P districts, the solar panel system is limited to a maximum height of six feet above the surface of the roof. On flat roofed buildings in all other districts, the solar panel system is limited to fifteen feet above the height of such structure. Roof-mounted solar energy systems are excluded from the calculation of building height.</w:t>
      </w:r>
    </w:p>
    <w:p>
      <w:pPr>
        <w:pStyle w:val="Compact"/>
        <w:numPr>
          <w:ilvl w:val="0"/>
          <w:numId w:val="2453"/>
        </w:numPr>
      </w:pPr>
    </w:p>
    <w:p>
      <w:pPr>
        <w:numPr>
          <w:ilvl w:val="1"/>
          <w:numId w:val="2454"/>
        </w:numPr>
      </w:pPr>
      <w:r>
        <w:t xml:space="preserve">d. Solar panels may project up to two feet from a building façade and shall be integrated into the structure as an architectural feature.</w:t>
      </w:r>
    </w:p>
    <w:p>
      <w:pPr>
        <w:pStyle w:val="Compact"/>
        <w:numPr>
          <w:ilvl w:val="0"/>
          <w:numId w:val="2455"/>
        </w:numPr>
      </w:pPr>
    </w:p>
    <w:p>
      <w:pPr>
        <w:numPr>
          <w:ilvl w:val="1"/>
          <w:numId w:val="2456"/>
        </w:numPr>
      </w:pPr>
      <w:r>
        <w:t xml:space="preserve">e. In the D-1 District, if visible from the right-of-way of any A Street abutting the property, the solar panels shall be integrated into the structure as an architectural feature.</w:t>
      </w:r>
    </w:p>
    <w:p>
      <w:pPr>
        <w:numPr>
          <w:ilvl w:val="0"/>
          <w:numId w:val="2457"/>
        </w:numPr>
      </w:pPr>
      <w:r>
        <w:t xml:space="preserve">3. Freestanding System</w:t>
      </w:r>
    </w:p>
    <w:p>
      <w:pPr>
        <w:numPr>
          <w:ilvl w:val="0"/>
          <w:numId w:val="1000"/>
        </w:numPr>
      </w:pPr>
      <w:r>
        <w:t xml:space="preserve">a. A freestanding system is permitted only in the interior side and rear yard.</w:t>
      </w:r>
    </w:p>
    <w:p>
      <w:pPr>
        <w:pStyle w:val="Compact"/>
        <w:numPr>
          <w:ilvl w:val="0"/>
          <w:numId w:val="2458"/>
        </w:numPr>
      </w:pPr>
    </w:p>
    <w:p>
      <w:pPr>
        <w:numPr>
          <w:ilvl w:val="1"/>
          <w:numId w:val="2459"/>
        </w:numPr>
      </w:pPr>
      <w:r>
        <w:t xml:space="preserve">b. In residential districts and the D-1 district, the maximum height of a freestanding system is eight feet. in all other districts, the solar panel system is limited to the maximum building height for that district, unless otherwise limited by any height restriction imposed by any airport authority, port authority, or other similar federal, state, or local authority.</w:t>
      </w:r>
    </w:p>
    <w:p>
      <w:pPr>
        <w:numPr>
          <w:ilvl w:val="0"/>
          <w:numId w:val="2460"/>
        </w:numPr>
      </w:pPr>
      <w:r>
        <w:t xml:space="preserve">4. Co-Location Solar panels may be co-located on structures such as communication towers and light poles.</w:t>
      </w:r>
    </w:p>
    <w:p>
      <w:pPr>
        <w:pStyle w:val="Compact"/>
        <w:numPr>
          <w:ilvl w:val="0"/>
          <w:numId w:val="2461"/>
        </w:numPr>
      </w:pPr>
    </w:p>
    <w:p>
      <w:pPr>
        <w:numPr>
          <w:ilvl w:val="1"/>
          <w:numId w:val="2462"/>
        </w:numPr>
      </w:pPr>
      <w:r>
        <w:t xml:space="preserve">R. Swimming Pools and Hot Tubs No private swimming pool or hot tub, or portion thereof, including, but not limited to, aprons, walks, and mechanical equipment, integral to the pool, may be located within a front yard, or within a required corner side or interior side setback.</w:t>
      </w:r>
    </w:p>
    <w:p>
      <w:pPr>
        <w:pStyle w:val="Compact"/>
        <w:numPr>
          <w:ilvl w:val="0"/>
          <w:numId w:val="2463"/>
        </w:numPr>
      </w:pPr>
    </w:p>
    <w:p>
      <w:pPr>
        <w:numPr>
          <w:ilvl w:val="1"/>
          <w:numId w:val="2464"/>
        </w:numPr>
      </w:pPr>
      <w:r>
        <w:t xml:space="preserve">S. Wind Energy System (Accessory Use) Accessory wind energy systems are subject to the following requirements:</w:t>
      </w:r>
    </w:p>
    <w:p>
      <w:pPr>
        <w:numPr>
          <w:ilvl w:val="0"/>
          <w:numId w:val="2465"/>
        </w:numPr>
      </w:pPr>
      <w:r>
        <w:t xml:space="preserve">1. Wind turbines may be designed as either vertical or horizontal axis turbines with or without exposed blades, including designs that combine elements of the different types of turbines.</w:t>
      </w:r>
    </w:p>
    <w:p>
      <w:pPr>
        <w:numPr>
          <w:ilvl w:val="0"/>
          <w:numId w:val="2466"/>
        </w:numPr>
      </w:pPr>
      <w:r>
        <w:t xml:space="preserve">2. Wind turbines are subject to the following height restrictions: a. The maximum height of any ground-mounted wind turbine is the maximum height allowed in the district.</w:t>
      </w:r>
    </w:p>
    <w:p>
      <w:pPr>
        <w:pStyle w:val="Compact"/>
        <w:numPr>
          <w:ilvl w:val="0"/>
          <w:numId w:val="2467"/>
        </w:numPr>
      </w:pPr>
    </w:p>
    <w:p>
      <w:pPr>
        <w:numPr>
          <w:ilvl w:val="1"/>
          <w:numId w:val="2468"/>
        </w:numPr>
      </w:pPr>
      <w:r>
        <w:t xml:space="preserve">b. The maximum height of any wind turbine mounted upon a structure is 15 feet above the height of such structure.</w:t>
      </w:r>
    </w:p>
    <w:p>
      <w:pPr>
        <w:pStyle w:val="Compact"/>
        <w:numPr>
          <w:ilvl w:val="0"/>
          <w:numId w:val="2469"/>
        </w:numPr>
      </w:pPr>
    </w:p>
    <w:p>
      <w:pPr>
        <w:numPr>
          <w:ilvl w:val="1"/>
          <w:numId w:val="2470"/>
        </w:numPr>
      </w:pPr>
      <w:r>
        <w:t xml:space="preserve">c. Maximum height is the total height of the turbine system, including the tower and the maximum vertical height of the turbine blades. Maximum height therefore is calculated measuring the length of a prop at maximum vertical rotation to the base of the tower. The maximum height of any ground-mounted wind energy system is measured from grade to the length of a prop at maximum vertical rotation.</w:t>
      </w:r>
    </w:p>
    <w:p>
      <w:pPr>
        <w:pStyle w:val="Compact"/>
        <w:numPr>
          <w:ilvl w:val="0"/>
          <w:numId w:val="2471"/>
        </w:numPr>
      </w:pPr>
    </w:p>
    <w:p>
      <w:pPr>
        <w:numPr>
          <w:ilvl w:val="1"/>
          <w:numId w:val="2472"/>
        </w:numPr>
      </w:pPr>
      <w:r>
        <w:t xml:space="preserve">d. No portion of exposed turbine blades (vertical access wind turbine) may be within 20 feet of the ground. Unexposed turbine blades (horizontal access wind turbine) may be within ten feet of the ground.</w:t>
      </w:r>
    </w:p>
    <w:p>
      <w:pPr>
        <w:numPr>
          <w:ilvl w:val="0"/>
          <w:numId w:val="2473"/>
        </w:numPr>
      </w:pPr>
      <w:r>
        <w:t xml:space="preserve">3. Ground-mounted wind turbines are permitted only in the rear yard. No part of the wind system structure, including guy wire anchors, may be located closer than ten feet to any lot line. The tower shall be set back from all lot lines equal to the height of the system. No principal buildings may be located within this area.</w:t>
      </w:r>
    </w:p>
    <w:p>
      <w:pPr>
        <w:numPr>
          <w:ilvl w:val="0"/>
          <w:numId w:val="2474"/>
        </w:numPr>
      </w:pPr>
      <w:r>
        <w:t xml:space="preserve">4. All wind turbines shall be equipped with manual (electronic or mechanical) and automatic over speed controls to limit the blade rotation speed to within the design limits of the wind energy system.</w:t>
      </w:r>
    </w:p>
    <w:p>
      <w:pPr>
        <w:numPr>
          <w:ilvl w:val="0"/>
          <w:numId w:val="2475"/>
        </w:numPr>
      </w:pPr>
      <w:r>
        <w:t xml:space="preserve">5. Wind turbines shall not exceed 65 dBA, as measured at the lot line. The level, however, may be exceeded during short-term events such as utility outages and/or severe windstorms.</w:t>
      </w:r>
    </w:p>
    <w:p>
      <w:pPr>
        <w:numPr>
          <w:ilvl w:val="0"/>
          <w:numId w:val="2476"/>
        </w:numPr>
      </w:pPr>
      <w:r>
        <w:t xml:space="preserve">6. In the D-1 District, the following additional standards apply to wind turbines: a. Ground-mounted turbines are prohibited.</w:t>
      </w:r>
    </w:p>
    <w:p>
      <w:pPr>
        <w:pStyle w:val="Compact"/>
        <w:numPr>
          <w:ilvl w:val="0"/>
          <w:numId w:val="2477"/>
        </w:numPr>
      </w:pPr>
    </w:p>
    <w:p>
      <w:pPr>
        <w:numPr>
          <w:ilvl w:val="1"/>
          <w:numId w:val="2478"/>
        </w:numPr>
      </w:pPr>
      <w:r>
        <w:t xml:space="preserve">b. Roof-mounted wind turbines are limited to a maximum of 15 feet above the rooftop or parapet, whichever is greater. As part of Downtown Design Review Committee review, this standard may be waived to allow taller structures. Roof-mounted wind turbines are excluded from the calculation of building height.</w:t>
      </w:r>
    </w:p>
    <w:p>
      <w:pPr>
        <w:pStyle w:val="Compact"/>
        <w:numPr>
          <w:ilvl w:val="0"/>
          <w:numId w:val="2479"/>
        </w:numPr>
      </w:pPr>
    </w:p>
    <w:p>
      <w:pPr>
        <w:numPr>
          <w:ilvl w:val="1"/>
          <w:numId w:val="2480"/>
        </w:numPr>
      </w:pPr>
      <w:r>
        <w:t xml:space="preserve">c. Roof-mounted wind turbines shall be set back a minimum of 20 feet from all building walls. As part of Downtown Design Review Committee review, this standard may be waived to allow a lesser setback.</w:t>
      </w:r>
    </w:p>
    <w:p>
      <w:pPr>
        <w:pStyle w:val="Compact"/>
        <w:numPr>
          <w:ilvl w:val="0"/>
          <w:numId w:val="2481"/>
        </w:numPr>
      </w:pPr>
    </w:p>
    <w:p>
      <w:pPr>
        <w:numPr>
          <w:ilvl w:val="1"/>
          <w:numId w:val="2482"/>
        </w:numPr>
      </w:pPr>
      <w:r>
        <w:t xml:space="preserve">d. Shadow flicker shall be confined to the roof of the structure. As part of Downtown Design Review Committee review, this standard may be waived if no negative impacts result from a greater area of shadow flicker.</w:t>
      </w:r>
    </w:p>
    <w:p>
      <w:pPr>
        <w:pStyle w:val="Compact"/>
        <w:numPr>
          <w:ilvl w:val="0"/>
          <w:numId w:val="2483"/>
        </w:numPr>
      </w:pPr>
    </w:p>
    <w:p>
      <w:pPr>
        <w:numPr>
          <w:ilvl w:val="1"/>
          <w:numId w:val="2484"/>
        </w:numPr>
      </w:pPr>
      <w:r>
        <w:t xml:space="preserve">T. Yard Sale Yard sales are allowed as accessory to a residential use and are subject to the following requirements:</w:t>
      </w:r>
    </w:p>
    <w:p>
      <w:pPr>
        <w:numPr>
          <w:ilvl w:val="0"/>
          <w:numId w:val="2485"/>
        </w:numPr>
      </w:pPr>
      <w:r>
        <w:t xml:space="preserve">1. Yard sales shall be located on private property unless an encroachment permit is approved to allow a yard sale in the public right-of-way.</w:t>
      </w:r>
    </w:p>
    <w:p>
      <w:pPr>
        <w:numPr>
          <w:ilvl w:val="0"/>
          <w:numId w:val="2486"/>
        </w:numPr>
      </w:pPr>
      <w:r>
        <w:t xml:space="preserve">2. Yard sale events are limited to six events per calendar year on the same lot and a maximum duration of two days per event, with a minimum of 30 days between events.</w:t>
      </w:r>
    </w:p>
    <w:p>
      <w:pPr>
        <w:numPr>
          <w:ilvl w:val="0"/>
          <w:numId w:val="2487"/>
        </w:numPr>
      </w:pPr>
      <w:r>
        <w:t xml:space="preserve">4. No yard sale shall be conducted before 8:00 a.m. or after 8:00 p.m.</w:t>
      </w:r>
    </w:p>
    <w:p>
      <w:pPr>
        <w:pStyle w:val="Compact"/>
        <w:numPr>
          <w:ilvl w:val="0"/>
          <w:numId w:val="2488"/>
        </w:numPr>
      </w:pPr>
    </w:p>
    <w:p>
      <w:pPr>
        <w:numPr>
          <w:ilvl w:val="1"/>
          <w:numId w:val="2489"/>
        </w:numPr>
      </w:pPr>
      <w:r>
        <w:t xml:space="preserve">U. Accessory Dwelling Unit One accessory dwelling unit per lot shall be permitted in all residential districts under the following circumstances:</w:t>
      </w:r>
    </w:p>
    <w:p>
      <w:pPr>
        <w:numPr>
          <w:ilvl w:val="0"/>
          <w:numId w:val="2490"/>
        </w:numPr>
      </w:pPr>
      <w:r>
        <w:t xml:space="preserve">1. An accessory dwelling unit may be located within the principal structure, in a permitted outbuilding, or in a detached garage per Section 1302.J.</w:t>
      </w:r>
    </w:p>
    <w:p>
      <w:pPr>
        <w:numPr>
          <w:ilvl w:val="0"/>
          <w:numId w:val="2491"/>
        </w:numPr>
      </w:pPr>
      <w:r>
        <w:t xml:space="preserve">2. The accessory dwelling unit shall be attached to a foundation and shall not be mobile.</w:t>
      </w:r>
    </w:p>
    <w:p>
      <w:pPr>
        <w:numPr>
          <w:ilvl w:val="0"/>
          <w:numId w:val="2492"/>
        </w:numPr>
      </w:pPr>
      <w:r>
        <w:t xml:space="preserve">3. An accessory dwelling unit is limited in size to whichever is less: 60% of the gross floor area of the principal dwelling, or 900 sf GFA for a studio or one-bedroom accessory dwelling unit, or 1,200 sf GFA for a two-bedroom accessory dwelling unit. No accessory dwelling unit may have more than two bedrooms.</w:t>
      </w:r>
    </w:p>
    <w:p>
      <w:pPr>
        <w:numPr>
          <w:ilvl w:val="0"/>
          <w:numId w:val="2493"/>
        </w:numPr>
      </w:pPr>
      <w:r>
        <w:t xml:space="preserve">4. The existence of an accessory dwelling unit does not change the principal use of the property. For example, a single-family dwelling with an accessory dwelling unit is classified as a single-family dwelling.</w:t>
      </w:r>
    </w:p>
    <w:p>
      <w:pPr>
        <w:numPr>
          <w:ilvl w:val="0"/>
          <w:numId w:val="2494"/>
        </w:numPr>
      </w:pPr>
      <w:r>
        <w:t xml:space="preserve">5. An accessory dwelling unit is considered part of a dwelling for the purpose of determining the number of college students that may occupy the dwelling.</w:t>
      </w:r>
    </w:p>
    <w:p>
      <w:pPr>
        <w:numPr>
          <w:ilvl w:val="0"/>
          <w:numId w:val="2495"/>
        </w:numPr>
      </w:pPr>
      <w:r>
        <w:t xml:space="preserve">6. Short-term rentals are not permitted within accessory dwelling units.</w:t>
      </w:r>
    </w:p>
    <w:bookmarkEnd w:id="97"/>
    <w:bookmarkStart w:id="98" w:name="permitted-encroachments"/>
    <w:p>
      <w:pPr>
        <w:pStyle w:val="Heading2"/>
      </w:pPr>
      <w:r>
        <w:t xml:space="preserve">§ 1303. PERMITTED ENCROACHMENTS</w:t>
      </w:r>
    </w:p>
    <w:p>
      <w:pPr>
        <w:pStyle w:val="FirstParagraph"/>
      </w:pPr>
      <w:r>
        <w:t xml:space="preserve">1303 PERMITTED ENCROACHMENTS</w:t>
      </w:r>
    </w:p>
    <w:p>
      <w:pPr>
        <w:numPr>
          <w:ilvl w:val="0"/>
          <w:numId w:val="2496"/>
        </w:numPr>
      </w:pPr>
      <w:r>
        <w:t xml:space="preserve">A. Encroachments into Required Setbacks An encroachment is the extension or placement of any structure, or component of such, into a required setback. Additional restrictions on permitted encroachments, including additional placement restrictions and bulk regulations, can be found in Section 1302. Permitted encroachments are found in Table 13-2: Permitted Encroachments into Required Setbacks. Where specific setback standards for accessory structures are not specified by this table, Section 1302, or this Ordinance, the general accessory structure requirements of Section 1302 apply.</w:t>
      </w:r>
    </w:p>
    <w:tbl>
      <w:tblPr>
        <w:tblStyle w:val="Table"/>
        <w:tblW w:type="auto" w:w="0"/>
        <w:jc w:val="left"/>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jc w:val="left"/>
            </w:pPr>
            <w:r>
              <w:t xml:space="preserve">Table 13-2: Permitted</w:t>
            </w:r>
          </w:p>
        </w:tc>
        <w:tc>
          <w:tcPr/>
          <w:p>
            <w:pPr>
              <w:pStyle w:val="Compact"/>
              <w:jc w:val="left"/>
            </w:pPr>
            <w:r>
              <w:t xml:space="preserve">Encroachments into</w:t>
            </w:r>
          </w:p>
        </w:tc>
        <w:tc>
          <w:tcPr/>
          <w:p>
            <w:pPr>
              <w:pStyle w:val="Compact"/>
              <w:jc w:val="left"/>
            </w:pPr>
            <w:r>
              <w:t xml:space="preserve">Required Setbacks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Y=</w:t>
            </w:r>
          </w:p>
        </w:tc>
        <w:tc>
          <w:tcPr/>
          <w:p>
            <w:pPr>
              <w:pStyle w:val="Compact"/>
              <w:jc w:val="left"/>
            </w:pPr>
            <w:r>
              <w:t xml:space="preserve">Permitted // N= Prohibited</w:t>
            </w: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Corner</w:t>
            </w:r>
          </w:p>
        </w:tc>
        <w:tc>
          <w:tcPr/>
          <w:p>
            <w:pPr>
              <w:pStyle w:val="Compact"/>
              <w:jc w:val="left"/>
            </w:pPr>
            <w:r>
              <w:t xml:space="preserve">Interior</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Front Setback</w:t>
            </w:r>
          </w:p>
        </w:tc>
        <w:tc>
          <w:tcPr/>
          <w:p>
            <w:pPr>
              <w:pStyle w:val="Compact"/>
            </w:pPr>
          </w:p>
        </w:tc>
        <w:tc>
          <w:tcPr/>
          <w:p>
            <w:pPr>
              <w:pStyle w:val="Compact"/>
            </w:pPr>
          </w:p>
        </w:tc>
        <w:tc>
          <w:tcPr/>
          <w:p>
            <w:pPr>
              <w:pStyle w:val="Compact"/>
              <w:jc w:val="left"/>
            </w:pPr>
            <w:r>
              <w:t xml:space="preserve">Rear Setback</w:t>
            </w: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Side Setback</w:t>
            </w:r>
          </w:p>
        </w:tc>
        <w:tc>
          <w:tcPr/>
          <w:p>
            <w:pPr>
              <w:pStyle w:val="Compact"/>
              <w:jc w:val="left"/>
            </w:pPr>
            <w:r>
              <w:t xml:space="preserve">Side Setback</w:t>
            </w:r>
          </w:p>
        </w:tc>
        <w:tc>
          <w:tcPr/>
          <w:p>
            <w:pPr>
              <w:pStyle w:val="Compact"/>
            </w:pPr>
          </w:p>
        </w:tc>
        <w:tc>
          <w:tcPr/>
          <w:p>
            <w:pPr>
              <w:pStyle w:val="Compact"/>
            </w:pPr>
          </w:p>
        </w:tc>
      </w:tr>
      <w:tr>
        <w:tc>
          <w:tcPr/>
          <w:p>
            <w:pPr>
              <w:pStyle w:val="Compact"/>
            </w:pPr>
          </w:p>
        </w:tc>
        <w:tc>
          <w:tcPr/>
          <w:p>
            <w:pPr>
              <w:pStyle w:val="Compact"/>
              <w:jc w:val="left"/>
            </w:pPr>
            <w:r>
              <w:t xml:space="preserve">Accessibility Ramp</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Amateur (HAM) Radio Equipment (Section 1302.B)</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Apiary (Section 1302.C)</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Aquaculture/Aquaponics (Section 1302.D)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Arbor</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Areaway Maximum encroachment of 4’</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Awning or Canopy: Non-Structural Maximum encroachment of 3’</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Balcony 6’ into front, interior side, or corner side 8’ into rear 4’ from all lot lines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Bay Window Maximum encroachment of 3’</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Bulkhead Maximum encroachment of 6’ Prohibited in front yard</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Canopy: Structural or Porte-Cochere 5’ from all lot lines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Carport (Section 1302.E)</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Chicken Coop (Section 1302.F)</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Chimney 16” into setback 4’ from all lot lines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Coldframe Structure (Section 1302.G)</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Compost Pile 5’ from all lot lines Prohibited in front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Deck 6’ into interior or corner side 8’ into rear 4’ from all lot lines Prohibited in front yard</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Dog House Prohibited in front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Eaves Maximum encroachment of 3’</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Exterior Lighting (Section 1301)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bl>
    <w:p/>
    <w:tbl>
      <w:tblPr>
        <w:tblStyle w:val="Table"/>
        <w:tblW w:type="auto" w:w="0"/>
        <w:jc w:val="left"/>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jc w:val="left"/>
            </w:pPr>
            <w:r>
              <w:t xml:space="preserve">Table 13-2: Permitted</w:t>
            </w:r>
          </w:p>
        </w:tc>
        <w:tc>
          <w:tcPr/>
          <w:p>
            <w:pPr>
              <w:pStyle w:val="Compact"/>
              <w:jc w:val="left"/>
            </w:pPr>
            <w:r>
              <w:t xml:space="preserve">Encroachments into</w:t>
            </w:r>
          </w:p>
        </w:tc>
        <w:tc>
          <w:tcPr/>
          <w:p>
            <w:pPr>
              <w:pStyle w:val="Compact"/>
              <w:jc w:val="left"/>
            </w:pPr>
            <w:r>
              <w:t xml:space="preserve">Required Setbacks</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Y=</w:t>
            </w:r>
          </w:p>
        </w:tc>
        <w:tc>
          <w:tcPr/>
          <w:p>
            <w:pPr>
              <w:pStyle w:val="Compact"/>
              <w:jc w:val="left"/>
            </w:pPr>
            <w:r>
              <w:t xml:space="preserve">Permitted // N= Prohibited</w:t>
            </w: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Corner</w:t>
            </w:r>
          </w:p>
        </w:tc>
        <w:tc>
          <w:tcPr/>
          <w:p>
            <w:pPr>
              <w:pStyle w:val="Compact"/>
              <w:jc w:val="left"/>
            </w:pPr>
            <w:r>
              <w:t xml:space="preserve">Interior</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Front Setback</w:t>
            </w:r>
          </w:p>
        </w:tc>
        <w:tc>
          <w:tcPr/>
          <w:p>
            <w:pPr>
              <w:pStyle w:val="Compact"/>
            </w:pPr>
          </w:p>
        </w:tc>
        <w:tc>
          <w:tcPr/>
          <w:p>
            <w:pPr>
              <w:pStyle w:val="Compact"/>
            </w:pPr>
          </w:p>
        </w:tc>
        <w:tc>
          <w:tcPr/>
          <w:p>
            <w:pPr>
              <w:pStyle w:val="Compact"/>
              <w:jc w:val="left"/>
            </w:pPr>
            <w:r>
              <w:t xml:space="preserve">Rear Setback</w:t>
            </w: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Side Setback</w:t>
            </w:r>
          </w:p>
        </w:tc>
        <w:tc>
          <w:tcPr/>
          <w:p>
            <w:pPr>
              <w:pStyle w:val="Compact"/>
              <w:jc w:val="left"/>
            </w:pPr>
            <w:r>
              <w:t xml:space="preserve">Side Setback</w:t>
            </w:r>
          </w:p>
        </w:tc>
        <w:tc>
          <w:tcPr/>
          <w:p>
            <w:pPr>
              <w:pStyle w:val="Compact"/>
            </w:pPr>
          </w:p>
        </w:tc>
        <w:tc>
          <w:tcPr/>
          <w:p>
            <w:pPr>
              <w:pStyle w:val="Compact"/>
            </w:pPr>
          </w:p>
        </w:tc>
      </w:tr>
      <w:tr>
        <w:tc>
          <w:tcPr/>
          <w:p>
            <w:pPr>
              <w:pStyle w:val="Compact"/>
            </w:pPr>
          </w:p>
        </w:tc>
        <w:tc>
          <w:tcPr/>
          <w:p>
            <w:pPr>
              <w:pStyle w:val="Compact"/>
              <w:jc w:val="left"/>
            </w:pPr>
            <w:r>
              <w:t xml:space="preserve">Exterior Stairwell 4’ into rear Prohibited in front yard</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Fence or Wall (Section 1302.I)</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Fire Escape Maximum encroachment of 4’</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Garage – Detached (Section 1302.J)</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Gazebo or Pergola Prohibited in front yard</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Greenhouse Prohibited in front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Lawn Furniture and Lawn Decorations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Mailbox</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pPr>
          </w:p>
        </w:tc>
      </w:tr>
      <w:tr>
        <w:tc>
          <w:tcPr/>
          <w:p>
            <w:pPr>
              <w:pStyle w:val="Compact"/>
            </w:pPr>
          </w:p>
        </w:tc>
        <w:tc>
          <w:tcPr/>
          <w:p>
            <w:pPr>
              <w:pStyle w:val="Compact"/>
              <w:jc w:val="left"/>
            </w:pPr>
            <w:r>
              <w:t xml:space="preserve">Mechanical Equipment – Ground-Mounted (Section 1302.L)</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Outbuilding Prohibited in front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Patio 6’ into front, interior side, or corner side Maximum height of 1’ above grade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Personal Recreation Game Court Prohibited in front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Playground Equipment Prohibited in front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Porch - Unenclosed 6’ into front, interior side, or corner side setback 8’ into rear setback</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Rain Barrel</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Refuse and Recycling Container (Section 1302.N)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Satellite Dish Antenna, Ground-Mounted (Section 1302.P)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Shed Prohibited in front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Sidewalk</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Sills, belt course, cornices, and ornamental features Maximum encroachment of 30”</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Solar Energy System (Accessory Use) - Freestanding (Section 1302.Q)</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Steps and Stoops (roofed or unroofed, includes support posts) 6’ into front, interior side, or corner side setback 8’ into rear setback 4’ from all lot lines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Sunshade Maximum encroachment of 3’ In the D-1 District, maximum projection into right-of-way of 8’</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Swimming Pool and Hot Tub (Section 1302.R)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Trellis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pPr>
          </w:p>
        </w:tc>
      </w:tr>
      <w:tr>
        <w:tc>
          <w:tcPr/>
          <w:p>
            <w:pPr>
              <w:pStyle w:val="Compact"/>
            </w:pPr>
          </w:p>
        </w:tc>
        <w:tc>
          <w:tcPr/>
          <w:p>
            <w:pPr>
              <w:pStyle w:val="Compact"/>
              <w:jc w:val="left"/>
            </w:pPr>
            <w:r>
              <w:t xml:space="preserve">Wind Energy System (Accessory Use) Freestanding - (Section 1302.S)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pPr>
          </w:p>
        </w:tc>
      </w:tr>
    </w:tbl>
    <w:p>
      <w:pPr>
        <w:numPr>
          <w:ilvl w:val="0"/>
          <w:numId w:val="2497"/>
        </w:numPr>
      </w:pPr>
      <w:r>
        <w:t xml:space="preserve">Exterior Stairwell 4’ into rear N Y Y Y Prohibited in front yard Fence or Wall Y Y Y Y (Section 1302.I) Fire Escape Y Y Y Y Maximum encroachment of 4’ Garage – Detached N Y Y Y (Section 1302.J) Gazebo or Pergola N Y Y Y Prohibited in front yard Greenhouse N N Y Y Prohibited in front yard Lawn Furniture and Lawn Decorations Y Y Y Y Mailbox Y Y N N Mechanical Equipment – Ground-Mounted N Y Y Y (Section 1302.L) Outbuilding N N Y Y Prohibited in front yard Patio 6’ into front, interior side, or corner side Y Y Y Y Maximum height of 1’ above grade Personal Recreation Game Court N N N Y Prohibited in front yard Playground Equipment N N N Y Prohibited in front yard Porch - Unenclosed 6’ into front, interior side, or corner side setback Y Y Y Y 8’ into rear setback Rain Barrel Y Y Y Y Refuse and Recycling Container N Y Y Y (Section 1302.N) Satellite Dish Antenna, Ground-Mounted N N N Y (Section 1302.P) Shed N N Y Y Prohibited in front yard Sidewalk Y Y Y Y Sills, belt course, cornices, and ornamental features Y Y Y Y Maximum encroachment of 30” Solar Energy System (Accessory Use) - Freestanding N N Y Y (Section 1302.Q) Steps and Stoops (roofed or unroofed, includes support posts) 6’ into front, interior side, or corner side setback Y Y Y Y 8’ into rear setback 4’ from all lot lines Sunshade Maximum encroachment of 3’ Y Y Y Y In the D-1 District, maximum projection into right-of-way of 8’ Swimming Pool and Hot Tub N N N Y (Section 1302.R) Trellis Y Y Y Y Wind Energy System (Accessory Use) - Freestanding N N N Y (Section 1302.S)</w:t>
      </w:r>
    </w:p>
    <w:p>
      <w:pPr>
        <w:numPr>
          <w:ilvl w:val="0"/>
          <w:numId w:val="2498"/>
        </w:numPr>
      </w:pPr>
      <w:r>
        <w:t xml:space="preserve">B. Encroachments into the Public Right-of-Way Certain architectural features and uses are permitted to encroach into the public right-of-way with approval of an encroachment permit in accordance with Section 1914. Two types of encroachment are permitted into the public right-of-way as described in this section.</w:t>
      </w:r>
    </w:p>
    <w:p>
      <w:pPr>
        <w:numPr>
          <w:ilvl w:val="0"/>
          <w:numId w:val="2499"/>
        </w:numPr>
      </w:pPr>
      <w:r>
        <w:t xml:space="preserve">1. Encroachment Not for Habitation</w:t>
      </w:r>
    </w:p>
    <w:p>
      <w:pPr>
        <w:numPr>
          <w:ilvl w:val="0"/>
          <w:numId w:val="1000"/>
        </w:numPr>
      </w:pPr>
      <w:r>
        <w:t xml:space="preserve">a. An encroachment not for habitation is any construction that projects from a building over, onto, or under a public right-of-way that is not designed for and cannot accommodate human or other habitation including, but not limited to, awnings, canopies, marquees, signs, architectural embellishments, foundations, wheelchair ramps, stairs, and the like, whether supported by the ground or not.</w:t>
      </w:r>
    </w:p>
    <w:p>
      <w:pPr>
        <w:pStyle w:val="Compact"/>
        <w:numPr>
          <w:ilvl w:val="0"/>
          <w:numId w:val="2500"/>
        </w:numPr>
      </w:pPr>
    </w:p>
    <w:p>
      <w:pPr>
        <w:numPr>
          <w:ilvl w:val="1"/>
          <w:numId w:val="2501"/>
        </w:numPr>
      </w:pPr>
      <w:r>
        <w:t xml:space="preserve">b. An encroachment not for habitation that encroaches over, onto, or under a public right-of-way is limited as follows: i. Awnings, canopies, marquees, and signs with less than 15 feet vertical clearance above the sidewalk may extend into or occupy up to two-thirds of the width of the sidewalk measured from the lot line. Awnings, canopies, marquees, and signs with 15 feet or more vertical clearance above the sidewalk may extend into or occupy up to 100% of the width of the sidewalk.</w:t>
      </w:r>
    </w:p>
    <w:p>
      <w:pPr>
        <w:pStyle w:val="Compact"/>
        <w:numPr>
          <w:ilvl w:val="0"/>
          <w:numId w:val="2502"/>
        </w:numPr>
      </w:pPr>
    </w:p>
    <w:p>
      <w:pPr>
        <w:numPr>
          <w:ilvl w:val="1"/>
          <w:numId w:val="2503"/>
        </w:numPr>
      </w:pPr>
      <w:r>
        <w:t xml:space="preserve">ii. All other encroachments may extend up to four feet into the right-of-way, but in no case may extend farther than the curb line.</w:t>
      </w:r>
    </w:p>
    <w:p>
      <w:pPr>
        <w:numPr>
          <w:ilvl w:val="0"/>
          <w:numId w:val="2504"/>
        </w:numPr>
      </w:pPr>
      <w:r>
        <w:t xml:space="preserve">2. Encroachment for Habitation</w:t>
      </w:r>
    </w:p>
    <w:p>
      <w:pPr>
        <w:numPr>
          <w:ilvl w:val="0"/>
          <w:numId w:val="1000"/>
        </w:numPr>
      </w:pPr>
      <w:r>
        <w:t xml:space="preserve">a. An encroachment for habitation is any construction that projects from a building over, onto, or under a public right-of-way that is designed for and can accommodate human or other habitation including, but not limited to, balconies, bay windows, basement vaults, subterranean parking garages, and the like, whether supported by the ground or not.</w:t>
      </w:r>
    </w:p>
    <w:p>
      <w:pPr>
        <w:pStyle w:val="Compact"/>
        <w:numPr>
          <w:ilvl w:val="0"/>
          <w:numId w:val="2505"/>
        </w:numPr>
      </w:pPr>
    </w:p>
    <w:p>
      <w:pPr>
        <w:numPr>
          <w:ilvl w:val="1"/>
          <w:numId w:val="2506"/>
        </w:numPr>
      </w:pPr>
      <w:r>
        <w:t xml:space="preserve">b. An encroachment for habitation includes structures and similar elements for outdoor dining, temporary outdoor sales, temporary outdoor entertainment, temporary mobile food sales, and live entertainment – ancillary use when such uses are conducted on the public right-of-way.</w:t>
      </w:r>
    </w:p>
    <w:p>
      <w:pPr>
        <w:pStyle w:val="Compact"/>
        <w:numPr>
          <w:ilvl w:val="0"/>
          <w:numId w:val="2507"/>
        </w:numPr>
      </w:pPr>
    </w:p>
    <w:p>
      <w:pPr>
        <w:numPr>
          <w:ilvl w:val="1"/>
          <w:numId w:val="2508"/>
        </w:numPr>
      </w:pPr>
      <w:r>
        <w:t xml:space="preserve">c. Where the vertical clearance above grade to projecting windows and balconies is more than eight feet, one inch of encroachment is permitted for each additional one inch of vertical clearance above eight feet, but the maximum encroachment is limited to a maximum of four feet.</w:t>
      </w:r>
    </w:p>
    <w:p>
      <w:pPr>
        <w:pStyle w:val="Compact"/>
        <w:numPr>
          <w:ilvl w:val="0"/>
          <w:numId w:val="2509"/>
        </w:numPr>
      </w:pPr>
    </w:p>
    <w:p>
      <w:pPr>
        <w:numPr>
          <w:ilvl w:val="1"/>
          <w:numId w:val="2510"/>
        </w:numPr>
      </w:pPr>
      <w:r>
        <w:t xml:space="preserve">d. No more than 50% of the total area of a facade and no more than 50% of the total length of a façade may encroach over the public right of way. Bays encroaching over the public right of way shall be no more than 12 feet in width and shall be separated from each other by least two feet.</w:t>
      </w:r>
    </w:p>
    <w:bookmarkEnd w:id="98"/>
    <w:bookmarkStart w:id="99" w:name="environmental-performance-standards"/>
    <w:p>
      <w:pPr>
        <w:pStyle w:val="Heading2"/>
      </w:pPr>
      <w:r>
        <w:t xml:space="preserve">§ 1304. ENVIRONMENTAL PERFORMANCE STANDARDS</w:t>
      </w:r>
    </w:p>
    <w:p>
      <w:pPr>
        <w:pStyle w:val="FirstParagraph"/>
      </w:pPr>
      <w:r>
        <w:t xml:space="preserve">1304 ENVIRONMENTAL PERFORMANCE STANDARDS All uses shall comply with the performance standards established in this section unless any federal, state, or local law, ordinance, or regulation establishes a more restrictive standard, in which case, the more restrictive standard applies.</w:t>
      </w:r>
    </w:p>
    <w:p>
      <w:pPr>
        <w:numPr>
          <w:ilvl w:val="0"/>
          <w:numId w:val="2511"/>
        </w:numPr>
      </w:pPr>
      <w:r>
        <w:t xml:space="preserve">A. Noise No activity or use shall be conducted in a manner that generates a level of sound as measured on another property greater than that allowed by federal, state, and local regulations, as amended from time to time. These limits do not apply to construction noises, noises emanating from safety signals or warning devices, noises not directly under the control of the owner or occupant of the property, and transient noises from moving sources, such as motor vehicles, railroads and aircraft.</w:t>
      </w:r>
    </w:p>
    <w:p>
      <w:pPr>
        <w:numPr>
          <w:ilvl w:val="0"/>
          <w:numId w:val="2512"/>
        </w:numPr>
      </w:pPr>
      <w:r>
        <w:t xml:space="preserve">B. Glare and Heat Any activity or the operation of any use that produces glare or heat shall be conducted so that no glare or heat from the activity or operation is detectable at any point off the lot on which the use is located. Flickering or intense sources of light shall be controlled or shielded so as not to cause a nuisance across lot lines.</w:t>
      </w:r>
    </w:p>
    <w:p>
      <w:pPr>
        <w:numPr>
          <w:ilvl w:val="0"/>
          <w:numId w:val="2513"/>
        </w:numPr>
      </w:pPr>
      <w:r>
        <w:t xml:space="preserve">C. Vibration No earthborne vibration from the operation of any use may be detectable at any point off the lot on which the use is located.</w:t>
      </w:r>
    </w:p>
    <w:p>
      <w:pPr>
        <w:numPr>
          <w:ilvl w:val="0"/>
          <w:numId w:val="2514"/>
        </w:numPr>
      </w:pPr>
      <w:r>
        <w:t xml:space="preserve">D. Dust and Air Pollution Dust and other types of air pollution, borne by the wind from sources, such as storage areas, yards, roads, conveying equipment and the like, within lot boundaries, shall be kept to a minimum by appropriate landscape, screening, sheltering, paving, fencing, wetting, collecting, or other acceptable means.</w:t>
      </w:r>
    </w:p>
    <w:p>
      <w:pPr>
        <w:numPr>
          <w:ilvl w:val="0"/>
          <w:numId w:val="2515"/>
        </w:numPr>
      </w:pPr>
      <w:r>
        <w:t xml:space="preserve">E. Discharge and Disposal of Radioactive and Hazardous Waste The discharge of fluid and the disposal of solid radioactive and hazardous waste materials shall comply with applicable federal, state, and local laws, and regulations governing such materials or waste. No operation that produces radioactive or hazardous waste material may commence without prior notice to the City. Radioactive and hazardous material waste shall be transported, stored, and used in conformance with all applicable federal, state, and local laws.</w:t>
      </w:r>
    </w:p>
    <w:p>
      <w:pPr>
        <w:numPr>
          <w:ilvl w:val="0"/>
          <w:numId w:val="2516"/>
        </w:numPr>
      </w:pPr>
      <w:r>
        <w:t xml:space="preserve">F. Electromagnetic Interference Electromagnetic interference from any operation of any use shall not adversely affect the operation of any equipment located off the lot on which such interference originates.</w:t>
      </w:r>
    </w:p>
    <w:p>
      <w:pPr>
        <w:numPr>
          <w:ilvl w:val="0"/>
          <w:numId w:val="2517"/>
        </w:numPr>
      </w:pPr>
      <w:r>
        <w:t xml:space="preserve">G. Odors Any condition or operation which results in the creation of odors of such intensity and character as to be detrimental to the public health and welfare, or which interferes unreasonably with the comfort of the public, shall be removed, stopped or modified so as to remove the odor.</w:t>
      </w:r>
    </w:p>
    <w:p>
      <w:pPr>
        <w:numPr>
          <w:ilvl w:val="0"/>
          <w:numId w:val="2518"/>
        </w:numPr>
      </w:pPr>
      <w:r>
        <w:t xml:space="preserve">H. Fire and Explosion Hazards Materials that present potential fire and explosion hazards shall be transported, stored, and used only in conformance with all applicable federal, state, and local regulations.</w:t>
      </w:r>
    </w:p>
    <w:bookmarkEnd w:id="99"/>
    <w:bookmarkStart w:id="100" w:name="off-street-parking-and-loading"/>
    <w:p>
      <w:pPr>
        <w:pStyle w:val="Heading1"/>
      </w:pPr>
      <w:r>
        <w:t xml:space="preserve">§ 14. OFF-STREET PARKING AND LOADING</w:t>
      </w:r>
    </w:p>
    <w:p>
      <w:pPr>
        <w:pStyle w:val="FirstParagraph"/>
      </w:pPr>
      <w:r>
        <w:t xml:space="preserve">ARTICLE 14. OFF-STREET PARKING AND LOADING 1400 GENERAL PROVISIONS 1401 COMPUTATION OF REQUIREMENTS 1402 REQUIRED OFF-STREET VEHICLE AND BICYCLE PARKING SPACES 1403 REQUIRED OFF-STREET LOADING SPACES 1404 DESIGN OF VEHICLE PARKING SPACES 1405 DESIGN OF BICYCLE PARKING SPACES 1406 DESIGN OF OFF-STREET LOADING SPACES 1407 DRIVEWAY DESIGN 1408 STORAGE OF COMMERCIAL VEHICLES 1409 STORAGE OF RECREATIONAL VEHICLES 1410 PARKING EXEMPTIONS 1411 SHARED PARKING</w:t>
      </w:r>
    </w:p>
    <w:bookmarkEnd w:id="100"/>
    <w:bookmarkStart w:id="101" w:name="general-provisions"/>
    <w:p>
      <w:pPr>
        <w:pStyle w:val="Heading2"/>
      </w:pPr>
      <w:r>
        <w:t xml:space="preserve">§ 1400. GENERAL PROVISIONS</w:t>
      </w:r>
    </w:p>
    <w:p>
      <w:pPr>
        <w:pStyle w:val="FirstParagraph"/>
      </w:pPr>
      <w:r>
        <w:t xml:space="preserve">1400 GENERAL PROVISIONS</w:t>
      </w:r>
    </w:p>
    <w:p>
      <w:pPr>
        <w:numPr>
          <w:ilvl w:val="0"/>
          <w:numId w:val="2519"/>
        </w:numPr>
      </w:pPr>
      <w:r>
        <w:t xml:space="preserve">A. Existing Facilities</w:t>
      </w:r>
    </w:p>
    <w:p>
      <w:pPr>
        <w:numPr>
          <w:ilvl w:val="0"/>
          <w:numId w:val="1000"/>
        </w:numPr>
      </w:pPr>
      <w:r>
        <w:t xml:space="preserve">1. The existing number of off-street vehicle, bicycle, and loading spaces shall not be reduced below the minimum requirements of this Ordinance. If the number of existing spaces is already less than the requirements of this Article, it shall not be further reduced.</w:t>
      </w:r>
    </w:p>
    <w:p>
      <w:pPr>
        <w:numPr>
          <w:ilvl w:val="0"/>
          <w:numId w:val="2520"/>
        </w:numPr>
      </w:pPr>
      <w:r>
        <w:t xml:space="preserve">2. If a building permit was lawfully issued prior to the effective date of this Ordinance, and if substantial construction has begun within 180 days of the issuance of a permit, the number of offstreet vehicle, bicycle, and loading spaces is that required by building permit and supersedes the requirements of this Ordinance.</w:t>
      </w:r>
    </w:p>
    <w:p>
      <w:pPr>
        <w:pStyle w:val="Compact"/>
        <w:numPr>
          <w:ilvl w:val="0"/>
          <w:numId w:val="2521"/>
        </w:numPr>
      </w:pPr>
    </w:p>
    <w:p>
      <w:pPr>
        <w:numPr>
          <w:ilvl w:val="1"/>
          <w:numId w:val="2522"/>
        </w:numPr>
      </w:pPr>
      <w:r>
        <w:t xml:space="preserve">B. Change in Use When the existing use of a structure or land is changed to a new use, parking and bicycle spaces shall be provided as required for the new use, except as described below:</w:t>
      </w:r>
    </w:p>
    <w:p>
      <w:pPr>
        <w:numPr>
          <w:ilvl w:val="0"/>
          <w:numId w:val="2523"/>
        </w:numPr>
      </w:pPr>
      <w:r>
        <w:t xml:space="preserve">1. No additional vehicle and bicycle parking spaces are required if the change in use would result in an increase of spaces of less than 10%. This also applies to a simultaneous change in use of a group of uses on the same lot which together result in a need for an increase in vehicle and bicycle parking spaces of 10% or more. The percent increase is calculated by dividing the number of additional spaces required by the number of spaces required before the increase.</w:t>
      </w:r>
    </w:p>
    <w:p>
      <w:pPr>
        <w:numPr>
          <w:ilvl w:val="0"/>
          <w:numId w:val="2524"/>
        </w:numPr>
      </w:pPr>
      <w:r>
        <w:t xml:space="preserve">2. A change in use is eligible for a parking exemption per Section 1410.</w:t>
      </w:r>
    </w:p>
    <w:p>
      <w:pPr>
        <w:numPr>
          <w:ilvl w:val="0"/>
          <w:numId w:val="2525"/>
        </w:numPr>
      </w:pPr>
      <w:r>
        <w:t xml:space="preserve">3. A change in use is eligible for shared parking per Section 1411.</w:t>
      </w:r>
    </w:p>
    <w:p>
      <w:pPr>
        <w:pStyle w:val="Compact"/>
        <w:numPr>
          <w:ilvl w:val="0"/>
          <w:numId w:val="2526"/>
        </w:numPr>
      </w:pPr>
    </w:p>
    <w:p>
      <w:pPr>
        <w:numPr>
          <w:ilvl w:val="1"/>
          <w:numId w:val="2527"/>
        </w:numPr>
      </w:pPr>
      <w:r>
        <w:t xml:space="preserve">C. Change in Intensity of Use Whenever the intensity of a use is increased based on an increase in the number of dwelling units, floor area, seating capacity, or other unit of measurement used to calculate the number of required number of vehicle and bicycle parking spaces, additional spaces shall be provided for that increase, except as described below:</w:t>
      </w:r>
    </w:p>
    <w:p>
      <w:pPr>
        <w:numPr>
          <w:ilvl w:val="0"/>
          <w:numId w:val="2528"/>
        </w:numPr>
      </w:pPr>
      <w:r>
        <w:t xml:space="preserve">1. Whenever there is an increase in the intensity of a use that creates a need for additional vehicle and bicycle parking spaces of 10% or more, the additional spaces are required. No additional vehicle and bicycle parking spaces are required if the increase in intensity would result in an increase of spaces of less than 10%. This also applies to a simultaneous increase in intensity of a group of uses on the same lot which together result in a need for an increase in vehicle and bicycle parking spaces of 10% or more. The percent increase is calculated by dividing the number of additional spaces required by the number of spaces required before the increase.</w:t>
      </w:r>
    </w:p>
    <w:p>
      <w:pPr>
        <w:numPr>
          <w:ilvl w:val="0"/>
          <w:numId w:val="2529"/>
        </w:numPr>
      </w:pPr>
      <w:r>
        <w:t xml:space="preserve">2. An increase in the intensity of a use is eligible for a parking exemption per Section 1410.</w:t>
      </w:r>
    </w:p>
    <w:p>
      <w:pPr>
        <w:numPr>
          <w:ilvl w:val="0"/>
          <w:numId w:val="2530"/>
        </w:numPr>
      </w:pPr>
      <w:r>
        <w:t xml:space="preserve">3. An increase in the intensity of a use is eligible for shared parking per Section 1411.</w:t>
      </w:r>
    </w:p>
    <w:p>
      <w:pPr>
        <w:pStyle w:val="Compact"/>
        <w:numPr>
          <w:ilvl w:val="0"/>
          <w:numId w:val="2531"/>
        </w:numPr>
      </w:pPr>
    </w:p>
    <w:p>
      <w:pPr>
        <w:numPr>
          <w:ilvl w:val="1"/>
          <w:numId w:val="2532"/>
        </w:numPr>
      </w:pPr>
      <w:r>
        <w:t xml:space="preserve">D. Grandfathered Deficiency of Required Vehicle and Bicycle Parking</w:t>
      </w:r>
    </w:p>
    <w:p>
      <w:pPr>
        <w:numPr>
          <w:ilvl w:val="1"/>
          <w:numId w:val="1000"/>
        </w:numPr>
      </w:pPr>
      <w:r>
        <w:t xml:space="preserve">1. In order to encourage the reuse of existing structures, this Ordinance allows for the grandfathered deficiency of vehicle and bicycle parking spaces of the immediate previous use. A property owner is required to show documentation of the grandfathered vehicle and bicycle spaces.</w:t>
      </w:r>
    </w:p>
    <w:p>
      <w:pPr>
        <w:numPr>
          <w:ilvl w:val="0"/>
          <w:numId w:val="2533"/>
        </w:numPr>
      </w:pPr>
      <w:r>
        <w:t xml:space="preserve">2. For illustrative purposes, the following example is provided. If the immediate previous use required ten vehicle parking spaces but was only able to provide four vehicle spaces, the six vehicle spaces that the use was unable to provide are grandfathered with the site. When a new use is undertaken in the structure that requires 12 vehicle spaces, it will be deficient eight vehicle spaces, as four are already constructed on the site. The six deficient vehicle spaces from the previous use are then applied to this eight vehicle space deficiency, meaning that the new user shall provide two more vehicle parking spaces or apply for a variance if unable to provide the additional vehicle spaces. See calculation below for further illustration of this example: SAMPLE CALCULATION OF GRANDFATHERED PARKING PROVISION STEP 1 IMMEDIATE PREVIOUS USE: Required Parking 10 spaces Subtract IMMEDIATE PREVIOUS USE: Actual Parking 4 spaces GRANDFATHERED 6 spaces STEP 2 NEW USE: Required Parking 12 spaces Subtract NEW USE: Actual Parking 4 spaces NEW USE: Parking Deficiency 8 spaces STEP 3 NEW USE: Parking Deficiency 8 spaces Subtract GRANDFATHERED 6 spaces NEW USE: Additional Required Spaces 2 space</w:t>
      </w:r>
    </w:p>
    <w:p>
      <w:pPr>
        <w:numPr>
          <w:ilvl w:val="0"/>
          <w:numId w:val="1000"/>
        </w:numPr>
      </w:pPr>
      <w:r>
        <w:t xml:space="preserve">3. Following complete demolition of a structure, the new construction and use on the site shall meet all parking requirements and the grandfathered deficiency provision is no longer applicable.</w:t>
      </w:r>
    </w:p>
    <w:p>
      <w:pPr>
        <w:pStyle w:val="Compact"/>
        <w:numPr>
          <w:ilvl w:val="0"/>
          <w:numId w:val="2534"/>
        </w:numPr>
      </w:pPr>
    </w:p>
    <w:p>
      <w:pPr>
        <w:numPr>
          <w:ilvl w:val="1"/>
          <w:numId w:val="2535"/>
        </w:numPr>
      </w:pPr>
      <w:r>
        <w:t xml:space="preserve">E. Provision of Additional Spaces Nothing in this Article prevents the voluntary establishment of additional off-street vehicle and bicycle parking spaces above that required by this Ordinance, unless the Ordinance specifies a maximum number of vehicle spaces in Section 1402.B. There is no limit on the number of bicycle parking spaces that may be provided.</w:t>
      </w:r>
    </w:p>
    <w:p>
      <w:pPr>
        <w:pStyle w:val="Compact"/>
        <w:numPr>
          <w:ilvl w:val="0"/>
          <w:numId w:val="2536"/>
        </w:numPr>
      </w:pPr>
    </w:p>
    <w:p>
      <w:pPr>
        <w:numPr>
          <w:ilvl w:val="1"/>
          <w:numId w:val="2537"/>
        </w:numPr>
      </w:pPr>
      <w:r>
        <w:t xml:space="preserve">F. Prohibition on Use of Parking Facilities The sale, repair, or dismantling or servicing of any vehicles, equipment, materials, or supplies, or the display of goods in off-street parking areas is prohibited, unless otherwise permitted by this Ordinance.</w:t>
      </w:r>
    </w:p>
    <w:bookmarkEnd w:id="101"/>
    <w:bookmarkStart w:id="102" w:name="computation-of-requirements"/>
    <w:p>
      <w:pPr>
        <w:pStyle w:val="Heading2"/>
      </w:pPr>
      <w:r>
        <w:t xml:space="preserve">§ 1401. COMPUTATION OF REQUIREMENTS</w:t>
      </w:r>
    </w:p>
    <w:p>
      <w:pPr>
        <w:pStyle w:val="FirstParagraph"/>
      </w:pPr>
      <w:r>
        <w:t xml:space="preserve">1401 COMPUTATION OF REQUIREMENTS This section describes how the number of vehicle, bicycle, and loading spaces are calculated based upon the requirements of this Article. The total number of required vehicle and bicycle parking and loading spaces is based upon the requirements for the principal use or uses located on the lot.</w:t>
      </w:r>
    </w:p>
    <w:p>
      <w:pPr>
        <w:numPr>
          <w:ilvl w:val="0"/>
          <w:numId w:val="2538"/>
        </w:numPr>
      </w:pPr>
      <w:r>
        <w:t xml:space="preserve">A. Where multiple uses with different parking requirements occupy the same structure or lot, the required vehicle and bicycle parking and loading spaces is the sum of the requirements for each use computed separately, unless otherwise permitted by this Ordinance.</w:t>
      </w:r>
    </w:p>
    <w:p>
      <w:pPr>
        <w:numPr>
          <w:ilvl w:val="0"/>
          <w:numId w:val="2539"/>
        </w:numPr>
      </w:pPr>
      <w:r>
        <w:t xml:space="preserve">B. Space allocated to any off-street loading space shall not be used to satisfy the requirement for any offstreet vehicle or bicycle parking space or access aisle or portion thereof. Conversely, the area allocated to any off-street vehicle or bicycle parking space shall not be used to satisfy the replacement for any offstreet loading space or portion thereof.</w:t>
      </w:r>
    </w:p>
    <w:p>
      <w:pPr>
        <w:numPr>
          <w:ilvl w:val="0"/>
          <w:numId w:val="2540"/>
        </w:numPr>
      </w:pPr>
      <w:r>
        <w:t xml:space="preserve">C. A fraction of less than one-half is disregarded, and a fraction of one-half or more is counted as one parking or loading space.</w:t>
      </w:r>
    </w:p>
    <w:p>
      <w:pPr>
        <w:numPr>
          <w:ilvl w:val="0"/>
          <w:numId w:val="2541"/>
        </w:numPr>
      </w:pPr>
      <w:r>
        <w:t xml:space="preserve">D. For uses where patrons or spectators occupy benches, pews or open floor areas used for service, each 48 linear inches of benches, pews, or permanent seating areas, or five square feet of open floor areas used for seating is counted as one seat for the purpose of determining the requirement for the required number of spaces.</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pPr>
          </w:p>
        </w:tc>
        <w:tc>
          <w:tcPr/>
          <w:p>
            <w:pPr>
              <w:pStyle w:val="Compact"/>
              <w:jc w:val="left"/>
            </w:pPr>
            <w:r>
              <w:t xml:space="preserve">STEP 1</w:t>
            </w:r>
          </w:p>
        </w:tc>
        <w:tc>
          <w:tcPr/>
          <w:p>
            <w:pPr>
              <w:pStyle w:val="Compact"/>
            </w:pPr>
          </w:p>
        </w:tc>
        <w:tc>
          <w:tcPr/>
          <w:p>
            <w:pPr>
              <w:pStyle w:val="Compact"/>
            </w:pPr>
          </w:p>
        </w:tc>
      </w:tr>
      <w:tr>
        <w:tc>
          <w:tcPr/>
          <w:p>
            <w:pPr>
              <w:pStyle w:val="Compact"/>
            </w:pPr>
          </w:p>
        </w:tc>
        <w:tc>
          <w:tcPr/>
          <w:p>
            <w:pPr>
              <w:pStyle w:val="Compact"/>
              <w:jc w:val="left"/>
            </w:pPr>
            <w:r>
              <w:t xml:space="preserve">Subtract</w:t>
            </w:r>
          </w:p>
        </w:tc>
        <w:tc>
          <w:tcPr/>
          <w:p>
            <w:pPr>
              <w:pStyle w:val="Compact"/>
              <w:jc w:val="left"/>
            </w:pPr>
            <w:r>
              <w:t xml:space="preserve">IMMEDIATE PREVIOUS USE: Required Parking IMMEDIATE PREVIOUS USE: Actual Parking</w:t>
            </w:r>
          </w:p>
        </w:tc>
        <w:tc>
          <w:tcPr/>
          <w:p>
            <w:pPr>
              <w:pStyle w:val="Compact"/>
              <w:jc w:val="left"/>
            </w:pPr>
            <w:r>
              <w:t xml:space="preserve">10 spaces 4 spaces</w:t>
            </w:r>
          </w:p>
        </w:tc>
        <w:tc>
          <w:tcPr/>
          <w:p>
            <w:pPr>
              <w:pStyle w:val="Compact"/>
            </w:pPr>
          </w:p>
        </w:tc>
      </w:tr>
      <w:tr>
        <w:tc>
          <w:tcPr/>
          <w:p>
            <w:pPr>
              <w:pStyle w:val="Compact"/>
            </w:pPr>
          </w:p>
        </w:tc>
        <w:tc>
          <w:tcPr/>
          <w:p>
            <w:pPr>
              <w:pStyle w:val="Compact"/>
            </w:pPr>
          </w:p>
        </w:tc>
        <w:tc>
          <w:tcPr/>
          <w:p>
            <w:pPr>
              <w:pStyle w:val="Compact"/>
              <w:jc w:val="left"/>
            </w:pPr>
            <w:r>
              <w:t xml:space="preserve">GRANDFATHERED</w:t>
            </w:r>
          </w:p>
        </w:tc>
        <w:tc>
          <w:tcPr/>
          <w:p>
            <w:pPr>
              <w:pStyle w:val="Compact"/>
              <w:jc w:val="left"/>
            </w:pPr>
            <w:r>
              <w:t xml:space="preserve">6 spaces</w:t>
            </w:r>
          </w:p>
        </w:tc>
        <w:tc>
          <w:tcPr/>
          <w:p>
            <w:pPr>
              <w:pStyle w:val="Compact"/>
            </w:pPr>
          </w:p>
        </w:tc>
      </w:tr>
      <w:tr>
        <w:tc>
          <w:tcPr/>
          <w:p>
            <w:pPr>
              <w:pStyle w:val="Compact"/>
            </w:pPr>
          </w:p>
        </w:tc>
        <w:tc>
          <w:tcPr/>
          <w:p>
            <w:pPr>
              <w:pStyle w:val="Compact"/>
            </w:pPr>
          </w:p>
        </w:tc>
        <w:tc>
          <w:tcPr/>
          <w:p>
            <w:pPr>
              <w:pStyle w:val="Compact"/>
              <w:jc w:val="left"/>
            </w:pPr>
            <w:r>
              <w:t xml:space="preserve">STEP 2</w:t>
            </w:r>
          </w:p>
        </w:tc>
        <w:tc>
          <w:tcPr/>
          <w:p>
            <w:pPr>
              <w:pStyle w:val="Compact"/>
            </w:pPr>
          </w:p>
        </w:tc>
        <w:tc>
          <w:tcPr/>
          <w:p>
            <w:pPr>
              <w:pStyle w:val="Compact"/>
            </w:pPr>
          </w:p>
        </w:tc>
      </w:tr>
      <w:tr>
        <w:tc>
          <w:tcPr/>
          <w:p>
            <w:pPr>
              <w:pStyle w:val="Compact"/>
            </w:pPr>
          </w:p>
        </w:tc>
        <w:tc>
          <w:tcPr/>
          <w:p>
            <w:pPr>
              <w:pStyle w:val="Compact"/>
              <w:jc w:val="left"/>
            </w:pPr>
            <w:r>
              <w:t xml:space="preserve">Subtract</w:t>
            </w:r>
          </w:p>
        </w:tc>
        <w:tc>
          <w:tcPr/>
          <w:p>
            <w:pPr>
              <w:pStyle w:val="Compact"/>
              <w:jc w:val="left"/>
            </w:pPr>
            <w:r>
              <w:t xml:space="preserve">NEW USE: Required Parking NEW USE: Actual Parking</w:t>
            </w:r>
          </w:p>
        </w:tc>
        <w:tc>
          <w:tcPr/>
          <w:p>
            <w:pPr>
              <w:pStyle w:val="Compact"/>
              <w:jc w:val="left"/>
            </w:pPr>
            <w:r>
              <w:t xml:space="preserve">12 spaces 4 spaces</w:t>
            </w:r>
          </w:p>
        </w:tc>
        <w:tc>
          <w:tcPr/>
          <w:p>
            <w:pPr>
              <w:pStyle w:val="Compact"/>
            </w:pPr>
          </w:p>
        </w:tc>
      </w:tr>
      <w:tr>
        <w:tc>
          <w:tcPr/>
          <w:p>
            <w:pPr>
              <w:pStyle w:val="Compact"/>
            </w:pPr>
          </w:p>
        </w:tc>
        <w:tc>
          <w:tcPr/>
          <w:p>
            <w:pPr>
              <w:pStyle w:val="Compact"/>
            </w:pPr>
          </w:p>
        </w:tc>
        <w:tc>
          <w:tcPr/>
          <w:p>
            <w:pPr>
              <w:pStyle w:val="Compact"/>
              <w:jc w:val="left"/>
            </w:pPr>
            <w:r>
              <w:t xml:space="preserve">NEW USE: Parking Deficiency</w:t>
            </w:r>
          </w:p>
        </w:tc>
        <w:tc>
          <w:tcPr/>
          <w:p>
            <w:pPr>
              <w:pStyle w:val="Compact"/>
              <w:jc w:val="left"/>
            </w:pPr>
            <w:r>
              <w:t xml:space="preserve">8 spaces</w:t>
            </w:r>
          </w:p>
        </w:tc>
        <w:tc>
          <w:tcPr/>
          <w:p>
            <w:pPr>
              <w:pStyle w:val="Compact"/>
            </w:pPr>
          </w:p>
        </w:tc>
      </w:tr>
      <w:tr>
        <w:tc>
          <w:tcPr/>
          <w:p>
            <w:pPr>
              <w:pStyle w:val="Compact"/>
            </w:pPr>
          </w:p>
        </w:tc>
        <w:tc>
          <w:tcPr/>
          <w:p>
            <w:pPr>
              <w:pStyle w:val="Compact"/>
            </w:pPr>
          </w:p>
        </w:tc>
        <w:tc>
          <w:tcPr/>
          <w:p>
            <w:pPr>
              <w:pStyle w:val="Compact"/>
              <w:jc w:val="left"/>
            </w:pPr>
            <w:r>
              <w:t xml:space="preserve">STEP 3</w:t>
            </w:r>
          </w:p>
        </w:tc>
        <w:tc>
          <w:tcPr/>
          <w:p>
            <w:pPr>
              <w:pStyle w:val="Compact"/>
            </w:pPr>
          </w:p>
        </w:tc>
        <w:tc>
          <w:tcPr/>
          <w:p>
            <w:pPr>
              <w:pStyle w:val="Compact"/>
            </w:pPr>
          </w:p>
        </w:tc>
      </w:tr>
      <w:tr>
        <w:tc>
          <w:tcPr/>
          <w:p>
            <w:pPr>
              <w:pStyle w:val="Compact"/>
            </w:pPr>
          </w:p>
        </w:tc>
        <w:tc>
          <w:tcPr/>
          <w:p>
            <w:pPr>
              <w:pStyle w:val="Compact"/>
              <w:jc w:val="left"/>
            </w:pPr>
            <w:r>
              <w:t xml:space="preserve">Subtract</w:t>
            </w:r>
          </w:p>
        </w:tc>
        <w:tc>
          <w:tcPr/>
          <w:p>
            <w:pPr>
              <w:pStyle w:val="Compact"/>
              <w:jc w:val="left"/>
            </w:pPr>
            <w:r>
              <w:t xml:space="preserve">NEW USE: Parking Deficiency GRANDFATHERED</w:t>
            </w:r>
          </w:p>
        </w:tc>
        <w:tc>
          <w:tcPr/>
          <w:p>
            <w:pPr>
              <w:pStyle w:val="Compact"/>
              <w:jc w:val="left"/>
            </w:pPr>
            <w:r>
              <w:t xml:space="preserve">8 spaces 6 spaces</w:t>
            </w:r>
          </w:p>
        </w:tc>
        <w:tc>
          <w:tcPr/>
          <w:p>
            <w:pPr>
              <w:pStyle w:val="Compact"/>
            </w:pPr>
          </w:p>
        </w:tc>
      </w:tr>
      <w:tr>
        <w:tc>
          <w:tcPr/>
          <w:p>
            <w:pPr>
              <w:pStyle w:val="Compact"/>
            </w:pPr>
          </w:p>
        </w:tc>
        <w:tc>
          <w:tcPr/>
          <w:p>
            <w:pPr>
              <w:pStyle w:val="Compact"/>
            </w:pPr>
          </w:p>
        </w:tc>
        <w:tc>
          <w:tcPr/>
          <w:p>
            <w:pPr>
              <w:pStyle w:val="Compact"/>
              <w:jc w:val="left"/>
            </w:pPr>
            <w:r>
              <w:t xml:space="preserve">NEW USE: Additional Required Spaces</w:t>
            </w:r>
          </w:p>
        </w:tc>
        <w:tc>
          <w:tcPr/>
          <w:p>
            <w:pPr>
              <w:pStyle w:val="Compact"/>
              <w:jc w:val="left"/>
            </w:pPr>
            <w:r>
              <w:t xml:space="preserve">2 space</w:t>
            </w:r>
          </w:p>
        </w:tc>
        <w:tc>
          <w:tcPr/>
          <w:p>
            <w:pPr>
              <w:pStyle w:val="Compact"/>
            </w:pPr>
          </w:p>
        </w:tc>
      </w:tr>
      <w:tr>
        <w:tc>
          <w:tcPr/>
          <w:p>
            <w:pPr>
              <w:pStyle w:val="Compact"/>
              <w:jc w:val="left"/>
            </w:pPr>
            <w:r>
              <w:t xml:space="preserve">3. E. Nothing parking number that F. The display 1401 COMPUTATION This section the is based Where A. vehicle</w:t>
            </w:r>
          </w:p>
        </w:tc>
        <w:tc>
          <w:tcPr/>
          <w:p>
            <w:pPr>
              <w:pStyle w:val="Compact"/>
              <w:jc w:val="left"/>
            </w:pPr>
            <w:r>
              <w:t xml:space="preserve">Following all parking Provision of in this Article spaces of vehicle may be provided. Prohibition on Use sale, repair, or of goods in OF describes requirements of this upon the multiple uses and bicycle separately, unless</w:t>
            </w:r>
          </w:p>
        </w:tc>
        <w:tc>
          <w:tcPr/>
          <w:p>
            <w:pPr>
              <w:pStyle w:val="Compact"/>
              <w:jc w:val="left"/>
            </w:pPr>
            <w:r>
              <w:t xml:space="preserve">complete demolition of a structure, the new construction requirements and the grandfathered deficiency provision Additional Spaces prevents the voluntary establishment of additional above that required by this Ordinance, unless the spaces in Section 1402.B. There is no limit on the of Parking Facilities dismantling or servicing of any vehicles, equipment, off-street parking areas is prohibited, unless otherwise REQUIREMENTShow the number of vehicle, bicycle, and loading Article. The total number of required vehicle and requirements for the principal use or uses located on the with different parking requirements occupy the parking and loading spaces is the sum of the otherwise permitted by this Ordinance.</w:t>
            </w:r>
          </w:p>
        </w:tc>
        <w:tc>
          <w:tcPr/>
          <w:p>
            <w:pPr>
              <w:pStyle w:val="Compact"/>
              <w:jc w:val="left"/>
            </w:pPr>
            <w:r>
              <w:t xml:space="preserve">and use on the is no longer off-street Ordinance specifies number of bicycle materials, or permitted by spaces are calculated bicycle parking and lot. same structure or requirements for each</w:t>
            </w:r>
          </w:p>
        </w:tc>
        <w:tc>
          <w:tcPr/>
          <w:p>
            <w:pPr>
              <w:pStyle w:val="Compact"/>
              <w:jc w:val="left"/>
            </w:pPr>
            <w:r>
              <w:t xml:space="preserve">site shall meet applicable. vehicle and bicycle a maximum parking spaces supplies, or the this Ordinance. based upon loading spaces lot, the required use computed</w:t>
            </w:r>
          </w:p>
        </w:tc>
      </w:tr>
    </w:tbl>
    <w:bookmarkEnd w:id="102"/>
    <w:bookmarkStart w:id="103" w:name="Xa46c4f78942294b0ec6b5f04b454c7dfd1732d1"/>
    <w:p>
      <w:pPr>
        <w:pStyle w:val="Heading2"/>
      </w:pPr>
      <w:r>
        <w:t xml:space="preserve">§ 1402. REQUIRED OFF-STREET VEHICLE AND BICYCLE PARKING SPACES</w:t>
      </w:r>
    </w:p>
    <w:p>
      <w:pPr>
        <w:pStyle w:val="FirstParagraph"/>
      </w:pPr>
      <w:r>
        <w:t xml:space="preserve">1402 REQUIRED OFF-STREET VEHICLE AND BICYCLE PARKING SPACES</w:t>
      </w:r>
    </w:p>
    <w:p>
      <w:pPr>
        <w:numPr>
          <w:ilvl w:val="0"/>
          <w:numId w:val="2542"/>
        </w:numPr>
      </w:pPr>
      <w:r>
        <w:t xml:space="preserve">A. General Requirements</w:t>
      </w:r>
    </w:p>
    <w:p>
      <w:pPr>
        <w:numPr>
          <w:ilvl w:val="0"/>
          <w:numId w:val="1000"/>
        </w:numPr>
      </w:pPr>
      <w:r>
        <w:t xml:space="preserve">1. Except as otherwise provided in this Ordinance, the minimum number of off-street vehicle and bicycle parking spaces to be provided for each use is listed in Table 14-1: Off-Street Vehicle and Bicycle Parking Requirements. Construction of all off-street parking shall be completed prior to the issuance of a certificate of occupancy.</w:t>
      </w:r>
    </w:p>
    <w:p>
      <w:pPr>
        <w:numPr>
          <w:ilvl w:val="0"/>
          <w:numId w:val="2543"/>
        </w:numPr>
      </w:pPr>
      <w:r>
        <w:t xml:space="preserve">2. Table 14-1 lists parking requirements for each use. In some cases, uses that are considered part of a generic use category are listed with specific vehicle parking requirements. These specific uses are listed only for the purposes of this section and do not indicate whether such uses are permitted or special uses within any district. Certain uses listed within the districts are not listed in Table 14-1 and therefore do not have vehicle parking requirements.</w:t>
      </w:r>
    </w:p>
    <w:p>
      <w:pPr>
        <w:numPr>
          <w:ilvl w:val="0"/>
          <w:numId w:val="2544"/>
        </w:numPr>
      </w:pPr>
      <w:r>
        <w:t xml:space="preserve">3. Certain uses listed within Table 14-1 are required to provide bicycle parking spaces. Of those uses required to provide bicycle spaces, some are also required to provide long-term spaces, where bicycles will be left for longer periods of time and require a safe and weatherproof storage area. The required number of long-term spaces is shown as a percentage of the required total bicycle spaces. All other required bicycle spaces shall be designed as short-term spaces, which are areas where bicycles will be left for short stops, requiring a high degree of convenience.</w:t>
      </w:r>
    </w:p>
    <w:p>
      <w:pPr>
        <w:numPr>
          <w:ilvl w:val="0"/>
          <w:numId w:val="2545"/>
        </w:numPr>
      </w:pPr>
      <w:r>
        <w:t xml:space="preserve">4. In all cases where bicycle parking is required, a minimum of two bicycle spaces shall be provided. After the first 25 required bicycle parking spaces are provided, additional bicycle parking spaces are required at a 50% reduction.</w:t>
      </w:r>
    </w:p>
    <w:p>
      <w:pPr>
        <w:numPr>
          <w:ilvl w:val="0"/>
          <w:numId w:val="2546"/>
        </w:numPr>
      </w:pPr>
      <w:r>
        <w:t xml:space="preserve">5. Where bicycle parking space requirements indicate “Over 10,000sf GFA” or other number threshold, this means that bicycle spaces are required only for structures over a certain gross floor area. In these cases, bicycle parking space requirements are calculated on the basis of the entire gross floor area.</w:t>
      </w:r>
    </w:p>
    <w:p>
      <w:pPr>
        <w:numPr>
          <w:ilvl w:val="0"/>
          <w:numId w:val="2547"/>
        </w:numPr>
      </w:pPr>
      <w:r>
        <w:t xml:space="preserve">6. Specific parking requirements may apply to the TOD Overlay District in Section 1106.</w:t>
      </w:r>
    </w:p>
    <w:p>
      <w:pPr>
        <w:pStyle w:val="Compact"/>
        <w:numPr>
          <w:ilvl w:val="0"/>
          <w:numId w:val="2548"/>
        </w:numPr>
      </w:pPr>
    </w:p>
    <w:p>
      <w:pPr>
        <w:numPr>
          <w:ilvl w:val="1"/>
          <w:numId w:val="2549"/>
        </w:numPr>
      </w:pPr>
      <w:r>
        <w:t xml:space="preserve">B. Maximum Vehicle Parking Limitations The following vehicle parking maximums are applicable to all surface parking lots:</w:t>
      </w:r>
    </w:p>
    <w:p>
      <w:pPr>
        <w:numPr>
          <w:ilvl w:val="0"/>
          <w:numId w:val="2550"/>
        </w:numPr>
      </w:pPr>
      <w:r>
        <w:t xml:space="preserve">1. When surface parking lots are constructed for any commercial or office use over 20,000 square feet in gross floor area or any multi-tenant retail center or office park, the total number of vehicle parking spaces provided shall not exceed 135% of the required minimum. This vehicle parking maximum does not apply to vehicle parking spaces provided within a parking structure.</w:t>
      </w:r>
    </w:p>
    <w:p>
      <w:pPr>
        <w:numPr>
          <w:ilvl w:val="0"/>
          <w:numId w:val="2551"/>
        </w:numPr>
      </w:pPr>
      <w:r>
        <w:t xml:space="preserve">2. If a use is exempt from parking minimums, the maximum limitations of this section still apply if parking is voluntarily provided.</w:t>
      </w:r>
    </w:p>
    <w:p>
      <w:pPr>
        <w:pStyle w:val="Compact"/>
        <w:numPr>
          <w:ilvl w:val="0"/>
          <w:numId w:val="2552"/>
        </w:numPr>
      </w:pPr>
    </w:p>
    <w:p>
      <w:pPr>
        <w:numPr>
          <w:ilvl w:val="1"/>
          <w:numId w:val="2553"/>
        </w:numPr>
      </w:pPr>
      <w:r>
        <w:t xml:space="preserve">C. Vehicle Space Reduction for Provision of Bicycle Spaces The following reductions in the number of vehicle parking spaces are permitted when bicycle parking and facilities are provided. An applicant may only use one of these three options.</w:t>
      </w:r>
    </w:p>
    <w:p>
      <w:pPr>
        <w:numPr>
          <w:ilvl w:val="0"/>
          <w:numId w:val="2554"/>
        </w:numPr>
      </w:pPr>
      <w:r>
        <w:t xml:space="preserve">1. A non-residential use may use up to two required vehicle parking spaces as space for bicycle parking. The area of the vehicle parking spaces shall be used for bicycle parking.</w:t>
      </w:r>
    </w:p>
    <w:p>
      <w:pPr>
        <w:numPr>
          <w:ilvl w:val="0"/>
          <w:numId w:val="2555"/>
        </w:numPr>
      </w:pPr>
      <w:r>
        <w:t xml:space="preserve">2. Where a non-residential use provides shower and locker facilities for use by bicyclists, a reduction of four vehicle parking spaces is permitted.</w:t>
      </w:r>
    </w:p>
    <w:p>
      <w:pPr>
        <w:numPr>
          <w:ilvl w:val="0"/>
          <w:numId w:val="2556"/>
        </w:numPr>
      </w:pPr>
      <w:r>
        <w:t xml:space="preserve">3. Where a non-residential use provides additional bicycle parking spaces of 120% or more of that required, the non-residential use is permitted a vehicle parking space reduction of up to 10%.</w:t>
      </w:r>
    </w:p>
    <w:p>
      <w:pPr>
        <w:pStyle w:val="Compact"/>
        <w:numPr>
          <w:ilvl w:val="0"/>
          <w:numId w:val="2557"/>
        </w:numPr>
      </w:pPr>
    </w:p>
    <w:p>
      <w:pPr>
        <w:numPr>
          <w:ilvl w:val="1"/>
          <w:numId w:val="2558"/>
        </w:numPr>
      </w:pPr>
      <w:r>
        <w:t xml:space="preserve">D. Provision of Car- and Bike-Share Facilities</w:t>
      </w:r>
    </w:p>
    <w:p>
      <w:pPr>
        <w:numPr>
          <w:ilvl w:val="1"/>
          <w:numId w:val="1000"/>
        </w:numPr>
      </w:pPr>
      <w:r>
        <w:t xml:space="preserve">1. Spaces within parking lots and structures may include designated parking spaces for car-share facilities. A car-share facility is a membership-based car-sharing service that provides automobile rental to members, billable by the hour or day; it is not considered a vehicle rental establishment. Spaces reserved for car-share facilities may count toward minimum parking requirements of this Ordinance.</w:t>
      </w:r>
    </w:p>
    <w:p>
      <w:pPr>
        <w:numPr>
          <w:ilvl w:val="0"/>
          <w:numId w:val="2559"/>
        </w:numPr>
      </w:pPr>
      <w:r>
        <w:t xml:space="preserve">2. Spaces within parking lots and structures may include designated areas for bike-share facilities. A bike-share facility provides bicycle rentals to the public and it is not considered a vehicle rental establishment. When a minimum of 10 bicycles are provided by a bike-share facility, such facilities qualify for 5% of required vehicle spaces.</w:t>
      </w:r>
    </w:p>
    <w:p>
      <w:pPr>
        <w:pStyle w:val="Compact"/>
        <w:numPr>
          <w:ilvl w:val="0"/>
          <w:numId w:val="2560"/>
        </w:numPr>
      </w:pPr>
    </w:p>
    <w:p>
      <w:pPr>
        <w:numPr>
          <w:ilvl w:val="1"/>
          <w:numId w:val="2561"/>
        </w:numPr>
      </w:pPr>
      <w:r>
        <w:t xml:space="preserve">E. Provision of Electric Vehicle Charging Stations Spaces within parking lots and structures may include designated parking spaces for electric vehicle charging. Spaces reserved for electric vehicle charging count toward minimum parking requirements of this Ordinance.</w:t>
      </w:r>
    </w:p>
    <w:p>
      <w:pPr>
        <w:pStyle w:val="Compact"/>
        <w:numPr>
          <w:ilvl w:val="0"/>
          <w:numId w:val="2562"/>
        </w:numPr>
      </w:pPr>
    </w:p>
    <w:p>
      <w:pPr>
        <w:numPr>
          <w:ilvl w:val="1"/>
          <w:numId w:val="2563"/>
        </w:numPr>
      </w:pPr>
      <w:r>
        <w:t xml:space="preserve">F. Multi-Tenant Retail Center Parking Calculation Parking for multi-tenant retail centers is calculated as one space required per 500 square feet of gross floor area, rather than by the individual uses. A multi-tenant retail center is defined as a group of two or more commercial establishments, primarily retail, but also including personal service, restaurant, office, and similar non-residential establishments, that is planned, owned, and/or managed as a single property. The two main configurations of multi-tenant retail centers are large shopping centers and strip centers. In addition, one bicycle space is required per 5,000 square feet of gross floor area with 25% of those required spaces designed as long-term bicycle parking. PERCENTAGE OF</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jc w:val="left"/>
            </w:pPr>
            <w:r>
              <w:t xml:space="preserve">TABLE 14-1:</w:t>
            </w:r>
          </w:p>
        </w:tc>
        <w:tc>
          <w:tcPr/>
          <w:p>
            <w:pPr>
              <w:pStyle w:val="Compact"/>
              <w:jc w:val="left"/>
            </w:pPr>
            <w:r>
              <w:t xml:space="preserve">OFF-STREET VEHICLE AND BICYCLE PARKING</w:t>
            </w:r>
          </w:p>
        </w:tc>
        <w:tc>
          <w:tcPr/>
          <w:p>
            <w:pPr>
              <w:pStyle w:val="Compact"/>
              <w:jc w:val="left"/>
            </w:pPr>
            <w:r>
              <w:t xml:space="preserve">REQUIREMENTS</w:t>
            </w:r>
          </w:p>
        </w:tc>
        <w:tc>
          <w:tcPr/>
          <w:p>
            <w:pPr>
              <w:pStyle w:val="Compact"/>
            </w:pPr>
          </w:p>
        </w:tc>
      </w:tr>
      <w:tr>
        <w:tc>
          <w:tcPr/>
          <w:p>
            <w:pPr>
              <w:pStyle w:val="Compact"/>
            </w:pPr>
          </w:p>
        </w:tc>
        <w:tc>
          <w:tcPr/>
          <w:p>
            <w:pPr>
              <w:pStyle w:val="Compact"/>
            </w:pPr>
          </w:p>
        </w:tc>
        <w:tc>
          <w:tcPr/>
          <w:p>
            <w:pPr>
              <w:pStyle w:val="Compact"/>
              <w:jc w:val="left"/>
            </w:pPr>
            <w:r>
              <w:t xml:space="preserve">MINIMUM REQUIRED</w:t>
            </w:r>
          </w:p>
        </w:tc>
        <w:tc>
          <w:tcPr/>
          <w:p>
            <w:pPr>
              <w:pStyle w:val="Compact"/>
              <w:jc w:val="left"/>
            </w:pPr>
            <w:r>
              <w:t xml:space="preserve">BICYCLE SPACES</w:t>
            </w:r>
          </w:p>
        </w:tc>
      </w:tr>
      <w:tr>
        <w:tc>
          <w:tcPr/>
          <w:p>
            <w:pPr>
              <w:pStyle w:val="Compact"/>
            </w:pPr>
          </w:p>
        </w:tc>
        <w:tc>
          <w:tcPr/>
          <w:p>
            <w:pPr>
              <w:pStyle w:val="Compact"/>
            </w:pPr>
          </w:p>
        </w:tc>
        <w:tc>
          <w:tcPr/>
          <w:p>
            <w:pPr>
              <w:pStyle w:val="Compact"/>
            </w:pPr>
          </w:p>
        </w:tc>
        <w:tc>
          <w:tcPr/>
          <w:p>
            <w:pPr>
              <w:pStyle w:val="Compact"/>
              <w:jc w:val="left"/>
            </w:pPr>
            <w:r>
              <w:t xml:space="preserve">PERCENTAGE OF</w:t>
            </w:r>
          </w:p>
        </w:tc>
      </w:tr>
      <w:tr>
        <w:tc>
          <w:tcPr/>
          <w:p>
            <w:pPr>
              <w:pStyle w:val="Compact"/>
            </w:pPr>
          </w:p>
        </w:tc>
        <w:tc>
          <w:tcPr/>
          <w:p>
            <w:pPr>
              <w:pStyle w:val="Compact"/>
            </w:pPr>
          </w:p>
        </w:tc>
        <w:tc>
          <w:tcPr/>
          <w:p>
            <w:pPr>
              <w:pStyle w:val="Compact"/>
            </w:pPr>
          </w:p>
        </w:tc>
        <w:tc>
          <w:tcPr/>
          <w:p>
            <w:pPr>
              <w:pStyle w:val="Compact"/>
              <w:jc w:val="left"/>
            </w:pPr>
            <w:r>
              <w:t xml:space="preserve">REQUIRED</w:t>
            </w:r>
          </w:p>
        </w:tc>
      </w:tr>
      <w:tr>
        <w:tc>
          <w:tcPr/>
          <w:p>
            <w:pPr>
              <w:pStyle w:val="Compact"/>
            </w:pPr>
          </w:p>
        </w:tc>
        <w:tc>
          <w:tcPr/>
          <w:p>
            <w:pPr>
              <w:pStyle w:val="Compact"/>
              <w:jc w:val="left"/>
            </w:pPr>
            <w:r>
              <w:t xml:space="preserve">MINIMUM REQUIRED VEHICLE</w:t>
            </w:r>
          </w:p>
        </w:tc>
        <w:tc>
          <w:tcPr/>
          <w:p>
            <w:pPr>
              <w:pStyle w:val="Compact"/>
            </w:pPr>
          </w:p>
        </w:tc>
        <w:tc>
          <w:tcPr/>
          <w:p>
            <w:pPr>
              <w:pStyle w:val="Compact"/>
            </w:pPr>
          </w:p>
        </w:tc>
      </w:tr>
      <w:tr>
        <w:tc>
          <w:tcPr/>
          <w:p>
            <w:pPr>
              <w:pStyle w:val="Compact"/>
              <w:jc w:val="left"/>
            </w:pPr>
            <w:r>
              <w:t xml:space="preserve">USE</w:t>
            </w:r>
          </w:p>
        </w:tc>
        <w:tc>
          <w:tcPr/>
          <w:p>
            <w:pPr>
              <w:pStyle w:val="Compact"/>
            </w:pPr>
          </w:p>
        </w:tc>
        <w:tc>
          <w:tcPr/>
          <w:p>
            <w:pPr>
              <w:pStyle w:val="Compact"/>
              <w:jc w:val="left"/>
            </w:pPr>
            <w:r>
              <w:t xml:space="preserve">REQUIRED TOTAL</w:t>
            </w:r>
          </w:p>
        </w:tc>
        <w:tc>
          <w:tcPr/>
          <w:p>
            <w:pPr>
              <w:pStyle w:val="Compact"/>
              <w:jc w:val="left"/>
            </w:pPr>
            <w:r>
              <w:t xml:space="preserve">BICYCLE SPACES</w:t>
            </w:r>
          </w:p>
        </w:tc>
      </w:tr>
      <w:tr>
        <w:tc>
          <w:tcPr/>
          <w:p>
            <w:pPr>
              <w:pStyle w:val="Compact"/>
            </w:pPr>
          </w:p>
        </w:tc>
        <w:tc>
          <w:tcPr/>
          <w:p>
            <w:pPr>
              <w:pStyle w:val="Compact"/>
              <w:jc w:val="left"/>
            </w:pPr>
            <w:r>
              <w:t xml:space="preserve">SPACES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BICYCLE SPACES</w:t>
            </w:r>
          </w:p>
        </w:tc>
        <w:tc>
          <w:tcPr/>
          <w:p>
            <w:pPr>
              <w:pStyle w:val="Compact"/>
              <w:jc w:val="left"/>
            </w:pPr>
            <w:r>
              <w:t xml:space="preserve">THAT SHALL BE</w:t>
            </w:r>
          </w:p>
        </w:tc>
      </w:tr>
      <w:tr>
        <w:tc>
          <w:tcPr/>
          <w:p>
            <w:pPr>
              <w:pStyle w:val="Compact"/>
            </w:pPr>
          </w:p>
        </w:tc>
        <w:tc>
          <w:tcPr/>
          <w:p>
            <w:pPr>
              <w:pStyle w:val="Compact"/>
            </w:pPr>
          </w:p>
        </w:tc>
        <w:tc>
          <w:tcPr/>
          <w:p>
            <w:pPr>
              <w:pStyle w:val="Compact"/>
            </w:pPr>
          </w:p>
        </w:tc>
        <w:tc>
          <w:tcPr/>
          <w:p>
            <w:pPr>
              <w:pStyle w:val="Compact"/>
              <w:jc w:val="left"/>
            </w:pPr>
            <w:r>
              <w:t xml:space="preserve">LONG-TERM</w:t>
            </w:r>
          </w:p>
        </w:tc>
      </w:tr>
      <w:tr>
        <w:tc>
          <w:tcPr/>
          <w:p>
            <w:pPr>
              <w:pStyle w:val="Compact"/>
            </w:pPr>
          </w:p>
        </w:tc>
        <w:tc>
          <w:tcPr/>
          <w:p>
            <w:pPr>
              <w:pStyle w:val="Compact"/>
            </w:pPr>
          </w:p>
        </w:tc>
        <w:tc>
          <w:tcPr/>
          <w:p>
            <w:pPr>
              <w:pStyle w:val="Compact"/>
            </w:pPr>
          </w:p>
        </w:tc>
        <w:tc>
          <w:tcPr/>
          <w:p>
            <w:pPr>
              <w:pStyle w:val="Compact"/>
              <w:jc w:val="left"/>
            </w:pPr>
            <w:r>
              <w:t xml:space="preserve">SPACES</w:t>
            </w:r>
          </w:p>
        </w:tc>
      </w:tr>
      <w:tr>
        <w:tc>
          <w:tcPr/>
          <w:p>
            <w:pPr>
              <w:pStyle w:val="Compact"/>
              <w:jc w:val="left"/>
            </w:pPr>
            <w:r>
              <w:t xml:space="preserve">Adult Use</w:t>
            </w:r>
          </w:p>
        </w:tc>
        <w:tc>
          <w:tcPr/>
          <w:p>
            <w:pPr>
              <w:pStyle w:val="Compact"/>
              <w:jc w:val="left"/>
            </w:pPr>
            <w:r>
              <w:t xml:space="preserve">1 per 500sf GFA</w:t>
            </w:r>
          </w:p>
        </w:tc>
        <w:tc>
          <w:tcPr/>
          <w:p>
            <w:pPr>
              <w:pStyle w:val="Compact"/>
            </w:pPr>
          </w:p>
        </w:tc>
        <w:tc>
          <w:tcPr/>
          <w:p>
            <w:pPr>
              <w:pStyle w:val="Compact"/>
            </w:pPr>
          </w:p>
        </w:tc>
      </w:tr>
      <w:tr>
        <w:tc>
          <w:tcPr/>
          <w:p>
            <w:pPr>
              <w:pStyle w:val="Compact"/>
              <w:jc w:val="left"/>
            </w:pPr>
            <w:r>
              <w:t xml:space="preserve">Amusement/Entertainment/Sports Facility - Indoor</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Bowling Alley</w:t>
            </w:r>
          </w:p>
        </w:tc>
        <w:tc>
          <w:tcPr/>
          <w:p>
            <w:pPr>
              <w:pStyle w:val="Compact"/>
              <w:jc w:val="left"/>
            </w:pPr>
            <w:r>
              <w:t xml:space="preserve">2 per lane</w:t>
            </w:r>
          </w:p>
        </w:tc>
        <w:tc>
          <w:tcPr/>
          <w:p>
            <w:pPr>
              <w:pStyle w:val="Compact"/>
              <w:jc w:val="left"/>
            </w:pPr>
            <w:r>
              <w:t xml:space="preserve">Over 10,000sf GFA: 1 per 2,500sf GFA</w:t>
            </w:r>
          </w:p>
        </w:tc>
        <w:tc>
          <w:tcPr/>
          <w:p>
            <w:pPr>
              <w:pStyle w:val="Compact"/>
            </w:pPr>
          </w:p>
        </w:tc>
      </w:tr>
      <w:tr>
        <w:tc>
          <w:tcPr/>
          <w:p>
            <w:pPr>
              <w:pStyle w:val="Compact"/>
              <w:jc w:val="left"/>
            </w:pPr>
            <w:r>
              <w:t xml:space="preserve">Movie Theater</w:t>
            </w:r>
          </w:p>
        </w:tc>
        <w:tc>
          <w:tcPr/>
          <w:p>
            <w:pPr>
              <w:pStyle w:val="Compact"/>
              <w:jc w:val="left"/>
            </w:pPr>
            <w:r>
              <w:t xml:space="preserve">1 per 4 seats for first 400 seats + 1 per 6 seats after first 400</w:t>
            </w:r>
          </w:p>
        </w:tc>
        <w:tc>
          <w:tcPr/>
          <w:p>
            <w:pPr>
              <w:pStyle w:val="Compact"/>
              <w:jc w:val="left"/>
            </w:pPr>
            <w:r>
              <w:t xml:space="preserve">Over 10,000sf GFA: 1 per 2,500sf GFA</w:t>
            </w:r>
          </w:p>
        </w:tc>
        <w:tc>
          <w:tcPr/>
          <w:p>
            <w:pPr>
              <w:pStyle w:val="Compact"/>
            </w:pPr>
          </w:p>
        </w:tc>
      </w:tr>
      <w:tr>
        <w:tc>
          <w:tcPr/>
          <w:p>
            <w:pPr>
              <w:pStyle w:val="Compact"/>
              <w:jc w:val="left"/>
            </w:pPr>
            <w:r>
              <w:t xml:space="preserve">Pool Hall</w:t>
            </w:r>
          </w:p>
        </w:tc>
        <w:tc>
          <w:tcPr/>
          <w:p>
            <w:pPr>
              <w:pStyle w:val="Compact"/>
              <w:jc w:val="left"/>
            </w:pPr>
            <w:r>
              <w:t xml:space="preserve">2 per table</w:t>
            </w:r>
          </w:p>
        </w:tc>
        <w:tc>
          <w:tcPr/>
          <w:p>
            <w:pPr>
              <w:pStyle w:val="Compact"/>
              <w:jc w:val="left"/>
            </w:pPr>
            <w:r>
              <w:t xml:space="preserve">Over 10,000sf GFA: 1 per 2,500sf GFA</w:t>
            </w:r>
          </w:p>
        </w:tc>
        <w:tc>
          <w:tcPr/>
          <w:p>
            <w:pPr>
              <w:pStyle w:val="Compact"/>
            </w:pPr>
          </w:p>
        </w:tc>
      </w:tr>
    </w:tbl>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jc w:val="left"/>
            </w:pPr>
            <w:r>
              <w:t xml:space="preserve">TABLE 14-1:</w:t>
            </w:r>
          </w:p>
        </w:tc>
        <w:tc>
          <w:tcPr/>
          <w:p>
            <w:pPr>
              <w:pStyle w:val="Compact"/>
              <w:jc w:val="left"/>
            </w:pPr>
            <w:r>
              <w:t xml:space="preserve">OFF-STREET VEHICLE AND BICYCLE PARKING</w:t>
            </w:r>
          </w:p>
        </w:tc>
        <w:tc>
          <w:tcPr/>
          <w:p>
            <w:pPr>
              <w:pStyle w:val="Compact"/>
              <w:jc w:val="left"/>
            </w:pPr>
            <w:r>
              <w:t xml:space="preserve">REQUIREMENTS</w:t>
            </w:r>
          </w:p>
        </w:tc>
        <w:tc>
          <w:tcPr/>
          <w:p>
            <w:pPr>
              <w:pStyle w:val="Compact"/>
            </w:pPr>
          </w:p>
        </w:tc>
      </w:tr>
      <w:tr>
        <w:tc>
          <w:tcPr/>
          <w:p>
            <w:pPr>
              <w:pStyle w:val="Compact"/>
            </w:pPr>
          </w:p>
        </w:tc>
        <w:tc>
          <w:tcPr/>
          <w:p>
            <w:pPr>
              <w:pStyle w:val="Compact"/>
            </w:pPr>
          </w:p>
        </w:tc>
        <w:tc>
          <w:tcPr/>
          <w:p>
            <w:pPr>
              <w:pStyle w:val="Compact"/>
              <w:jc w:val="left"/>
            </w:pPr>
            <w:r>
              <w:t xml:space="preserve">MINIMUM REQUIRED</w:t>
            </w:r>
          </w:p>
        </w:tc>
        <w:tc>
          <w:tcPr/>
          <w:p>
            <w:pPr>
              <w:pStyle w:val="Compact"/>
              <w:jc w:val="left"/>
            </w:pPr>
            <w:r>
              <w:t xml:space="preserve">BICYCLE SPACES</w:t>
            </w:r>
          </w:p>
        </w:tc>
      </w:tr>
      <w:tr>
        <w:tc>
          <w:tcPr/>
          <w:p>
            <w:pPr>
              <w:pStyle w:val="Compact"/>
            </w:pPr>
          </w:p>
        </w:tc>
        <w:tc>
          <w:tcPr/>
          <w:p>
            <w:pPr>
              <w:pStyle w:val="Compact"/>
            </w:pPr>
          </w:p>
        </w:tc>
        <w:tc>
          <w:tcPr/>
          <w:p>
            <w:pPr>
              <w:pStyle w:val="Compact"/>
            </w:pPr>
          </w:p>
        </w:tc>
        <w:tc>
          <w:tcPr/>
          <w:p>
            <w:pPr>
              <w:pStyle w:val="Compact"/>
              <w:jc w:val="left"/>
            </w:pPr>
            <w:r>
              <w:t xml:space="preserve">PERCENTAGE OF</w:t>
            </w:r>
          </w:p>
        </w:tc>
      </w:tr>
      <w:tr>
        <w:tc>
          <w:tcPr/>
          <w:p>
            <w:pPr>
              <w:pStyle w:val="Compact"/>
            </w:pPr>
          </w:p>
        </w:tc>
        <w:tc>
          <w:tcPr/>
          <w:p>
            <w:pPr>
              <w:pStyle w:val="Compact"/>
            </w:pPr>
          </w:p>
        </w:tc>
        <w:tc>
          <w:tcPr/>
          <w:p>
            <w:pPr>
              <w:pStyle w:val="Compact"/>
            </w:pPr>
          </w:p>
        </w:tc>
        <w:tc>
          <w:tcPr/>
          <w:p>
            <w:pPr>
              <w:pStyle w:val="Compact"/>
              <w:jc w:val="left"/>
            </w:pPr>
            <w:r>
              <w:t xml:space="preserve">REQUIRED</w:t>
            </w:r>
          </w:p>
        </w:tc>
      </w:tr>
      <w:tr>
        <w:tc>
          <w:tcPr/>
          <w:p>
            <w:pPr>
              <w:pStyle w:val="Compact"/>
            </w:pPr>
          </w:p>
        </w:tc>
        <w:tc>
          <w:tcPr/>
          <w:p>
            <w:pPr>
              <w:pStyle w:val="Compact"/>
              <w:jc w:val="left"/>
            </w:pPr>
            <w:r>
              <w:t xml:space="preserve">MINIMUM REQUIRED VEHICLE</w:t>
            </w:r>
          </w:p>
        </w:tc>
        <w:tc>
          <w:tcPr/>
          <w:p>
            <w:pPr>
              <w:pStyle w:val="Compact"/>
            </w:pPr>
          </w:p>
        </w:tc>
        <w:tc>
          <w:tcPr/>
          <w:p>
            <w:pPr>
              <w:pStyle w:val="Compact"/>
            </w:pPr>
          </w:p>
        </w:tc>
      </w:tr>
      <w:tr>
        <w:tc>
          <w:tcPr/>
          <w:p>
            <w:pPr>
              <w:pStyle w:val="Compact"/>
              <w:jc w:val="left"/>
            </w:pPr>
            <w:r>
              <w:t xml:space="preserve">USE</w:t>
            </w:r>
          </w:p>
        </w:tc>
        <w:tc>
          <w:tcPr/>
          <w:p>
            <w:pPr>
              <w:pStyle w:val="Compact"/>
            </w:pPr>
          </w:p>
        </w:tc>
        <w:tc>
          <w:tcPr/>
          <w:p>
            <w:pPr>
              <w:pStyle w:val="Compact"/>
              <w:jc w:val="left"/>
            </w:pPr>
            <w:r>
              <w:t xml:space="preserve">REQUIRED TOTAL</w:t>
            </w:r>
          </w:p>
        </w:tc>
        <w:tc>
          <w:tcPr/>
          <w:p>
            <w:pPr>
              <w:pStyle w:val="Compact"/>
              <w:jc w:val="left"/>
            </w:pPr>
            <w:r>
              <w:t xml:space="preserve">BICYCLE SPACES</w:t>
            </w:r>
          </w:p>
        </w:tc>
      </w:tr>
      <w:tr>
        <w:tc>
          <w:tcPr/>
          <w:p>
            <w:pPr>
              <w:pStyle w:val="Compact"/>
            </w:pPr>
          </w:p>
        </w:tc>
        <w:tc>
          <w:tcPr/>
          <w:p>
            <w:pPr>
              <w:pStyle w:val="Compact"/>
              <w:jc w:val="left"/>
            </w:pPr>
            <w:r>
              <w:t xml:space="preserve">SPACES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BICYCLE SPACES</w:t>
            </w:r>
          </w:p>
        </w:tc>
        <w:tc>
          <w:tcPr/>
          <w:p>
            <w:pPr>
              <w:pStyle w:val="Compact"/>
              <w:jc w:val="left"/>
            </w:pPr>
            <w:r>
              <w:t xml:space="preserve">THAT SHALL BE</w:t>
            </w:r>
          </w:p>
        </w:tc>
      </w:tr>
      <w:tr>
        <w:tc>
          <w:tcPr/>
          <w:p>
            <w:pPr>
              <w:pStyle w:val="Compact"/>
            </w:pPr>
          </w:p>
        </w:tc>
        <w:tc>
          <w:tcPr/>
          <w:p>
            <w:pPr>
              <w:pStyle w:val="Compact"/>
            </w:pPr>
          </w:p>
        </w:tc>
        <w:tc>
          <w:tcPr/>
          <w:p>
            <w:pPr>
              <w:pStyle w:val="Compact"/>
            </w:pPr>
          </w:p>
        </w:tc>
        <w:tc>
          <w:tcPr/>
          <w:p>
            <w:pPr>
              <w:pStyle w:val="Compact"/>
              <w:jc w:val="left"/>
            </w:pPr>
            <w:r>
              <w:t xml:space="preserve">LONG-TERM</w:t>
            </w:r>
          </w:p>
        </w:tc>
      </w:tr>
      <w:tr>
        <w:tc>
          <w:tcPr/>
          <w:p>
            <w:pPr>
              <w:pStyle w:val="Compact"/>
            </w:pPr>
          </w:p>
        </w:tc>
        <w:tc>
          <w:tcPr/>
          <w:p>
            <w:pPr>
              <w:pStyle w:val="Compact"/>
            </w:pPr>
          </w:p>
        </w:tc>
        <w:tc>
          <w:tcPr/>
          <w:p>
            <w:pPr>
              <w:pStyle w:val="Compact"/>
            </w:pPr>
          </w:p>
        </w:tc>
        <w:tc>
          <w:tcPr/>
          <w:p>
            <w:pPr>
              <w:pStyle w:val="Compact"/>
              <w:jc w:val="left"/>
            </w:pPr>
            <w:r>
              <w:t xml:space="preserve">SPACES</w:t>
            </w:r>
          </w:p>
        </w:tc>
      </w:tr>
      <w:tr>
        <w:tc>
          <w:tcPr/>
          <w:p>
            <w:pPr>
              <w:pStyle w:val="Compact"/>
              <w:jc w:val="left"/>
            </w:pPr>
            <w:r>
              <w:t xml:space="preserve">Amusement/Entertainment/Sports Facility - Outdoor</w:t>
            </w:r>
          </w:p>
        </w:tc>
        <w:tc>
          <w:tcPr/>
          <w:p>
            <w:pPr>
              <w:pStyle w:val="Compact"/>
              <w:jc w:val="left"/>
            </w:pPr>
            <w:r>
              <w:t xml:space="preserve">1 per 1,000sf GFA + 1 per 1,000sf of outdoor area</w:t>
            </w:r>
          </w:p>
        </w:tc>
        <w:tc>
          <w:tcPr/>
          <w:p>
            <w:pPr>
              <w:pStyle w:val="Compact"/>
              <w:jc w:val="left"/>
            </w:pPr>
            <w:r>
              <w:t xml:space="preserve">Over 10,000sf GFA: 1 per 2,500sf GFA</w:t>
            </w:r>
          </w:p>
        </w:tc>
        <w:tc>
          <w:tcPr/>
          <w:p>
            <w:pPr>
              <w:pStyle w:val="Compact"/>
            </w:pPr>
          </w:p>
        </w:tc>
      </w:tr>
      <w:tr>
        <w:tc>
          <w:tcPr/>
          <w:p>
            <w:pPr>
              <w:pStyle w:val="Compact"/>
              <w:jc w:val="left"/>
            </w:pPr>
            <w:r>
              <w:t xml:space="preserve">Animal Care Facility</w:t>
            </w:r>
          </w:p>
        </w:tc>
        <w:tc>
          <w:tcPr/>
          <w:p>
            <w:pPr>
              <w:pStyle w:val="Compact"/>
              <w:jc w:val="left"/>
            </w:pPr>
            <w:r>
              <w:t xml:space="preserve">1 per 1,000sf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Art Gallery</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Arts Studio</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Bar</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Bed and Breakfast</w:t>
            </w:r>
          </w:p>
        </w:tc>
        <w:tc>
          <w:tcPr/>
          <w:p>
            <w:pPr>
              <w:pStyle w:val="Compact"/>
              <w:jc w:val="left"/>
            </w:pPr>
            <w:r>
              <w:t xml:space="preserve">1 space + 1 per 2 guestrooms</w:t>
            </w:r>
          </w:p>
        </w:tc>
        <w:tc>
          <w:tcPr/>
          <w:p>
            <w:pPr>
              <w:pStyle w:val="Compact"/>
            </w:pPr>
          </w:p>
        </w:tc>
        <w:tc>
          <w:tcPr/>
          <w:p>
            <w:pPr>
              <w:pStyle w:val="Compact"/>
            </w:pPr>
          </w:p>
        </w:tc>
      </w:tr>
      <w:tr>
        <w:tc>
          <w:tcPr/>
          <w:p>
            <w:pPr>
              <w:pStyle w:val="Compact"/>
              <w:jc w:val="left"/>
            </w:pPr>
            <w:r>
              <w:t xml:space="preserve">Body Modification Establishment</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Broadcasting Facility</w:t>
            </w:r>
          </w:p>
        </w:tc>
        <w:tc>
          <w:tcPr/>
          <w:p>
            <w:pPr>
              <w:pStyle w:val="Compact"/>
              <w:jc w:val="left"/>
            </w:pPr>
            <w:r>
              <w:t xml:space="preserve">1 per 1,000sf GFA</w:t>
            </w:r>
          </w:p>
        </w:tc>
        <w:tc>
          <w:tcPr/>
          <w:p>
            <w:pPr>
              <w:pStyle w:val="Compact"/>
              <w:jc w:val="left"/>
            </w:pPr>
            <w:r>
              <w:t xml:space="preserve">Over 10,000sf GFA: 1 per 5,000sf GFA</w:t>
            </w:r>
          </w:p>
        </w:tc>
        <w:tc>
          <w:tcPr/>
          <w:p>
            <w:pPr>
              <w:pStyle w:val="Compact"/>
            </w:pPr>
          </w:p>
        </w:tc>
      </w:tr>
      <w:tr>
        <w:tc>
          <w:tcPr/>
          <w:p>
            <w:pPr>
              <w:pStyle w:val="Compact"/>
              <w:jc w:val="left"/>
            </w:pPr>
            <w:r>
              <w:t xml:space="preserve">Cannabis - Hybrid Cannabis Retailer/Cannabis Cultivator</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Cannabis Retailer</w:t>
            </w:r>
          </w:p>
        </w:tc>
        <w:tc>
          <w:tcPr/>
          <w:p>
            <w:pPr>
              <w:pStyle w:val="Compact"/>
              <w:jc w:val="left"/>
            </w:pPr>
            <w:r>
              <w:t xml:space="preserve">1 per 1000sf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Cannabis - Social Equity/Workers’ Cooperative Licensed Cannabis Retailer</w:t>
            </w:r>
          </w:p>
        </w:tc>
        <w:tc>
          <w:tcPr/>
          <w:p>
            <w:pPr>
              <w:pStyle w:val="Compact"/>
              <w:jc w:val="left"/>
            </w:pPr>
            <w:r>
              <w:t xml:space="preserve">1 per 1,000sf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Car Wash</w:t>
            </w:r>
          </w:p>
        </w:tc>
        <w:tc>
          <w:tcPr/>
          <w:p>
            <w:pPr>
              <w:pStyle w:val="Compact"/>
              <w:jc w:val="left"/>
            </w:pPr>
            <w:r>
              <w:t xml:space="preserve">2 per car wash bay + 3 stacking spaces per bay</w:t>
            </w:r>
          </w:p>
        </w:tc>
        <w:tc>
          <w:tcPr/>
          <w:p>
            <w:pPr>
              <w:pStyle w:val="Compact"/>
            </w:pPr>
          </w:p>
        </w:tc>
        <w:tc>
          <w:tcPr/>
          <w:p>
            <w:pPr>
              <w:pStyle w:val="Compact"/>
            </w:pPr>
          </w:p>
        </w:tc>
      </w:tr>
      <w:tr>
        <w:tc>
          <w:tcPr/>
          <w:p>
            <w:pPr>
              <w:pStyle w:val="Compact"/>
              <w:jc w:val="left"/>
            </w:pPr>
            <w:r>
              <w:t xml:space="preserve">Community Center</w:t>
            </w:r>
          </w:p>
        </w:tc>
        <w:tc>
          <w:tcPr/>
          <w:p>
            <w:pPr>
              <w:pStyle w:val="Compact"/>
              <w:jc w:val="left"/>
            </w:pPr>
            <w:r>
              <w:t xml:space="preserve">1 per 500sf GFA</w:t>
            </w:r>
          </w:p>
        </w:tc>
        <w:tc>
          <w:tcPr/>
          <w:p>
            <w:pPr>
              <w:pStyle w:val="Compact"/>
              <w:jc w:val="left"/>
            </w:pPr>
            <w:r>
              <w:t xml:space="preserve">1 per 2,500sf GFA</w:t>
            </w:r>
          </w:p>
        </w:tc>
        <w:tc>
          <w:tcPr/>
          <w:p>
            <w:pPr>
              <w:pStyle w:val="Compact"/>
            </w:pPr>
          </w:p>
        </w:tc>
      </w:tr>
      <w:tr>
        <w:tc>
          <w:tcPr/>
          <w:p>
            <w:pPr>
              <w:pStyle w:val="Compact"/>
              <w:jc w:val="left"/>
            </w:pPr>
            <w:r>
              <w:t xml:space="preserve">Community Residence</w:t>
            </w:r>
          </w:p>
        </w:tc>
        <w:tc>
          <w:tcPr/>
          <w:p>
            <w:pPr>
              <w:pStyle w:val="Compact"/>
              <w:jc w:val="left"/>
            </w:pPr>
            <w:r>
              <w:t xml:space="preserve">1 per 5 employees and residents</w:t>
            </w:r>
          </w:p>
        </w:tc>
        <w:tc>
          <w:tcPr/>
          <w:p>
            <w:pPr>
              <w:pStyle w:val="Compact"/>
            </w:pPr>
          </w:p>
        </w:tc>
        <w:tc>
          <w:tcPr/>
          <w:p>
            <w:pPr>
              <w:pStyle w:val="Compact"/>
            </w:pPr>
          </w:p>
        </w:tc>
      </w:tr>
      <w:tr>
        <w:tc>
          <w:tcPr/>
          <w:p>
            <w:pPr>
              <w:pStyle w:val="Compact"/>
              <w:jc w:val="left"/>
            </w:pPr>
            <w:r>
              <w:t xml:space="preserve">Contractor Storage Yard</w:t>
            </w:r>
          </w:p>
        </w:tc>
        <w:tc>
          <w:tcPr/>
          <w:p>
            <w:pPr>
              <w:pStyle w:val="Compact"/>
              <w:jc w:val="left"/>
            </w:pPr>
            <w:r>
              <w:t xml:space="preserve">1 per 500sf GFA of office</w:t>
            </w:r>
          </w:p>
        </w:tc>
        <w:tc>
          <w:tcPr/>
          <w:p>
            <w:pPr>
              <w:pStyle w:val="Compact"/>
            </w:pPr>
          </w:p>
        </w:tc>
        <w:tc>
          <w:tcPr/>
          <w:p>
            <w:pPr>
              <w:pStyle w:val="Compact"/>
            </w:pPr>
          </w:p>
        </w:tc>
      </w:tr>
      <w:tr>
        <w:tc>
          <w:tcPr/>
          <w:p>
            <w:pPr>
              <w:pStyle w:val="Compact"/>
              <w:jc w:val="left"/>
            </w:pPr>
            <w:r>
              <w:t xml:space="preserve">Country Club</w:t>
            </w:r>
          </w:p>
        </w:tc>
        <w:tc>
          <w:tcPr/>
          <w:p>
            <w:pPr>
              <w:pStyle w:val="Compact"/>
              <w:jc w:val="left"/>
            </w:pPr>
            <w:r>
              <w:t xml:space="preserve">Cumulative - determined by sum of requirements for all uses within development (golf course, driving range, restaurant, etc.)</w:t>
            </w:r>
          </w:p>
        </w:tc>
        <w:tc>
          <w:tcPr/>
          <w:p>
            <w:pPr>
              <w:pStyle w:val="Compact"/>
              <w:jc w:val="left"/>
            </w:pPr>
            <w:r>
              <w:t xml:space="preserve">Cumulative -determined by sum of requirements for all uses within development (golf course, driving range, restaurant, etc.)</w:t>
            </w:r>
          </w:p>
        </w:tc>
        <w:tc>
          <w:tcPr/>
          <w:p>
            <w:pPr>
              <w:pStyle w:val="Compact"/>
            </w:pPr>
          </w:p>
        </w:tc>
      </w:tr>
      <w:tr>
        <w:tc>
          <w:tcPr/>
          <w:p>
            <w:pPr>
              <w:pStyle w:val="Compact"/>
              <w:jc w:val="left"/>
            </w:pPr>
            <w:r>
              <w:t xml:space="preserve">Cultural Facility</w:t>
            </w:r>
          </w:p>
        </w:tc>
        <w:tc>
          <w:tcPr/>
          <w:p>
            <w:pPr>
              <w:pStyle w:val="Compact"/>
              <w:jc w:val="left"/>
            </w:pPr>
            <w:r>
              <w:t xml:space="preserve">1 per 500sf GFA</w:t>
            </w:r>
          </w:p>
        </w:tc>
        <w:tc>
          <w:tcPr/>
          <w:p>
            <w:pPr>
              <w:pStyle w:val="Compact"/>
              <w:jc w:val="left"/>
            </w:pPr>
            <w:r>
              <w:t xml:space="preserve">1 per 2,500sf GFA</w:t>
            </w:r>
          </w:p>
        </w:tc>
        <w:tc>
          <w:tcPr/>
          <w:p>
            <w:pPr>
              <w:pStyle w:val="Compact"/>
            </w:pPr>
          </w:p>
        </w:tc>
      </w:tr>
      <w:tr>
        <w:tc>
          <w:tcPr/>
          <w:p>
            <w:pPr>
              <w:pStyle w:val="Compact"/>
              <w:jc w:val="left"/>
            </w:pPr>
            <w:r>
              <w:t xml:space="preserve">Day Care - Day Care Center</w:t>
            </w:r>
          </w:p>
        </w:tc>
        <w:tc>
          <w:tcPr/>
          <w:p>
            <w:pPr>
              <w:pStyle w:val="Compact"/>
              <w:jc w:val="left"/>
            </w:pPr>
            <w:r>
              <w:t xml:space="preserve">1 per 1,000sf GFA</w:t>
            </w:r>
          </w:p>
        </w:tc>
        <w:tc>
          <w:tcPr/>
          <w:p>
            <w:pPr>
              <w:pStyle w:val="Compact"/>
            </w:pPr>
          </w:p>
        </w:tc>
        <w:tc>
          <w:tcPr/>
          <w:p>
            <w:pPr>
              <w:pStyle w:val="Compact"/>
            </w:pPr>
          </w:p>
        </w:tc>
      </w:tr>
      <w:tr>
        <w:tc>
          <w:tcPr/>
          <w:p>
            <w:pPr>
              <w:pStyle w:val="Compact"/>
              <w:jc w:val="left"/>
            </w:pPr>
            <w:r>
              <w:t xml:space="preserve">Dwelling - Multi-Family</w:t>
            </w:r>
          </w:p>
        </w:tc>
        <w:tc>
          <w:tcPr/>
          <w:p>
            <w:pPr>
              <w:pStyle w:val="Compact"/>
              <w:jc w:val="left"/>
            </w:pPr>
            <w:r>
              <w:t xml:space="preserve">1 per dwelling unit</w:t>
            </w:r>
          </w:p>
        </w:tc>
        <w:tc>
          <w:tcPr/>
          <w:p>
            <w:pPr>
              <w:pStyle w:val="Compact"/>
              <w:jc w:val="left"/>
            </w:pPr>
            <w:r>
              <w:t xml:space="preserve">1 per 5 dwellings (calculated by entire development)</w:t>
            </w:r>
          </w:p>
        </w:tc>
        <w:tc>
          <w:tcPr/>
          <w:p>
            <w:pPr>
              <w:pStyle w:val="Compact"/>
              <w:jc w:val="left"/>
            </w:pPr>
            <w:r>
              <w:t xml:space="preserve">80%</w:t>
            </w:r>
          </w:p>
        </w:tc>
      </w:tr>
      <w:tr>
        <w:tc>
          <w:tcPr/>
          <w:p>
            <w:pPr>
              <w:pStyle w:val="Compact"/>
              <w:jc w:val="left"/>
            </w:pPr>
            <w:r>
              <w:t xml:space="preserve">Dwelling - Rowhouse</w:t>
            </w:r>
          </w:p>
        </w:tc>
        <w:tc>
          <w:tcPr/>
          <w:p>
            <w:pPr>
              <w:pStyle w:val="Compact"/>
              <w:jc w:val="left"/>
            </w:pPr>
            <w:r>
              <w:t xml:space="preserve">1 per dwelling unit</w:t>
            </w:r>
          </w:p>
        </w:tc>
        <w:tc>
          <w:tcPr/>
          <w:p>
            <w:pPr>
              <w:pStyle w:val="Compact"/>
            </w:pPr>
          </w:p>
        </w:tc>
        <w:tc>
          <w:tcPr/>
          <w:p>
            <w:pPr>
              <w:pStyle w:val="Compact"/>
            </w:pPr>
          </w:p>
        </w:tc>
      </w:tr>
      <w:tr>
        <w:tc>
          <w:tcPr/>
          <w:p>
            <w:pPr>
              <w:pStyle w:val="Compact"/>
              <w:jc w:val="left"/>
            </w:pPr>
            <w:r>
              <w:t xml:space="preserve">Dwelling - Single-Family</w:t>
            </w:r>
          </w:p>
        </w:tc>
        <w:tc>
          <w:tcPr/>
          <w:p>
            <w:pPr>
              <w:pStyle w:val="Compact"/>
              <w:jc w:val="left"/>
            </w:pPr>
            <w:r>
              <w:t xml:space="preserve">1 per dwelling unit</w:t>
            </w:r>
          </w:p>
        </w:tc>
        <w:tc>
          <w:tcPr/>
          <w:p>
            <w:pPr>
              <w:pStyle w:val="Compact"/>
            </w:pPr>
          </w:p>
        </w:tc>
        <w:tc>
          <w:tcPr/>
          <w:p>
            <w:pPr>
              <w:pStyle w:val="Compact"/>
            </w:pPr>
          </w:p>
        </w:tc>
      </w:tr>
      <w:tr>
        <w:tc>
          <w:tcPr/>
          <w:p>
            <w:pPr>
              <w:pStyle w:val="Compact"/>
              <w:jc w:val="left"/>
            </w:pPr>
            <w:r>
              <w:t xml:space="preserve">Dwelling - Three-Family</w:t>
            </w:r>
          </w:p>
        </w:tc>
        <w:tc>
          <w:tcPr/>
          <w:p>
            <w:pPr>
              <w:pStyle w:val="Compact"/>
              <w:jc w:val="left"/>
            </w:pPr>
            <w:r>
              <w:t xml:space="preserve">1 per dwelling unit</w:t>
            </w:r>
          </w:p>
        </w:tc>
        <w:tc>
          <w:tcPr/>
          <w:p>
            <w:pPr>
              <w:pStyle w:val="Compact"/>
            </w:pPr>
          </w:p>
        </w:tc>
        <w:tc>
          <w:tcPr/>
          <w:p>
            <w:pPr>
              <w:pStyle w:val="Compact"/>
            </w:pPr>
          </w:p>
        </w:tc>
      </w:tr>
      <w:tr>
        <w:tc>
          <w:tcPr/>
          <w:p>
            <w:pPr>
              <w:pStyle w:val="Compact"/>
              <w:jc w:val="left"/>
            </w:pPr>
            <w:r>
              <w:t xml:space="preserve">Dwelling - Two-Family</w:t>
            </w:r>
          </w:p>
        </w:tc>
        <w:tc>
          <w:tcPr/>
          <w:p>
            <w:pPr>
              <w:pStyle w:val="Compact"/>
              <w:jc w:val="left"/>
            </w:pPr>
            <w:r>
              <w:t xml:space="preserve">1 per dwelling unit</w:t>
            </w:r>
          </w:p>
        </w:tc>
        <w:tc>
          <w:tcPr/>
          <w:p>
            <w:pPr>
              <w:pStyle w:val="Compact"/>
            </w:pPr>
          </w:p>
        </w:tc>
        <w:tc>
          <w:tcPr/>
          <w:p>
            <w:pPr>
              <w:pStyle w:val="Compact"/>
            </w:pPr>
          </w:p>
        </w:tc>
      </w:tr>
      <w:tr>
        <w:tc>
          <w:tcPr/>
          <w:p>
            <w:pPr>
              <w:pStyle w:val="Compact"/>
              <w:jc w:val="left"/>
            </w:pPr>
            <w:r>
              <w:t xml:space="preserve">Educational Facility - Primary</w:t>
            </w:r>
          </w:p>
        </w:tc>
        <w:tc>
          <w:tcPr/>
          <w:p>
            <w:pPr>
              <w:pStyle w:val="Compact"/>
              <w:jc w:val="left"/>
            </w:pPr>
            <w:r>
              <w:t xml:space="preserve">1 per 3 employees</w:t>
            </w:r>
          </w:p>
        </w:tc>
        <w:tc>
          <w:tcPr/>
          <w:p>
            <w:pPr>
              <w:pStyle w:val="Compact"/>
              <w:jc w:val="left"/>
            </w:pPr>
            <w:r>
              <w:t xml:space="preserve">1 per 3 classrooms</w:t>
            </w:r>
          </w:p>
        </w:tc>
        <w:tc>
          <w:tcPr/>
          <w:p>
            <w:pPr>
              <w:pStyle w:val="Compact"/>
            </w:pPr>
          </w:p>
        </w:tc>
      </w:tr>
      <w:tr>
        <w:tc>
          <w:tcPr/>
          <w:p>
            <w:pPr>
              <w:pStyle w:val="Compact"/>
              <w:jc w:val="left"/>
            </w:pPr>
            <w:r>
              <w:t xml:space="preserve">Educational Facility – Secondary</w:t>
            </w:r>
          </w:p>
        </w:tc>
        <w:tc>
          <w:tcPr/>
          <w:p>
            <w:pPr>
              <w:pStyle w:val="Compact"/>
              <w:jc w:val="left"/>
            </w:pPr>
            <w:r>
              <w:t xml:space="preserve">1 per 3 employees</w:t>
            </w:r>
          </w:p>
        </w:tc>
        <w:tc>
          <w:tcPr/>
          <w:p>
            <w:pPr>
              <w:pStyle w:val="Compact"/>
              <w:jc w:val="left"/>
            </w:pPr>
            <w:r>
              <w:t xml:space="preserve">1 per 3 classrooms</w:t>
            </w:r>
          </w:p>
        </w:tc>
        <w:tc>
          <w:tcPr/>
          <w:p>
            <w:pPr>
              <w:pStyle w:val="Compact"/>
            </w:pPr>
          </w:p>
        </w:tc>
      </w:tr>
    </w:tbl>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jc w:val="left"/>
            </w:pPr>
            <w:r>
              <w:t xml:space="preserve">TABLE 14-1:</w:t>
            </w:r>
          </w:p>
        </w:tc>
        <w:tc>
          <w:tcPr/>
          <w:p>
            <w:pPr>
              <w:pStyle w:val="Compact"/>
              <w:jc w:val="left"/>
            </w:pPr>
            <w:r>
              <w:t xml:space="preserve">OFF-STREET VEHICLE AND BICYCLE PARKING</w:t>
            </w:r>
          </w:p>
        </w:tc>
        <w:tc>
          <w:tcPr/>
          <w:p>
            <w:pPr>
              <w:pStyle w:val="Compact"/>
              <w:jc w:val="left"/>
            </w:pPr>
            <w:r>
              <w:t xml:space="preserve">REQUIREMENTS</w:t>
            </w:r>
          </w:p>
        </w:tc>
        <w:tc>
          <w:tcPr/>
          <w:p>
            <w:pPr>
              <w:pStyle w:val="Compact"/>
            </w:pPr>
          </w:p>
        </w:tc>
      </w:tr>
      <w:tr>
        <w:tc>
          <w:tcPr/>
          <w:p>
            <w:pPr>
              <w:pStyle w:val="Compact"/>
            </w:pPr>
          </w:p>
        </w:tc>
        <w:tc>
          <w:tcPr/>
          <w:p>
            <w:pPr>
              <w:pStyle w:val="Compact"/>
            </w:pPr>
          </w:p>
        </w:tc>
        <w:tc>
          <w:tcPr/>
          <w:p>
            <w:pPr>
              <w:pStyle w:val="Compact"/>
              <w:jc w:val="left"/>
            </w:pPr>
            <w:r>
              <w:t xml:space="preserve">MINIMUM REQUIRED</w:t>
            </w:r>
          </w:p>
        </w:tc>
        <w:tc>
          <w:tcPr/>
          <w:p>
            <w:pPr>
              <w:pStyle w:val="Compact"/>
              <w:jc w:val="left"/>
            </w:pPr>
            <w:r>
              <w:t xml:space="preserve">BICYCLE SPACES</w:t>
            </w:r>
          </w:p>
        </w:tc>
      </w:tr>
      <w:tr>
        <w:tc>
          <w:tcPr/>
          <w:p>
            <w:pPr>
              <w:pStyle w:val="Compact"/>
            </w:pPr>
          </w:p>
        </w:tc>
        <w:tc>
          <w:tcPr/>
          <w:p>
            <w:pPr>
              <w:pStyle w:val="Compact"/>
            </w:pPr>
          </w:p>
        </w:tc>
        <w:tc>
          <w:tcPr/>
          <w:p>
            <w:pPr>
              <w:pStyle w:val="Compact"/>
            </w:pPr>
          </w:p>
        </w:tc>
        <w:tc>
          <w:tcPr/>
          <w:p>
            <w:pPr>
              <w:pStyle w:val="Compact"/>
              <w:jc w:val="left"/>
            </w:pPr>
            <w:r>
              <w:t xml:space="preserve">PERCENTAGE OF</w:t>
            </w:r>
          </w:p>
        </w:tc>
      </w:tr>
      <w:tr>
        <w:tc>
          <w:tcPr/>
          <w:p>
            <w:pPr>
              <w:pStyle w:val="Compact"/>
            </w:pPr>
          </w:p>
        </w:tc>
        <w:tc>
          <w:tcPr/>
          <w:p>
            <w:pPr>
              <w:pStyle w:val="Compact"/>
            </w:pPr>
          </w:p>
        </w:tc>
        <w:tc>
          <w:tcPr/>
          <w:p>
            <w:pPr>
              <w:pStyle w:val="Compact"/>
            </w:pPr>
          </w:p>
        </w:tc>
        <w:tc>
          <w:tcPr/>
          <w:p>
            <w:pPr>
              <w:pStyle w:val="Compact"/>
              <w:jc w:val="left"/>
            </w:pPr>
            <w:r>
              <w:t xml:space="preserve">REQUIRED</w:t>
            </w:r>
          </w:p>
        </w:tc>
      </w:tr>
      <w:tr>
        <w:tc>
          <w:tcPr/>
          <w:p>
            <w:pPr>
              <w:pStyle w:val="Compact"/>
            </w:pPr>
          </w:p>
        </w:tc>
        <w:tc>
          <w:tcPr/>
          <w:p>
            <w:pPr>
              <w:pStyle w:val="Compact"/>
              <w:jc w:val="left"/>
            </w:pPr>
            <w:r>
              <w:t xml:space="preserve">MINIMUM REQUIRED VEHICLE</w:t>
            </w:r>
          </w:p>
        </w:tc>
        <w:tc>
          <w:tcPr/>
          <w:p>
            <w:pPr>
              <w:pStyle w:val="Compact"/>
            </w:pPr>
          </w:p>
        </w:tc>
        <w:tc>
          <w:tcPr/>
          <w:p>
            <w:pPr>
              <w:pStyle w:val="Compact"/>
            </w:pPr>
          </w:p>
        </w:tc>
      </w:tr>
      <w:tr>
        <w:tc>
          <w:tcPr/>
          <w:p>
            <w:pPr>
              <w:pStyle w:val="Compact"/>
              <w:jc w:val="left"/>
            </w:pPr>
            <w:r>
              <w:t xml:space="preserve">USE</w:t>
            </w:r>
          </w:p>
        </w:tc>
        <w:tc>
          <w:tcPr/>
          <w:p>
            <w:pPr>
              <w:pStyle w:val="Compact"/>
            </w:pPr>
          </w:p>
        </w:tc>
        <w:tc>
          <w:tcPr/>
          <w:p>
            <w:pPr>
              <w:pStyle w:val="Compact"/>
              <w:jc w:val="left"/>
            </w:pPr>
            <w:r>
              <w:t xml:space="preserve">REQUIRED TOTAL</w:t>
            </w:r>
          </w:p>
        </w:tc>
        <w:tc>
          <w:tcPr/>
          <w:p>
            <w:pPr>
              <w:pStyle w:val="Compact"/>
              <w:jc w:val="left"/>
            </w:pPr>
            <w:r>
              <w:t xml:space="preserve">BICYCLE SPACES</w:t>
            </w:r>
          </w:p>
        </w:tc>
      </w:tr>
      <w:tr>
        <w:tc>
          <w:tcPr/>
          <w:p>
            <w:pPr>
              <w:pStyle w:val="Compact"/>
            </w:pPr>
          </w:p>
        </w:tc>
        <w:tc>
          <w:tcPr/>
          <w:p>
            <w:pPr>
              <w:pStyle w:val="Compact"/>
              <w:jc w:val="left"/>
            </w:pPr>
            <w:r>
              <w:t xml:space="preserve">SPACES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BICYCLE SPACES</w:t>
            </w:r>
          </w:p>
        </w:tc>
        <w:tc>
          <w:tcPr/>
          <w:p>
            <w:pPr>
              <w:pStyle w:val="Compact"/>
              <w:jc w:val="left"/>
            </w:pPr>
            <w:r>
              <w:t xml:space="preserve">THAT SHALL BE</w:t>
            </w:r>
          </w:p>
        </w:tc>
      </w:tr>
      <w:tr>
        <w:tc>
          <w:tcPr/>
          <w:p>
            <w:pPr>
              <w:pStyle w:val="Compact"/>
            </w:pPr>
          </w:p>
        </w:tc>
        <w:tc>
          <w:tcPr/>
          <w:p>
            <w:pPr>
              <w:pStyle w:val="Compact"/>
            </w:pPr>
          </w:p>
        </w:tc>
        <w:tc>
          <w:tcPr/>
          <w:p>
            <w:pPr>
              <w:pStyle w:val="Compact"/>
            </w:pPr>
          </w:p>
        </w:tc>
        <w:tc>
          <w:tcPr/>
          <w:p>
            <w:pPr>
              <w:pStyle w:val="Compact"/>
              <w:jc w:val="left"/>
            </w:pPr>
            <w:r>
              <w:t xml:space="preserve">LONG-TERM</w:t>
            </w:r>
          </w:p>
        </w:tc>
      </w:tr>
      <w:tr>
        <w:tc>
          <w:tcPr/>
          <w:p>
            <w:pPr>
              <w:pStyle w:val="Compact"/>
            </w:pPr>
          </w:p>
        </w:tc>
        <w:tc>
          <w:tcPr/>
          <w:p>
            <w:pPr>
              <w:pStyle w:val="Compact"/>
            </w:pPr>
          </w:p>
        </w:tc>
        <w:tc>
          <w:tcPr/>
          <w:p>
            <w:pPr>
              <w:pStyle w:val="Compact"/>
            </w:pPr>
          </w:p>
        </w:tc>
        <w:tc>
          <w:tcPr/>
          <w:p>
            <w:pPr>
              <w:pStyle w:val="Compact"/>
              <w:jc w:val="left"/>
            </w:pPr>
            <w:r>
              <w:t xml:space="preserve">SPACES</w:t>
            </w:r>
          </w:p>
        </w:tc>
      </w:tr>
      <w:tr>
        <w:tc>
          <w:tcPr/>
          <w:p>
            <w:pPr>
              <w:pStyle w:val="Compact"/>
              <w:jc w:val="left"/>
            </w:pPr>
            <w:r>
              <w:t xml:space="preserve">Educational Facility - University or College</w:t>
            </w:r>
          </w:p>
        </w:tc>
        <w:tc>
          <w:tcPr/>
          <w:p>
            <w:pPr>
              <w:pStyle w:val="Compact"/>
              <w:jc w:val="left"/>
            </w:pPr>
            <w:r>
              <w:t xml:space="preserve">1 per 3 commuters (employees, staff, and students calculated according to the largest shift during an average day, excluding those who are remote) + 1 per 8 non-commuters (employees, staff, and students living within 3 miles of campus) + 1 per 10 seats for all auditoriums, skating rinks, stadiums, or other structures for exhibitions or athletic events Parking spaces provided for other purposes that are available at the time of the exhibition or athletic event may count toward required parking</w:t>
            </w:r>
          </w:p>
        </w:tc>
        <w:tc>
          <w:tcPr/>
          <w:p>
            <w:pPr>
              <w:pStyle w:val="Compact"/>
              <w:jc w:val="left"/>
            </w:pPr>
            <w:r>
              <w:t xml:space="preserve">1 per 7,500sf GFA</w:t>
            </w:r>
          </w:p>
        </w:tc>
        <w:tc>
          <w:tcPr/>
          <w:p>
            <w:pPr>
              <w:pStyle w:val="Compact"/>
              <w:jc w:val="left"/>
            </w:pPr>
            <w:r>
              <w:t xml:space="preserve">25%</w:t>
            </w:r>
          </w:p>
        </w:tc>
      </w:tr>
      <w:tr>
        <w:tc>
          <w:tcPr/>
          <w:p>
            <w:pPr>
              <w:pStyle w:val="Compact"/>
              <w:jc w:val="left"/>
            </w:pPr>
            <w:r>
              <w:t xml:space="preserve">Educational Facility - Vocational</w:t>
            </w:r>
          </w:p>
        </w:tc>
        <w:tc>
          <w:tcPr/>
          <w:p>
            <w:pPr>
              <w:pStyle w:val="Compact"/>
              <w:jc w:val="left"/>
            </w:pPr>
            <w:r>
              <w:t xml:space="preserve">1 per 3 employees</w:t>
            </w:r>
          </w:p>
        </w:tc>
        <w:tc>
          <w:tcPr/>
          <w:p>
            <w:pPr>
              <w:pStyle w:val="Compact"/>
              <w:jc w:val="left"/>
            </w:pPr>
            <w:r>
              <w:t xml:space="preserve">Over 10,000sf GFA: 1 per 2,500sf GFA</w:t>
            </w:r>
          </w:p>
        </w:tc>
        <w:tc>
          <w:tcPr/>
          <w:p>
            <w:pPr>
              <w:pStyle w:val="Compact"/>
            </w:pPr>
          </w:p>
        </w:tc>
      </w:tr>
      <w:tr>
        <w:tc>
          <w:tcPr/>
          <w:p>
            <w:pPr>
              <w:pStyle w:val="Compact"/>
              <w:jc w:val="left"/>
            </w:pPr>
            <w:r>
              <w:t xml:space="preserve">Financial Institution/Bank</w:t>
            </w:r>
          </w:p>
        </w:tc>
        <w:tc>
          <w:tcPr/>
          <w:p>
            <w:pPr>
              <w:pStyle w:val="Compact"/>
              <w:jc w:val="left"/>
            </w:pPr>
            <w:r>
              <w:t xml:space="preserve">1 per 500sf GFA + 3 stacking spaces per drive-through lane</w:t>
            </w:r>
          </w:p>
        </w:tc>
        <w:tc>
          <w:tcPr/>
          <w:p>
            <w:pPr>
              <w:pStyle w:val="Compact"/>
              <w:jc w:val="left"/>
            </w:pPr>
            <w:r>
              <w:t xml:space="preserve">1 per 5,000sf GFA</w:t>
            </w:r>
          </w:p>
        </w:tc>
        <w:tc>
          <w:tcPr/>
          <w:p>
            <w:pPr>
              <w:pStyle w:val="Compact"/>
            </w:pPr>
          </w:p>
        </w:tc>
      </w:tr>
      <w:tr>
        <w:tc>
          <w:tcPr/>
          <w:p>
            <w:pPr>
              <w:pStyle w:val="Compact"/>
              <w:jc w:val="left"/>
            </w:pPr>
            <w:r>
              <w:t xml:space="preserve">Fraternity/Sorority</w:t>
            </w:r>
          </w:p>
        </w:tc>
        <w:tc>
          <w:tcPr/>
          <w:p>
            <w:pPr>
              <w:pStyle w:val="Compact"/>
              <w:jc w:val="left"/>
            </w:pPr>
            <w:r>
              <w:t xml:space="preserve">1 per 4 rooms</w:t>
            </w:r>
          </w:p>
        </w:tc>
        <w:tc>
          <w:tcPr/>
          <w:p>
            <w:pPr>
              <w:pStyle w:val="Compact"/>
              <w:jc w:val="left"/>
            </w:pPr>
            <w:r>
              <w:t xml:space="preserve">1 per 5 rooms</w:t>
            </w:r>
          </w:p>
        </w:tc>
        <w:tc>
          <w:tcPr/>
          <w:p>
            <w:pPr>
              <w:pStyle w:val="Compact"/>
              <w:jc w:val="left"/>
            </w:pPr>
            <w:r>
              <w:t xml:space="preserve">80%</w:t>
            </w:r>
          </w:p>
        </w:tc>
      </w:tr>
      <w:tr>
        <w:tc>
          <w:tcPr/>
          <w:p>
            <w:pPr>
              <w:pStyle w:val="Compact"/>
              <w:jc w:val="left"/>
            </w:pPr>
            <w:r>
              <w:t xml:space="preserve">Freight Terminal</w:t>
            </w:r>
          </w:p>
        </w:tc>
        <w:tc>
          <w:tcPr/>
          <w:p>
            <w:pPr>
              <w:pStyle w:val="Compact"/>
              <w:jc w:val="left"/>
            </w:pPr>
            <w:r>
              <w:t xml:space="preserve">1 per 1,000sf GFA of terminal building</w:t>
            </w:r>
          </w:p>
        </w:tc>
        <w:tc>
          <w:tcPr/>
          <w:p>
            <w:pPr>
              <w:pStyle w:val="Compact"/>
              <w:jc w:val="left"/>
            </w:pPr>
            <w:r>
              <w:t xml:space="preserve">1 per 5,000sf GFA</w:t>
            </w:r>
          </w:p>
        </w:tc>
        <w:tc>
          <w:tcPr/>
          <w:p>
            <w:pPr>
              <w:pStyle w:val="Compact"/>
            </w:pPr>
          </w:p>
        </w:tc>
      </w:tr>
      <w:tr>
        <w:tc>
          <w:tcPr/>
          <w:p>
            <w:pPr>
              <w:pStyle w:val="Compact"/>
              <w:jc w:val="left"/>
            </w:pPr>
            <w:r>
              <w:t xml:space="preserve">Funeral Home</w:t>
            </w:r>
          </w:p>
        </w:tc>
        <w:tc>
          <w:tcPr/>
          <w:p>
            <w:pPr>
              <w:pStyle w:val="Compact"/>
              <w:jc w:val="left"/>
            </w:pPr>
            <w:r>
              <w:t xml:space="preserve">1 per 250sf GFA</w:t>
            </w:r>
          </w:p>
        </w:tc>
        <w:tc>
          <w:tcPr/>
          <w:p>
            <w:pPr>
              <w:pStyle w:val="Compact"/>
              <w:jc w:val="left"/>
            </w:pPr>
            <w:r>
              <w:t xml:space="preserve">1 per 5,000sf GFA</w:t>
            </w:r>
          </w:p>
        </w:tc>
        <w:tc>
          <w:tcPr/>
          <w:p>
            <w:pPr>
              <w:pStyle w:val="Compact"/>
            </w:pPr>
          </w:p>
        </w:tc>
      </w:tr>
      <w:tr>
        <w:tc>
          <w:tcPr/>
          <w:p>
            <w:pPr>
              <w:pStyle w:val="Compact"/>
              <w:jc w:val="left"/>
            </w:pPr>
            <w:r>
              <w:t xml:space="preserve">Gas Station</w:t>
            </w:r>
          </w:p>
        </w:tc>
        <w:tc>
          <w:tcPr/>
          <w:p>
            <w:pPr>
              <w:pStyle w:val="Compact"/>
              <w:jc w:val="left"/>
            </w:pPr>
            <w:r>
              <w:t xml:space="preserve">2 per pump (in addition to pump spaces) + 1 per 500sf GFA of retail area + 2 per service bay of accessory motor vehicle service and repair + 4 stacking spaces forcar wash bay</w:t>
            </w:r>
          </w:p>
        </w:tc>
        <w:tc>
          <w:tcPr/>
          <w:p>
            <w:pPr>
              <w:pStyle w:val="Compact"/>
            </w:pPr>
          </w:p>
        </w:tc>
        <w:tc>
          <w:tcPr/>
          <w:p>
            <w:pPr>
              <w:pStyle w:val="Compact"/>
            </w:pPr>
          </w:p>
        </w:tc>
      </w:tr>
      <w:tr>
        <w:tc>
          <w:tcPr/>
          <w:p>
            <w:pPr>
              <w:pStyle w:val="Compact"/>
              <w:jc w:val="left"/>
            </w:pPr>
            <w:r>
              <w:t xml:space="preserve">Golf Course/Driving Range</w:t>
            </w:r>
          </w:p>
        </w:tc>
        <w:tc>
          <w:tcPr/>
          <w:p>
            <w:pPr>
              <w:pStyle w:val="Compact"/>
              <w:jc w:val="left"/>
            </w:pPr>
            <w:r>
              <w:t xml:space="preserve">2 per tee</w:t>
            </w:r>
          </w:p>
        </w:tc>
        <w:tc>
          <w:tcPr/>
          <w:p>
            <w:pPr>
              <w:pStyle w:val="Compact"/>
              <w:jc w:val="left"/>
            </w:pPr>
            <w:r>
              <w:t xml:space="preserve">1 per 2 tees</w:t>
            </w:r>
          </w:p>
        </w:tc>
        <w:tc>
          <w:tcPr/>
          <w:p>
            <w:pPr>
              <w:pStyle w:val="Compact"/>
            </w:pPr>
          </w:p>
        </w:tc>
      </w:tr>
      <w:tr>
        <w:tc>
          <w:tcPr/>
          <w:p>
            <w:pPr>
              <w:pStyle w:val="Compact"/>
              <w:jc w:val="left"/>
            </w:pPr>
            <w:r>
              <w:t xml:space="preserve">Government Office</w:t>
            </w:r>
          </w:p>
        </w:tc>
        <w:tc>
          <w:tcPr/>
          <w:p>
            <w:pPr>
              <w:pStyle w:val="Compact"/>
              <w:jc w:val="left"/>
            </w:pPr>
            <w:r>
              <w:t xml:space="preserve">1 per 500sf GFA</w:t>
            </w:r>
          </w:p>
        </w:tc>
        <w:tc>
          <w:tcPr/>
          <w:p>
            <w:pPr>
              <w:pStyle w:val="Compact"/>
              <w:jc w:val="left"/>
            </w:pPr>
            <w:r>
              <w:t xml:space="preserve">1 per 2,500sf GFA</w:t>
            </w:r>
          </w:p>
        </w:tc>
        <w:tc>
          <w:tcPr/>
          <w:p>
            <w:pPr>
              <w:pStyle w:val="Compact"/>
              <w:jc w:val="left"/>
            </w:pPr>
            <w:r>
              <w:t xml:space="preserve">50%</w:t>
            </w:r>
          </w:p>
        </w:tc>
      </w:tr>
      <w:tr>
        <w:tc>
          <w:tcPr/>
          <w:p>
            <w:pPr>
              <w:pStyle w:val="Compact"/>
              <w:jc w:val="left"/>
            </w:pPr>
            <w:r>
              <w:t xml:space="preserve">Greenhouse/Nursery</w:t>
            </w:r>
          </w:p>
        </w:tc>
        <w:tc>
          <w:tcPr/>
          <w:p>
            <w:pPr>
              <w:pStyle w:val="Compact"/>
              <w:jc w:val="left"/>
            </w:pPr>
            <w:r>
              <w:t xml:space="preserve">1 per 500sf GFA + 1 per 1,000sf of outdoor area</w:t>
            </w:r>
          </w:p>
        </w:tc>
        <w:tc>
          <w:tcPr/>
          <w:p>
            <w:pPr>
              <w:pStyle w:val="Compact"/>
              <w:jc w:val="left"/>
            </w:pPr>
            <w:r>
              <w:t xml:space="preserve">Over 10,000sf GFA: 1 per 2,500sf GFA</w:t>
            </w:r>
          </w:p>
        </w:tc>
        <w:tc>
          <w:tcPr/>
          <w:p>
            <w:pPr>
              <w:pStyle w:val="Compact"/>
            </w:pPr>
          </w:p>
        </w:tc>
      </w:tr>
      <w:tr>
        <w:tc>
          <w:tcPr/>
          <w:p>
            <w:pPr>
              <w:pStyle w:val="Compact"/>
              <w:jc w:val="left"/>
            </w:pPr>
            <w:r>
              <w:t xml:space="preserve">Group Quarters</w:t>
            </w:r>
          </w:p>
        </w:tc>
        <w:tc>
          <w:tcPr/>
          <w:p>
            <w:pPr>
              <w:pStyle w:val="Compact"/>
              <w:jc w:val="left"/>
            </w:pPr>
            <w:r>
              <w:t xml:space="preserve">1 per 4 bedrooms</w:t>
            </w:r>
          </w:p>
        </w:tc>
        <w:tc>
          <w:tcPr/>
          <w:p>
            <w:pPr>
              <w:pStyle w:val="Compact"/>
              <w:jc w:val="left"/>
            </w:pPr>
            <w:r>
              <w:t xml:space="preserve">1 per 4 bedrooms</w:t>
            </w:r>
          </w:p>
        </w:tc>
        <w:tc>
          <w:tcPr/>
          <w:p>
            <w:pPr>
              <w:pStyle w:val="Compact"/>
              <w:jc w:val="left"/>
            </w:pPr>
            <w:r>
              <w:t xml:space="preserve">80%</w:t>
            </w:r>
          </w:p>
        </w:tc>
      </w:tr>
      <w:tr>
        <w:tc>
          <w:tcPr/>
          <w:p>
            <w:pPr>
              <w:pStyle w:val="Compact"/>
              <w:jc w:val="left"/>
            </w:pPr>
            <w:r>
              <w:t xml:space="preserve">Health Care Institution</w:t>
            </w:r>
          </w:p>
        </w:tc>
        <w:tc>
          <w:tcPr/>
          <w:p>
            <w:pPr>
              <w:pStyle w:val="Compact"/>
              <w:jc w:val="left"/>
            </w:pPr>
            <w:r>
              <w:t xml:space="preserve">1 per 500sf GFA</w:t>
            </w:r>
          </w:p>
        </w:tc>
        <w:tc>
          <w:tcPr/>
          <w:p>
            <w:pPr>
              <w:pStyle w:val="Compact"/>
              <w:jc w:val="left"/>
            </w:pPr>
            <w:r>
              <w:t xml:space="preserve">1 per 2,500sf GFA</w:t>
            </w:r>
          </w:p>
        </w:tc>
        <w:tc>
          <w:tcPr/>
          <w:p>
            <w:pPr>
              <w:pStyle w:val="Compact"/>
              <w:jc w:val="left"/>
            </w:pPr>
            <w:r>
              <w:t xml:space="preserve">50%</w:t>
            </w:r>
          </w:p>
        </w:tc>
      </w:tr>
      <w:tr>
        <w:tc>
          <w:tcPr/>
          <w:p>
            <w:pPr>
              <w:pStyle w:val="Compact"/>
              <w:jc w:val="left"/>
            </w:pPr>
            <w:r>
              <w:t xml:space="preserve">Heavy Retail, Rental &amp; Service</w:t>
            </w:r>
          </w:p>
        </w:tc>
        <w:tc>
          <w:tcPr/>
          <w:p>
            <w:pPr>
              <w:pStyle w:val="Compact"/>
              <w:jc w:val="left"/>
            </w:pPr>
            <w:r>
              <w:t xml:space="preserve">1 per 500sf GFA + 1 per 1,000sf of outdoor area</w:t>
            </w:r>
          </w:p>
        </w:tc>
        <w:tc>
          <w:tcPr/>
          <w:p>
            <w:pPr>
              <w:pStyle w:val="Compact"/>
              <w:jc w:val="left"/>
            </w:pPr>
            <w:r>
              <w:t xml:space="preserve">Over 10,000sf GFA: 1 per 2,500sf GFA</w:t>
            </w:r>
          </w:p>
        </w:tc>
        <w:tc>
          <w:tcPr/>
          <w:p>
            <w:pPr>
              <w:pStyle w:val="Compact"/>
            </w:pPr>
          </w:p>
        </w:tc>
      </w:tr>
      <w:tr>
        <w:tc>
          <w:tcPr/>
          <w:p>
            <w:pPr>
              <w:pStyle w:val="Compact"/>
              <w:jc w:val="left"/>
            </w:pPr>
            <w:r>
              <w:t xml:space="preserve">Hotel/Motel</w:t>
            </w:r>
          </w:p>
        </w:tc>
        <w:tc>
          <w:tcPr/>
          <w:p>
            <w:pPr>
              <w:pStyle w:val="Compact"/>
              <w:jc w:val="left"/>
            </w:pPr>
            <w:r>
              <w:t xml:space="preserve">1 per room</w:t>
            </w:r>
          </w:p>
        </w:tc>
        <w:tc>
          <w:tcPr/>
          <w:p>
            <w:pPr>
              <w:pStyle w:val="Compact"/>
              <w:jc w:val="left"/>
            </w:pPr>
            <w:r>
              <w:t xml:space="preserve">1 per 5 rooms</w:t>
            </w:r>
          </w:p>
        </w:tc>
        <w:tc>
          <w:tcPr/>
          <w:p>
            <w:pPr>
              <w:pStyle w:val="Compact"/>
            </w:pPr>
          </w:p>
        </w:tc>
      </w:tr>
      <w:tr>
        <w:tc>
          <w:tcPr/>
          <w:p>
            <w:pPr>
              <w:pStyle w:val="Compact"/>
              <w:jc w:val="left"/>
            </w:pPr>
            <w:r>
              <w:t xml:space="preserve">Industrial - Artisan</w:t>
            </w:r>
          </w:p>
        </w:tc>
        <w:tc>
          <w:tcPr/>
          <w:p>
            <w:pPr>
              <w:pStyle w:val="Compact"/>
              <w:jc w:val="left"/>
            </w:pPr>
            <w:r>
              <w:t xml:space="preserve">1 per studio</w:t>
            </w:r>
          </w:p>
        </w:tc>
        <w:tc>
          <w:tcPr/>
          <w:p>
            <w:pPr>
              <w:pStyle w:val="Compact"/>
              <w:jc w:val="left"/>
            </w:pPr>
            <w:r>
              <w:t xml:space="preserve">1 per 2 studios</w:t>
            </w:r>
          </w:p>
        </w:tc>
        <w:tc>
          <w:tcPr/>
          <w:p>
            <w:pPr>
              <w:pStyle w:val="Compact"/>
              <w:jc w:val="left"/>
            </w:pPr>
            <w:r>
              <w:t xml:space="preserve">50%</w:t>
            </w:r>
          </w:p>
        </w:tc>
      </w:tr>
      <w:tr>
        <w:tc>
          <w:tcPr/>
          <w:p>
            <w:pPr>
              <w:pStyle w:val="Compact"/>
              <w:jc w:val="left"/>
            </w:pPr>
            <w:r>
              <w:t xml:space="preserve">Industrial - General</w:t>
            </w:r>
          </w:p>
        </w:tc>
        <w:tc>
          <w:tcPr/>
          <w:p>
            <w:pPr>
              <w:pStyle w:val="Compact"/>
              <w:jc w:val="left"/>
            </w:pPr>
            <w:r>
              <w:t xml:space="preserve">1 per 5 employees</w:t>
            </w:r>
          </w:p>
        </w:tc>
        <w:tc>
          <w:tcPr/>
          <w:p>
            <w:pPr>
              <w:pStyle w:val="Compact"/>
              <w:jc w:val="left"/>
            </w:pPr>
            <w:r>
              <w:t xml:space="preserve">1 per 5 employees</w:t>
            </w:r>
          </w:p>
        </w:tc>
        <w:tc>
          <w:tcPr/>
          <w:p>
            <w:pPr>
              <w:pStyle w:val="Compact"/>
              <w:jc w:val="left"/>
            </w:pPr>
            <w:r>
              <w:t xml:space="preserve">50%</w:t>
            </w:r>
          </w:p>
        </w:tc>
      </w:tr>
      <w:tr>
        <w:tc>
          <w:tcPr/>
          <w:p>
            <w:pPr>
              <w:pStyle w:val="Compact"/>
              <w:jc w:val="left"/>
            </w:pPr>
            <w:r>
              <w:t xml:space="preserve">Industrial - Light</w:t>
            </w:r>
          </w:p>
        </w:tc>
        <w:tc>
          <w:tcPr/>
          <w:p>
            <w:pPr>
              <w:pStyle w:val="Compact"/>
              <w:jc w:val="left"/>
            </w:pPr>
            <w:r>
              <w:t xml:space="preserve">1 per 5 employees</w:t>
            </w:r>
          </w:p>
        </w:tc>
        <w:tc>
          <w:tcPr/>
          <w:p>
            <w:pPr>
              <w:pStyle w:val="Compact"/>
              <w:jc w:val="left"/>
            </w:pPr>
            <w:r>
              <w:t xml:space="preserve">1 per 5 employees</w:t>
            </w:r>
          </w:p>
        </w:tc>
        <w:tc>
          <w:tcPr/>
          <w:p>
            <w:pPr>
              <w:pStyle w:val="Compact"/>
              <w:jc w:val="left"/>
            </w:pPr>
            <w:r>
              <w:t xml:space="preserve">50%</w:t>
            </w:r>
          </w:p>
        </w:tc>
      </w:tr>
      <w:tr>
        <w:tc>
          <w:tcPr/>
          <w:p>
            <w:pPr>
              <w:pStyle w:val="Compact"/>
              <w:jc w:val="left"/>
            </w:pPr>
            <w:r>
              <w:t xml:space="preserve">Industrial Design</w:t>
            </w:r>
          </w:p>
        </w:tc>
        <w:tc>
          <w:tcPr/>
          <w:p>
            <w:pPr>
              <w:pStyle w:val="Compact"/>
              <w:jc w:val="left"/>
            </w:pPr>
            <w:r>
              <w:t xml:space="preserve">1 per 500sf GFA</w:t>
            </w:r>
          </w:p>
        </w:tc>
        <w:tc>
          <w:tcPr/>
          <w:p>
            <w:pPr>
              <w:pStyle w:val="Compact"/>
              <w:jc w:val="left"/>
            </w:pPr>
            <w:r>
              <w:t xml:space="preserve">1 per 2,500sf GFA</w:t>
            </w:r>
          </w:p>
        </w:tc>
        <w:tc>
          <w:tcPr/>
          <w:p>
            <w:pPr>
              <w:pStyle w:val="Compact"/>
              <w:jc w:val="left"/>
            </w:pPr>
            <w:r>
              <w:t xml:space="preserve">50%</w:t>
            </w:r>
          </w:p>
        </w:tc>
      </w:tr>
      <w:tr>
        <w:tc>
          <w:tcPr/>
          <w:p>
            <w:pPr>
              <w:pStyle w:val="Compact"/>
              <w:jc w:val="left"/>
            </w:pPr>
            <w:r>
              <w:t xml:space="preserve">Live Performance Venue</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Lodge/Meeting Hall</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jc w:val="left"/>
            </w:pPr>
            <w:r>
              <w:t xml:space="preserve">50%</w:t>
            </w:r>
          </w:p>
        </w:tc>
      </w:tr>
      <w:tr>
        <w:tc>
          <w:tcPr/>
          <w:p>
            <w:pPr>
              <w:pStyle w:val="Compact"/>
              <w:jc w:val="left"/>
            </w:pPr>
            <w:r>
              <w:t xml:space="preserve">Marina - Recreational</w:t>
            </w:r>
          </w:p>
        </w:tc>
        <w:tc>
          <w:tcPr/>
          <w:p>
            <w:pPr>
              <w:pStyle w:val="Compact"/>
              <w:jc w:val="left"/>
            </w:pPr>
            <w:r>
              <w:t xml:space="preserve">1 per 2 slips Additional uses within the recreational marina (restaurant, bar, etc.): Cumulative - determined by sum of requirements for each of the uses within development</w:t>
            </w:r>
          </w:p>
        </w:tc>
        <w:tc>
          <w:tcPr/>
          <w:p>
            <w:pPr>
              <w:pStyle w:val="Compact"/>
              <w:jc w:val="left"/>
            </w:pPr>
            <w:r>
              <w:t xml:space="preserve">1 per 4 slips</w:t>
            </w:r>
          </w:p>
        </w:tc>
        <w:tc>
          <w:tcPr/>
          <w:p>
            <w:pPr>
              <w:pStyle w:val="Compact"/>
            </w:pPr>
          </w:p>
        </w:tc>
      </w:tr>
    </w:tbl>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jc w:val="left"/>
            </w:pPr>
            <w:r>
              <w:t xml:space="preserve">TABLE 14-1:</w:t>
            </w:r>
          </w:p>
        </w:tc>
        <w:tc>
          <w:tcPr/>
          <w:p>
            <w:pPr>
              <w:pStyle w:val="Compact"/>
              <w:jc w:val="left"/>
            </w:pPr>
            <w:r>
              <w:t xml:space="preserve">OFF-STREET VEHICLE AND BICYCLE PARKING</w:t>
            </w:r>
          </w:p>
        </w:tc>
        <w:tc>
          <w:tcPr/>
          <w:p>
            <w:pPr>
              <w:pStyle w:val="Compact"/>
              <w:jc w:val="left"/>
            </w:pPr>
            <w:r>
              <w:t xml:space="preserve">REQUIREMENTS</w:t>
            </w:r>
          </w:p>
        </w:tc>
        <w:tc>
          <w:tcPr/>
          <w:p>
            <w:pPr>
              <w:pStyle w:val="Compact"/>
            </w:pPr>
          </w:p>
        </w:tc>
      </w:tr>
      <w:tr>
        <w:tc>
          <w:tcPr/>
          <w:p>
            <w:pPr>
              <w:pStyle w:val="Compact"/>
            </w:pPr>
          </w:p>
        </w:tc>
        <w:tc>
          <w:tcPr/>
          <w:p>
            <w:pPr>
              <w:pStyle w:val="Compact"/>
            </w:pPr>
          </w:p>
        </w:tc>
        <w:tc>
          <w:tcPr/>
          <w:p>
            <w:pPr>
              <w:pStyle w:val="Compact"/>
              <w:jc w:val="left"/>
            </w:pPr>
            <w:r>
              <w:t xml:space="preserve">MINIMUM REQUIRED</w:t>
            </w:r>
          </w:p>
        </w:tc>
        <w:tc>
          <w:tcPr/>
          <w:p>
            <w:pPr>
              <w:pStyle w:val="Compact"/>
              <w:jc w:val="left"/>
            </w:pPr>
            <w:r>
              <w:t xml:space="preserve">BICYCLE SPACES</w:t>
            </w:r>
          </w:p>
        </w:tc>
      </w:tr>
      <w:tr>
        <w:tc>
          <w:tcPr/>
          <w:p>
            <w:pPr>
              <w:pStyle w:val="Compact"/>
            </w:pPr>
          </w:p>
        </w:tc>
        <w:tc>
          <w:tcPr/>
          <w:p>
            <w:pPr>
              <w:pStyle w:val="Compact"/>
            </w:pPr>
          </w:p>
        </w:tc>
        <w:tc>
          <w:tcPr/>
          <w:p>
            <w:pPr>
              <w:pStyle w:val="Compact"/>
            </w:pPr>
          </w:p>
        </w:tc>
        <w:tc>
          <w:tcPr/>
          <w:p>
            <w:pPr>
              <w:pStyle w:val="Compact"/>
              <w:jc w:val="left"/>
            </w:pPr>
            <w:r>
              <w:t xml:space="preserve">PERCENTAGE OF</w:t>
            </w:r>
          </w:p>
        </w:tc>
      </w:tr>
      <w:tr>
        <w:tc>
          <w:tcPr/>
          <w:p>
            <w:pPr>
              <w:pStyle w:val="Compact"/>
            </w:pPr>
          </w:p>
        </w:tc>
        <w:tc>
          <w:tcPr/>
          <w:p>
            <w:pPr>
              <w:pStyle w:val="Compact"/>
            </w:pPr>
          </w:p>
        </w:tc>
        <w:tc>
          <w:tcPr/>
          <w:p>
            <w:pPr>
              <w:pStyle w:val="Compact"/>
            </w:pPr>
          </w:p>
        </w:tc>
        <w:tc>
          <w:tcPr/>
          <w:p>
            <w:pPr>
              <w:pStyle w:val="Compact"/>
              <w:jc w:val="left"/>
            </w:pPr>
            <w:r>
              <w:t xml:space="preserve">REQUIRED</w:t>
            </w:r>
          </w:p>
        </w:tc>
      </w:tr>
      <w:tr>
        <w:tc>
          <w:tcPr/>
          <w:p>
            <w:pPr>
              <w:pStyle w:val="Compact"/>
            </w:pPr>
          </w:p>
        </w:tc>
        <w:tc>
          <w:tcPr/>
          <w:p>
            <w:pPr>
              <w:pStyle w:val="Compact"/>
              <w:jc w:val="left"/>
            </w:pPr>
            <w:r>
              <w:t xml:space="preserve">MINIMUM REQUIRED VEHICLE</w:t>
            </w:r>
          </w:p>
        </w:tc>
        <w:tc>
          <w:tcPr/>
          <w:p>
            <w:pPr>
              <w:pStyle w:val="Compact"/>
            </w:pPr>
          </w:p>
        </w:tc>
        <w:tc>
          <w:tcPr/>
          <w:p>
            <w:pPr>
              <w:pStyle w:val="Compact"/>
            </w:pPr>
          </w:p>
        </w:tc>
      </w:tr>
      <w:tr>
        <w:tc>
          <w:tcPr/>
          <w:p>
            <w:pPr>
              <w:pStyle w:val="Compact"/>
              <w:jc w:val="left"/>
            </w:pPr>
            <w:r>
              <w:t xml:space="preserve">USE</w:t>
            </w:r>
          </w:p>
        </w:tc>
        <w:tc>
          <w:tcPr/>
          <w:p>
            <w:pPr>
              <w:pStyle w:val="Compact"/>
            </w:pPr>
          </w:p>
        </w:tc>
        <w:tc>
          <w:tcPr/>
          <w:p>
            <w:pPr>
              <w:pStyle w:val="Compact"/>
              <w:jc w:val="left"/>
            </w:pPr>
            <w:r>
              <w:t xml:space="preserve">REQUIRED TOTAL</w:t>
            </w:r>
          </w:p>
        </w:tc>
        <w:tc>
          <w:tcPr/>
          <w:p>
            <w:pPr>
              <w:pStyle w:val="Compact"/>
              <w:jc w:val="left"/>
            </w:pPr>
            <w:r>
              <w:t xml:space="preserve">BICYCLE SPACES</w:t>
            </w:r>
          </w:p>
        </w:tc>
      </w:tr>
      <w:tr>
        <w:tc>
          <w:tcPr/>
          <w:p>
            <w:pPr>
              <w:pStyle w:val="Compact"/>
            </w:pPr>
          </w:p>
        </w:tc>
        <w:tc>
          <w:tcPr/>
          <w:p>
            <w:pPr>
              <w:pStyle w:val="Compact"/>
              <w:jc w:val="left"/>
            </w:pPr>
            <w:r>
              <w:t xml:space="preserve">SPACES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BICYCLE SPACES</w:t>
            </w:r>
          </w:p>
        </w:tc>
        <w:tc>
          <w:tcPr/>
          <w:p>
            <w:pPr>
              <w:pStyle w:val="Compact"/>
              <w:jc w:val="left"/>
            </w:pPr>
            <w:r>
              <w:t xml:space="preserve">THAT SHALL BE</w:t>
            </w:r>
          </w:p>
        </w:tc>
      </w:tr>
      <w:tr>
        <w:tc>
          <w:tcPr/>
          <w:p>
            <w:pPr>
              <w:pStyle w:val="Compact"/>
            </w:pPr>
          </w:p>
        </w:tc>
        <w:tc>
          <w:tcPr/>
          <w:p>
            <w:pPr>
              <w:pStyle w:val="Compact"/>
            </w:pPr>
          </w:p>
        </w:tc>
        <w:tc>
          <w:tcPr/>
          <w:p>
            <w:pPr>
              <w:pStyle w:val="Compact"/>
            </w:pPr>
          </w:p>
        </w:tc>
        <w:tc>
          <w:tcPr/>
          <w:p>
            <w:pPr>
              <w:pStyle w:val="Compact"/>
              <w:jc w:val="left"/>
            </w:pPr>
            <w:r>
              <w:t xml:space="preserve">LONG-TERM</w:t>
            </w:r>
          </w:p>
        </w:tc>
      </w:tr>
      <w:tr>
        <w:tc>
          <w:tcPr/>
          <w:p>
            <w:pPr>
              <w:pStyle w:val="Compact"/>
            </w:pPr>
          </w:p>
        </w:tc>
        <w:tc>
          <w:tcPr/>
          <w:p>
            <w:pPr>
              <w:pStyle w:val="Compact"/>
            </w:pPr>
          </w:p>
        </w:tc>
        <w:tc>
          <w:tcPr/>
          <w:p>
            <w:pPr>
              <w:pStyle w:val="Compact"/>
            </w:pPr>
          </w:p>
        </w:tc>
        <w:tc>
          <w:tcPr/>
          <w:p>
            <w:pPr>
              <w:pStyle w:val="Compact"/>
              <w:jc w:val="left"/>
            </w:pPr>
            <w:r>
              <w:t xml:space="preserve">SPACES</w:t>
            </w:r>
          </w:p>
        </w:tc>
      </w:tr>
      <w:tr>
        <w:tc>
          <w:tcPr/>
          <w:p>
            <w:pPr>
              <w:pStyle w:val="Compact"/>
              <w:jc w:val="left"/>
            </w:pPr>
            <w:r>
              <w:t xml:space="preserve">Marina - Commercial</w:t>
            </w:r>
          </w:p>
        </w:tc>
        <w:tc>
          <w:tcPr/>
          <w:p>
            <w:pPr>
              <w:pStyle w:val="Compact"/>
              <w:jc w:val="left"/>
            </w:pPr>
            <w:r>
              <w:t xml:space="preserve">1 per 2 slips</w:t>
            </w:r>
          </w:p>
        </w:tc>
        <w:tc>
          <w:tcPr/>
          <w:p>
            <w:pPr>
              <w:pStyle w:val="Compact"/>
              <w:jc w:val="left"/>
            </w:pPr>
            <w:r>
              <w:t xml:space="preserve">1 per 4 slips</w:t>
            </w:r>
          </w:p>
        </w:tc>
        <w:tc>
          <w:tcPr/>
          <w:p>
            <w:pPr>
              <w:pStyle w:val="Compact"/>
            </w:pPr>
          </w:p>
        </w:tc>
      </w:tr>
      <w:tr>
        <w:tc>
          <w:tcPr/>
          <w:p>
            <w:pPr>
              <w:pStyle w:val="Compact"/>
              <w:jc w:val="left"/>
            </w:pPr>
            <w:r>
              <w:t xml:space="preserve">Medical/Dental Office</w:t>
            </w:r>
          </w:p>
        </w:tc>
        <w:tc>
          <w:tcPr/>
          <w:p>
            <w:pPr>
              <w:pStyle w:val="Compact"/>
              <w:jc w:val="left"/>
            </w:pPr>
            <w:r>
              <w:t xml:space="preserve">1 per 500sf GFA</w:t>
            </w:r>
          </w:p>
        </w:tc>
        <w:tc>
          <w:tcPr/>
          <w:p>
            <w:pPr>
              <w:pStyle w:val="Compact"/>
              <w:jc w:val="left"/>
            </w:pPr>
            <w:r>
              <w:t xml:space="preserve">1 per 5,000sf GFA</w:t>
            </w:r>
          </w:p>
        </w:tc>
        <w:tc>
          <w:tcPr/>
          <w:p>
            <w:pPr>
              <w:pStyle w:val="Compact"/>
              <w:jc w:val="left"/>
            </w:pPr>
            <w:r>
              <w:t xml:space="preserve">25%</w:t>
            </w:r>
          </w:p>
        </w:tc>
      </w:tr>
      <w:tr>
        <w:tc>
          <w:tcPr/>
          <w:p>
            <w:pPr>
              <w:pStyle w:val="Compact"/>
              <w:jc w:val="left"/>
            </w:pPr>
            <w:r>
              <w:t xml:space="preserve">Micro-Brewery/Distillery/Winery</w:t>
            </w:r>
          </w:p>
        </w:tc>
        <w:tc>
          <w:tcPr/>
          <w:p>
            <w:pPr>
              <w:pStyle w:val="Compact"/>
              <w:jc w:val="left"/>
            </w:pPr>
            <w:r>
              <w:t xml:space="preserve">1 per 1,000sf GFA</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Movie Studio</w:t>
            </w:r>
          </w:p>
        </w:tc>
        <w:tc>
          <w:tcPr/>
          <w:p>
            <w:pPr>
              <w:pStyle w:val="Compact"/>
              <w:jc w:val="left"/>
            </w:pPr>
            <w:r>
              <w:t xml:space="preserve">1 per 2,000sf GFA</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Nightclub</w:t>
            </w:r>
          </w:p>
        </w:tc>
        <w:tc>
          <w:tcPr/>
          <w:p>
            <w:pPr>
              <w:pStyle w:val="Compact"/>
              <w:jc w:val="left"/>
            </w:pPr>
            <w:r>
              <w:t xml:space="preserve">1 per 250sf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Office</w:t>
            </w:r>
          </w:p>
        </w:tc>
        <w:tc>
          <w:tcPr/>
          <w:p>
            <w:pPr>
              <w:pStyle w:val="Compact"/>
              <w:jc w:val="left"/>
            </w:pPr>
            <w:r>
              <w:t xml:space="preserve">1 per 500sf GFA</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Outdoor Market</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Passenger Terminal</w:t>
            </w:r>
          </w:p>
        </w:tc>
        <w:tc>
          <w:tcPr/>
          <w:p>
            <w:pPr>
              <w:pStyle w:val="Compact"/>
              <w:jc w:val="left"/>
            </w:pPr>
            <w:r>
              <w:t xml:space="preserve">1 per 500sf GFA of terminal building</w:t>
            </w:r>
          </w:p>
        </w:tc>
        <w:tc>
          <w:tcPr/>
          <w:p>
            <w:pPr>
              <w:pStyle w:val="Compact"/>
              <w:jc w:val="left"/>
            </w:pPr>
            <w:r>
              <w:t xml:space="preserve">1 per 5,000sf GFA</w:t>
            </w:r>
          </w:p>
        </w:tc>
        <w:tc>
          <w:tcPr/>
          <w:p>
            <w:pPr>
              <w:pStyle w:val="Compact"/>
            </w:pPr>
          </w:p>
        </w:tc>
      </w:tr>
      <w:tr>
        <w:tc>
          <w:tcPr/>
          <w:p>
            <w:pPr>
              <w:pStyle w:val="Compact"/>
              <w:jc w:val="left"/>
            </w:pPr>
            <w:r>
              <w:t xml:space="preserve">Personal Service Establishment</w:t>
            </w:r>
          </w:p>
        </w:tc>
        <w:tc>
          <w:tcPr/>
          <w:p>
            <w:pPr>
              <w:pStyle w:val="Compact"/>
              <w:jc w:val="left"/>
            </w:pPr>
            <w:r>
              <w:t xml:space="preserve">1 per 500sf GFA</w:t>
            </w:r>
          </w:p>
        </w:tc>
        <w:tc>
          <w:tcPr/>
          <w:p>
            <w:pPr>
              <w:pStyle w:val="Compact"/>
              <w:jc w:val="left"/>
            </w:pPr>
            <w:r>
              <w:t xml:space="preserve">Over 10,000sf GFA: 1 per 5,000sf GFA</w:t>
            </w:r>
          </w:p>
        </w:tc>
        <w:tc>
          <w:tcPr/>
          <w:p>
            <w:pPr>
              <w:pStyle w:val="Compact"/>
              <w:jc w:val="left"/>
            </w:pPr>
            <w:r>
              <w:t xml:space="preserve">25%</w:t>
            </w:r>
          </w:p>
        </w:tc>
      </w:tr>
      <w:tr>
        <w:tc>
          <w:tcPr/>
          <w:p>
            <w:pPr>
              <w:pStyle w:val="Compact"/>
              <w:jc w:val="left"/>
            </w:pPr>
            <w:r>
              <w:t xml:space="preserve">Place of Worship</w:t>
            </w:r>
          </w:p>
        </w:tc>
        <w:tc>
          <w:tcPr/>
          <w:p>
            <w:pPr>
              <w:pStyle w:val="Compact"/>
              <w:jc w:val="left"/>
            </w:pPr>
            <w:r>
              <w:t xml:space="preserve">R-1 and R-3 Districts: 1 per 5 seats Other Districts: 1 per 8 seats</w:t>
            </w:r>
          </w:p>
        </w:tc>
        <w:tc>
          <w:tcPr/>
          <w:p>
            <w:pPr>
              <w:pStyle w:val="Compact"/>
              <w:jc w:val="left"/>
            </w:pPr>
            <w:r>
              <w:t xml:space="preserve">1 per 5,000sf GFA</w:t>
            </w:r>
          </w:p>
        </w:tc>
        <w:tc>
          <w:tcPr/>
          <w:p>
            <w:pPr>
              <w:pStyle w:val="Compact"/>
              <w:jc w:val="left"/>
            </w:pPr>
            <w:r>
              <w:t xml:space="preserve">25%</w:t>
            </w:r>
          </w:p>
        </w:tc>
      </w:tr>
      <w:tr>
        <w:tc>
          <w:tcPr/>
          <w:p>
            <w:pPr>
              <w:pStyle w:val="Compact"/>
              <w:jc w:val="left"/>
            </w:pPr>
            <w:r>
              <w:t xml:space="preserve">Power Plant</w:t>
            </w:r>
          </w:p>
        </w:tc>
        <w:tc>
          <w:tcPr/>
          <w:p>
            <w:pPr>
              <w:pStyle w:val="Compact"/>
              <w:jc w:val="left"/>
            </w:pPr>
            <w:r>
              <w:t xml:space="preserve">1 per 2,000sf GFA</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Public Safety Facility</w:t>
            </w:r>
          </w:p>
        </w:tc>
        <w:tc>
          <w:tcPr/>
          <w:p>
            <w:pPr>
              <w:pStyle w:val="Compact"/>
              <w:jc w:val="left"/>
            </w:pPr>
            <w:r>
              <w:t xml:space="preserve">1 per 500sf GFA</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Public Works Facility</w:t>
            </w:r>
          </w:p>
        </w:tc>
        <w:tc>
          <w:tcPr/>
          <w:p>
            <w:pPr>
              <w:pStyle w:val="Compact"/>
              <w:jc w:val="left"/>
            </w:pPr>
            <w:r>
              <w:t xml:space="preserve">1 per 1,000sf GFA</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Reception Facility</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pPr>
          </w:p>
        </w:tc>
      </w:tr>
      <w:tr>
        <w:tc>
          <w:tcPr/>
          <w:p>
            <w:pPr>
              <w:pStyle w:val="Compact"/>
              <w:jc w:val="left"/>
            </w:pPr>
            <w:r>
              <w:t xml:space="preserve">Rehabilitation Center</w:t>
            </w:r>
          </w:p>
        </w:tc>
        <w:tc>
          <w:tcPr/>
          <w:p>
            <w:pPr>
              <w:pStyle w:val="Compact"/>
              <w:jc w:val="left"/>
            </w:pPr>
            <w:r>
              <w:t xml:space="preserve">1 per 2 rooms</w:t>
            </w:r>
          </w:p>
        </w:tc>
        <w:tc>
          <w:tcPr/>
          <w:p>
            <w:pPr>
              <w:pStyle w:val="Compact"/>
              <w:jc w:val="left"/>
            </w:pPr>
            <w:r>
              <w:t xml:space="preserve">1 per 4 rooms</w:t>
            </w:r>
          </w:p>
        </w:tc>
        <w:tc>
          <w:tcPr/>
          <w:p>
            <w:pPr>
              <w:pStyle w:val="Compact"/>
              <w:jc w:val="left"/>
            </w:pPr>
            <w:r>
              <w:t xml:space="preserve">50%</w:t>
            </w:r>
          </w:p>
        </w:tc>
      </w:tr>
      <w:tr>
        <w:tc>
          <w:tcPr/>
          <w:p>
            <w:pPr>
              <w:pStyle w:val="Compact"/>
              <w:jc w:val="left"/>
            </w:pPr>
            <w:r>
              <w:t xml:space="preserve">Research &amp; Development</w:t>
            </w:r>
          </w:p>
        </w:tc>
        <w:tc>
          <w:tcPr/>
          <w:p>
            <w:pPr>
              <w:pStyle w:val="Compact"/>
              <w:jc w:val="left"/>
            </w:pPr>
            <w:r>
              <w:t xml:space="preserve">1 per 500sf GFA</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Residential Care Facility</w:t>
            </w:r>
          </w:p>
        </w:tc>
        <w:tc>
          <w:tcPr/>
          <w:p>
            <w:pPr>
              <w:pStyle w:val="Compact"/>
              <w:jc w:val="left"/>
            </w:pPr>
            <w:r>
              <w:t xml:space="preserve">To be calculated on the type of facility or combination of facilities provided below</w:t>
            </w:r>
          </w:p>
        </w:tc>
        <w:tc>
          <w:tcPr/>
          <w:p>
            <w:pPr>
              <w:pStyle w:val="Compact"/>
              <w:jc w:val="left"/>
            </w:pPr>
            <w:r>
              <w:t xml:space="preserve">1 per 5,000sf GFA</w:t>
            </w:r>
          </w:p>
        </w:tc>
        <w:tc>
          <w:tcPr/>
          <w:p>
            <w:pPr>
              <w:pStyle w:val="Compact"/>
              <w:jc w:val="left"/>
            </w:pPr>
            <w:r>
              <w:t xml:space="preserve">50%</w:t>
            </w:r>
          </w:p>
        </w:tc>
      </w:tr>
      <w:tr>
        <w:tc>
          <w:tcPr/>
          <w:p>
            <w:pPr>
              <w:pStyle w:val="Compact"/>
              <w:jc w:val="left"/>
            </w:pPr>
            <w:r>
              <w:t xml:space="preserve">Independent Living Facility</w:t>
            </w:r>
          </w:p>
        </w:tc>
        <w:tc>
          <w:tcPr/>
          <w:p>
            <w:pPr>
              <w:pStyle w:val="Compact"/>
              <w:jc w:val="left"/>
            </w:pPr>
            <w:r>
              <w:t xml:space="preserve">0.75 per dwelling unit</w:t>
            </w:r>
          </w:p>
        </w:tc>
        <w:tc>
          <w:tcPr/>
          <w:p>
            <w:pPr>
              <w:pStyle w:val="Compact"/>
            </w:pPr>
          </w:p>
        </w:tc>
        <w:tc>
          <w:tcPr/>
          <w:p>
            <w:pPr>
              <w:pStyle w:val="Compact"/>
            </w:pPr>
          </w:p>
        </w:tc>
      </w:tr>
      <w:tr>
        <w:tc>
          <w:tcPr/>
          <w:p>
            <w:pPr>
              <w:pStyle w:val="Compact"/>
              <w:jc w:val="left"/>
            </w:pPr>
            <w:r>
              <w:t xml:space="preserve">Assisted Living Facility</w:t>
            </w:r>
          </w:p>
        </w:tc>
        <w:tc>
          <w:tcPr/>
          <w:p>
            <w:pPr>
              <w:pStyle w:val="Compact"/>
              <w:jc w:val="left"/>
            </w:pPr>
            <w:r>
              <w:t xml:space="preserve">0.5 per dwelling unit</w:t>
            </w:r>
          </w:p>
        </w:tc>
        <w:tc>
          <w:tcPr/>
          <w:p>
            <w:pPr>
              <w:pStyle w:val="Compact"/>
            </w:pPr>
          </w:p>
        </w:tc>
        <w:tc>
          <w:tcPr/>
          <w:p>
            <w:pPr>
              <w:pStyle w:val="Compact"/>
            </w:pPr>
          </w:p>
        </w:tc>
      </w:tr>
      <w:tr>
        <w:tc>
          <w:tcPr/>
          <w:p>
            <w:pPr>
              <w:pStyle w:val="Compact"/>
              <w:jc w:val="left"/>
            </w:pPr>
            <w:r>
              <w:t xml:space="preserve">Nursing Home</w:t>
            </w:r>
          </w:p>
        </w:tc>
        <w:tc>
          <w:tcPr/>
          <w:p>
            <w:pPr>
              <w:pStyle w:val="Compact"/>
              <w:jc w:val="left"/>
            </w:pPr>
            <w:r>
              <w:t xml:space="preserve">0.5 per patient room</w:t>
            </w:r>
          </w:p>
        </w:tc>
        <w:tc>
          <w:tcPr/>
          <w:p>
            <w:pPr>
              <w:pStyle w:val="Compact"/>
            </w:pPr>
          </w:p>
        </w:tc>
        <w:tc>
          <w:tcPr/>
          <w:p>
            <w:pPr>
              <w:pStyle w:val="Compact"/>
            </w:pPr>
          </w:p>
        </w:tc>
      </w:tr>
      <w:tr>
        <w:tc>
          <w:tcPr/>
          <w:p>
            <w:pPr>
              <w:pStyle w:val="Compact"/>
              <w:jc w:val="left"/>
            </w:pPr>
            <w:r>
              <w:t xml:space="preserve">Restaurant</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jc w:val="left"/>
            </w:pPr>
            <w:r>
              <w:t xml:space="preserve">25%</w:t>
            </w:r>
          </w:p>
        </w:tc>
      </w:tr>
      <w:tr>
        <w:tc>
          <w:tcPr/>
          <w:p>
            <w:pPr>
              <w:pStyle w:val="Compact"/>
              <w:jc w:val="left"/>
            </w:pPr>
            <w:r>
              <w:t xml:space="preserve">Retail Goods Establishment</w:t>
            </w:r>
          </w:p>
        </w:tc>
        <w:tc>
          <w:tcPr/>
          <w:p>
            <w:pPr>
              <w:pStyle w:val="Compact"/>
              <w:jc w:val="left"/>
            </w:pPr>
            <w:r>
              <w:t xml:space="preserve">1 per 500sf GFA</w:t>
            </w:r>
          </w:p>
        </w:tc>
        <w:tc>
          <w:tcPr/>
          <w:p>
            <w:pPr>
              <w:pStyle w:val="Compact"/>
              <w:jc w:val="left"/>
            </w:pPr>
            <w:r>
              <w:t xml:space="preserve">Over 10,000sf GFA: 1 per 2,500sf GFA</w:t>
            </w:r>
          </w:p>
        </w:tc>
        <w:tc>
          <w:tcPr/>
          <w:p>
            <w:pPr>
              <w:pStyle w:val="Compact"/>
              <w:jc w:val="left"/>
            </w:pPr>
            <w:r>
              <w:t xml:space="preserve">25%</w:t>
            </w:r>
          </w:p>
        </w:tc>
      </w:tr>
      <w:tr>
        <w:tc>
          <w:tcPr/>
          <w:p>
            <w:pPr>
              <w:pStyle w:val="Compact"/>
              <w:jc w:val="left"/>
            </w:pPr>
            <w:r>
              <w:t xml:space="preserve">Self-Storage Facility</w:t>
            </w:r>
          </w:p>
        </w:tc>
        <w:tc>
          <w:tcPr/>
          <w:p>
            <w:pPr>
              <w:pStyle w:val="Compact"/>
              <w:jc w:val="left"/>
            </w:pPr>
            <w:r>
              <w:t xml:space="preserve">1 per 50 storage units</w:t>
            </w:r>
          </w:p>
        </w:tc>
        <w:tc>
          <w:tcPr/>
          <w:p>
            <w:pPr>
              <w:pStyle w:val="Compact"/>
            </w:pPr>
          </w:p>
        </w:tc>
        <w:tc>
          <w:tcPr/>
          <w:p>
            <w:pPr>
              <w:pStyle w:val="Compact"/>
            </w:pPr>
          </w:p>
        </w:tc>
      </w:tr>
      <w:tr>
        <w:tc>
          <w:tcPr/>
          <w:p>
            <w:pPr>
              <w:pStyle w:val="Compact"/>
              <w:jc w:val="left"/>
            </w:pPr>
            <w:r>
              <w:t xml:space="preserve">Specialty Food Service</w:t>
            </w:r>
          </w:p>
        </w:tc>
        <w:tc>
          <w:tcPr/>
          <w:p>
            <w:pPr>
              <w:pStyle w:val="Compact"/>
              <w:jc w:val="left"/>
            </w:pPr>
            <w:r>
              <w:t xml:space="preserve">1 per 500sf GFA</w:t>
            </w:r>
          </w:p>
        </w:tc>
        <w:tc>
          <w:tcPr/>
          <w:p>
            <w:pPr>
              <w:pStyle w:val="Compact"/>
              <w:jc w:val="left"/>
            </w:pPr>
            <w:r>
              <w:t xml:space="preserve">1 per 5,000sf GFA</w:t>
            </w:r>
          </w:p>
        </w:tc>
        <w:tc>
          <w:tcPr/>
          <w:p>
            <w:pPr>
              <w:pStyle w:val="Compact"/>
              <w:jc w:val="left"/>
            </w:pPr>
            <w:r>
              <w:t xml:space="preserve">25%</w:t>
            </w:r>
          </w:p>
        </w:tc>
      </w:tr>
      <w:tr>
        <w:tc>
          <w:tcPr/>
          <w:p>
            <w:pPr>
              <w:pStyle w:val="Compact"/>
              <w:jc w:val="left"/>
            </w:pPr>
            <w:r>
              <w:t xml:space="preserve">Storage Yard - Outdoor</w:t>
            </w:r>
          </w:p>
        </w:tc>
        <w:tc>
          <w:tcPr/>
          <w:p>
            <w:pPr>
              <w:pStyle w:val="Compact"/>
              <w:jc w:val="left"/>
            </w:pPr>
            <w:r>
              <w:t xml:space="preserve">1 per 1,000sf of lot area</w:t>
            </w:r>
          </w:p>
        </w:tc>
        <w:tc>
          <w:tcPr/>
          <w:p>
            <w:pPr>
              <w:pStyle w:val="Compact"/>
            </w:pPr>
          </w:p>
        </w:tc>
        <w:tc>
          <w:tcPr/>
          <w:p>
            <w:pPr>
              <w:pStyle w:val="Compact"/>
            </w:pPr>
          </w:p>
        </w:tc>
      </w:tr>
      <w:tr>
        <w:tc>
          <w:tcPr/>
          <w:p>
            <w:pPr>
              <w:pStyle w:val="Compact"/>
              <w:jc w:val="left"/>
            </w:pPr>
            <w:r>
              <w:t xml:space="preserve">Vehicle Dealership/Repair/Service</w:t>
            </w:r>
          </w:p>
        </w:tc>
        <w:tc>
          <w:tcPr/>
          <w:p>
            <w:pPr>
              <w:pStyle w:val="Compact"/>
              <w:jc w:val="left"/>
            </w:pPr>
            <w:r>
              <w:t xml:space="preserve">1 per 500sf GFA of indoor sales and display area + 3 per service bay</w:t>
            </w:r>
          </w:p>
        </w:tc>
        <w:tc>
          <w:tcPr/>
          <w:p>
            <w:pPr>
              <w:pStyle w:val="Compact"/>
            </w:pPr>
          </w:p>
        </w:tc>
        <w:tc>
          <w:tcPr/>
          <w:p>
            <w:pPr>
              <w:pStyle w:val="Compact"/>
            </w:pPr>
          </w:p>
        </w:tc>
      </w:tr>
      <w:tr>
        <w:tc>
          <w:tcPr/>
          <w:p>
            <w:pPr>
              <w:pStyle w:val="Compact"/>
              <w:jc w:val="left"/>
            </w:pPr>
            <w:r>
              <w:t xml:space="preserve">Vehicle Operations Facility</w:t>
            </w:r>
          </w:p>
        </w:tc>
        <w:tc>
          <w:tcPr/>
          <w:p>
            <w:pPr>
              <w:pStyle w:val="Compact"/>
              <w:jc w:val="left"/>
            </w:pPr>
            <w:r>
              <w:t xml:space="preserve">1 per 3,000sf GFA</w:t>
            </w:r>
          </w:p>
        </w:tc>
        <w:tc>
          <w:tcPr/>
          <w:p>
            <w:pPr>
              <w:pStyle w:val="Compact"/>
            </w:pPr>
          </w:p>
        </w:tc>
        <w:tc>
          <w:tcPr/>
          <w:p>
            <w:pPr>
              <w:pStyle w:val="Compact"/>
            </w:pPr>
          </w:p>
        </w:tc>
      </w:tr>
      <w:tr>
        <w:tc>
          <w:tcPr/>
          <w:p>
            <w:pPr>
              <w:pStyle w:val="Compact"/>
              <w:jc w:val="left"/>
            </w:pPr>
            <w:r>
              <w:t xml:space="preserve">Warehouse</w:t>
            </w:r>
          </w:p>
        </w:tc>
        <w:tc>
          <w:tcPr/>
          <w:p>
            <w:pPr>
              <w:pStyle w:val="Compact"/>
              <w:jc w:val="left"/>
            </w:pPr>
            <w:r>
              <w:t xml:space="preserve">1 per 20,000sf GFA of warehouse space</w:t>
            </w:r>
          </w:p>
        </w:tc>
        <w:tc>
          <w:tcPr/>
          <w:p>
            <w:pPr>
              <w:pStyle w:val="Compact"/>
              <w:jc w:val="left"/>
            </w:pPr>
            <w:r>
              <w:t xml:space="preserve">Over 10,000sf GFA: 1 per 5,000sf GFA</w:t>
            </w:r>
          </w:p>
        </w:tc>
        <w:tc>
          <w:tcPr/>
          <w:p>
            <w:pPr>
              <w:pStyle w:val="Compact"/>
              <w:jc w:val="left"/>
            </w:pPr>
            <w:r>
              <w:t xml:space="preserve">50%</w:t>
            </w:r>
          </w:p>
        </w:tc>
      </w:tr>
      <w:tr>
        <w:tc>
          <w:tcPr/>
          <w:p>
            <w:pPr>
              <w:pStyle w:val="Compact"/>
              <w:jc w:val="left"/>
            </w:pPr>
            <w:r>
              <w:t xml:space="preserve">Wholesale Establishment</w:t>
            </w:r>
          </w:p>
        </w:tc>
        <w:tc>
          <w:tcPr/>
          <w:p>
            <w:pPr>
              <w:pStyle w:val="Compact"/>
              <w:jc w:val="left"/>
            </w:pPr>
            <w:r>
              <w:t xml:space="preserve">1 per 20,000sf GFA of warehouse space</w:t>
            </w:r>
          </w:p>
        </w:tc>
        <w:tc>
          <w:tcPr/>
          <w:p>
            <w:pPr>
              <w:pStyle w:val="Compact"/>
              <w:jc w:val="left"/>
            </w:pPr>
            <w:r>
              <w:t xml:space="preserve">Over 10,000sf GFA: 1 per 5,000sf GFA</w:t>
            </w:r>
          </w:p>
        </w:tc>
        <w:tc>
          <w:tcPr/>
          <w:p>
            <w:pPr>
              <w:pStyle w:val="Compact"/>
              <w:jc w:val="left"/>
            </w:pPr>
            <w:r>
              <w:t xml:space="preserve">50%</w:t>
            </w:r>
          </w:p>
        </w:tc>
      </w:tr>
    </w:tbl>
    <w:bookmarkEnd w:id="103"/>
    <w:bookmarkStart w:id="104" w:name="required-off-street-loading-spaces"/>
    <w:p>
      <w:pPr>
        <w:pStyle w:val="Heading2"/>
      </w:pPr>
      <w:r>
        <w:t xml:space="preserve">§ 1403. REQUIRED OFF-STREET LOADING SPACES</w:t>
      </w:r>
    </w:p>
    <w:p>
      <w:pPr>
        <w:pStyle w:val="FirstParagraph"/>
      </w:pPr>
      <w:r>
        <w:t xml:space="preserve">1403 REQUIRED OFF-STREET LOADING SPACES</w:t>
      </w:r>
    </w:p>
    <w:p>
      <w:pPr>
        <w:numPr>
          <w:ilvl w:val="0"/>
          <w:numId w:val="2564"/>
        </w:numPr>
      </w:pPr>
      <w:r>
        <w:t xml:space="preserve">A. Off-street loading spaces shall be provided for any use that distributes or receives materials or merchandise by trucks or other commercial vehicles in accordance with Table 14-2: Off-Street Loading Requirements. In the case of multi-tenant developments, required loading spaces are calculated on the basis of each individual tenant. For example, if only one commercial tenant of a multi-tenant development is over 20,000 square feet, only one loading space is required; if all tenants are under 20,000 square feet, no loading is required.</w:t>
      </w:r>
    </w:p>
    <w:p>
      <w:pPr>
        <w:numPr>
          <w:ilvl w:val="0"/>
          <w:numId w:val="2565"/>
        </w:numPr>
      </w:pPr>
      <w:r>
        <w:t xml:space="preserve">B. Structures that are 50 years of age or older and do not currently have any loading areas are exempt from off-street loading requirements.</w:t>
      </w:r>
    </w:p>
    <w:p>
      <w:pPr>
        <w:numPr>
          <w:ilvl w:val="0"/>
          <w:numId w:val="2566"/>
        </w:numPr>
      </w:pPr>
      <w:r>
        <w:t xml:space="preserve">C. If a use increases the floor area by 30% or more, accessory off-street loading spaces are required in accordance with Table 14-2.</w:t>
      </w:r>
    </w:p>
    <w:p>
      <w:pPr>
        <w:numPr>
          <w:ilvl w:val="0"/>
          <w:numId w:val="2567"/>
        </w:numPr>
      </w:pPr>
      <w:r>
        <w:t xml:space="preserve">D. No structure is required to provide more than five loading spaces. TABLE 14-2: OFF-STREET LOADING REQUIREMENTS Use Type Number of Spaces Required Multi-Family Dwelling 40,000sf or more GFA 1 loading space Commercial &amp; Institutional Use 20,000 - 100,000sf GFA 1 loading space 100,001 - 200,000sf GFA 2 loading spaces Each additional 50,000sf of floor area 1 additional loading space (This applies only for each additional full 50,000sf over 200,000sf ) Industrial Use 10,000 - 40,000sf GFA 1 loading spaces 40,001 - 100,000sf GFA 2 loading spaces Each additional 50,000sf of floor area 1 additional loading space (This applies only for each additional full 50,000sf over 100,000sf )</w:t>
      </w:r>
    </w:p>
    <w:bookmarkEnd w:id="104"/>
    <w:bookmarkStart w:id="105" w:name="design-of-vehicle-parking-spaces"/>
    <w:p>
      <w:pPr>
        <w:pStyle w:val="Heading2"/>
      </w:pPr>
      <w:r>
        <w:t xml:space="preserve">§ 1404. DESIGN OF VEHICLE PARKING SPACES</w:t>
      </w:r>
    </w:p>
    <w:p>
      <w:pPr>
        <w:pStyle w:val="FirstParagraph"/>
      </w:pPr>
      <w:r>
        <w:t xml:space="preserve">1404 DESIGN OF VEHICLE PARKING SPACES</w:t>
      </w:r>
    </w:p>
    <w:p>
      <w:pPr>
        <w:numPr>
          <w:ilvl w:val="0"/>
          <w:numId w:val="2568"/>
        </w:numPr>
      </w:pPr>
      <w:r>
        <w:t xml:space="preserve">A. Permitted Vehicle Parking Locations</w:t>
      </w:r>
    </w:p>
    <w:p>
      <w:pPr>
        <w:numPr>
          <w:ilvl w:val="0"/>
          <w:numId w:val="1000"/>
        </w:numPr>
      </w:pPr>
      <w:r>
        <w:t xml:space="preserve">1. Residential Uses a. All required off-street vehicle parking spaces for residential uses and the residential component of mixed-use developments shall be located on the same lot or on a separate lot from the lot containing the use for which parking is required, if the Director of Inspection and Standards finds that the proposed location is within a reasonable distance of the use, the offsite parking conforms to this Ordinance, and the off-site parking is not required for another use. Shared parking in accordance with Section 1411 is permitted. When parking is not located on the same lot, the property owner(s) shall be required to execute and file a lien with the Recorder of Deeds against both the lot containing the requiring parking and the lot for which the parking is being provided. The lien, which must also be signed by the Director of the Department of Inspection and Standards, shall designate the use of the lot for off-street parking, and provide notice that insufficient parking exists on the original lot. The lien may be terminated by the parties, with the consent of the Director of the Department of Inspection and Standards, only if it is no longer necessary for conformance.</w:t>
      </w:r>
    </w:p>
    <w:p>
      <w:pPr>
        <w:pStyle w:val="Compact"/>
        <w:numPr>
          <w:ilvl w:val="0"/>
          <w:numId w:val="2569"/>
        </w:numPr>
      </w:pPr>
    </w:p>
    <w:p>
      <w:pPr>
        <w:numPr>
          <w:ilvl w:val="1"/>
          <w:numId w:val="2570"/>
        </w:numPr>
      </w:pPr>
      <w:r>
        <w:t xml:space="preserve">b. For single-family, two-family, three-family, and rowhouse dwellings, required vehicle parking spaces are permitted in private driveways, but shall not encroach onto the public right-of-way.</w:t>
      </w:r>
    </w:p>
    <w:p>
      <w:pPr>
        <w:pStyle w:val="Compact"/>
        <w:numPr>
          <w:ilvl w:val="0"/>
          <w:numId w:val="2571"/>
        </w:numPr>
      </w:pPr>
    </w:p>
    <w:p>
      <w:pPr>
        <w:numPr>
          <w:ilvl w:val="1"/>
          <w:numId w:val="2572"/>
        </w:numPr>
      </w:pPr>
      <w:r>
        <w:t xml:space="preserve">c. Tandem vehicle parking is permitted for residential uses.</w:t>
      </w:r>
    </w:p>
    <w:p>
      <w:pPr>
        <w:pStyle w:val="Compact"/>
        <w:numPr>
          <w:ilvl w:val="0"/>
          <w:numId w:val="2573"/>
        </w:numPr>
      </w:pPr>
    </w:p>
    <w:p>
      <w:pPr>
        <w:numPr>
          <w:ilvl w:val="1"/>
          <w:numId w:val="2574"/>
        </w:numPr>
      </w:pPr>
      <w:r>
        <w:t xml:space="preserve">d. For single-family, two-family, three-family, and rowhouse dwellings where there is alley access, all vehicle parking areas shall be accessed from the alley and all vehicle parking areas shall be located in the rear yard.</w:t>
      </w:r>
    </w:p>
    <w:p>
      <w:pPr>
        <w:numPr>
          <w:ilvl w:val="0"/>
          <w:numId w:val="2575"/>
        </w:numPr>
      </w:pPr>
      <w:r>
        <w:t xml:space="preserve">2. Non-Residential Uses</w:t>
      </w:r>
    </w:p>
    <w:p>
      <w:pPr>
        <w:numPr>
          <w:ilvl w:val="0"/>
          <w:numId w:val="1000"/>
        </w:numPr>
      </w:pPr>
      <w:r>
        <w:t xml:space="preserve">a. Vehicle parking for a non-residential use shall be located on the same lot or on a separate lot from the lot containing the use for which parking is required, if the Director of Inspection and Standards finds that the proposed location is within a reasonable distance of the use, the offsite parking conforms to this Ordinance, and the off-site parking is not required for another use. Valet parking services shall provide evidence of a lot reserved for vehicle parking. Shared parking in accordance with Section 1411 is permitted. When parking is not located on the same site, the property owner(s) shall be required to execute and file a lien with the Recorder of Deeds against both the lot containing the requiring parking and the lot for which the parking is being provided. The lien, which must also be signed by the Director of the Department of Inspection and Standards, shall designate the use of the lot for off-street parking, and provide notice that insufficient parking exists on the original lot. The lien may be terminated by the parties, with the consent of the Director of the Department of Inspection and Standards, only if it is no longer necessary for conformance.</w:t>
      </w:r>
    </w:p>
    <w:p>
      <w:pPr>
        <w:pStyle w:val="Compact"/>
        <w:numPr>
          <w:ilvl w:val="0"/>
          <w:numId w:val="2576"/>
        </w:numPr>
      </w:pPr>
    </w:p>
    <w:p>
      <w:pPr>
        <w:numPr>
          <w:ilvl w:val="1"/>
          <w:numId w:val="2577"/>
        </w:numPr>
      </w:pPr>
      <w:r>
        <w:t xml:space="preserve">b. Tandem vehicle parking is permitted for non-residential uses. If such tandem spaces are unattended (i.e., an attendant moves the vehicles), a management plan is required.</w:t>
      </w:r>
    </w:p>
    <w:p>
      <w:pPr>
        <w:pStyle w:val="Compact"/>
        <w:numPr>
          <w:ilvl w:val="0"/>
          <w:numId w:val="2578"/>
        </w:numPr>
      </w:pPr>
    </w:p>
    <w:p>
      <w:pPr>
        <w:numPr>
          <w:ilvl w:val="1"/>
          <w:numId w:val="2579"/>
        </w:numPr>
      </w:pPr>
      <w:r>
        <w:t xml:space="preserve">c. For educational facilities – university or college and healthcare institutions, required parking is fulfilled by all parking areas on the campus, including non-contiguous areas, as detailed in an institutional master plan.</w:t>
      </w:r>
    </w:p>
    <w:p>
      <w:pPr>
        <w:pStyle w:val="Compact"/>
        <w:numPr>
          <w:ilvl w:val="0"/>
          <w:numId w:val="2580"/>
        </w:numPr>
      </w:pPr>
    </w:p>
    <w:p>
      <w:pPr>
        <w:numPr>
          <w:ilvl w:val="1"/>
          <w:numId w:val="2581"/>
        </w:numPr>
      </w:pPr>
      <w:r>
        <w:t xml:space="preserve">B. Dimensions of Vehicle Parking Spaces</w:t>
      </w:r>
    </w:p>
    <w:p>
      <w:pPr>
        <w:numPr>
          <w:ilvl w:val="1"/>
          <w:numId w:val="1000"/>
        </w:numPr>
      </w:pPr>
      <w:r>
        <w:t xml:space="preserve">1. Off-street vehicle parking spaces shall be designed in accordance with Figure 14-1.</w:t>
      </w:r>
    </w:p>
    <w:p>
      <w:pPr>
        <w:numPr>
          <w:ilvl w:val="0"/>
          <w:numId w:val="2582"/>
        </w:numPr>
      </w:pPr>
      <w:r>
        <w:t xml:space="preserve">2. Parking facilities consisting of ten or more spaces may set aside up to 10% of the required spaces as compact car spaces.</w:t>
      </w:r>
    </w:p>
    <w:p>
      <w:pPr>
        <w:pStyle w:val="Compact"/>
        <w:numPr>
          <w:ilvl w:val="0"/>
          <w:numId w:val="2583"/>
        </w:numPr>
      </w:pPr>
    </w:p>
    <w:p>
      <w:pPr>
        <w:numPr>
          <w:ilvl w:val="1"/>
          <w:numId w:val="2584"/>
        </w:numPr>
      </w:pPr>
      <w:r>
        <w:t xml:space="preserve">C. Access Requirements for Off-Street Vehicle Parking Areas</w:t>
      </w:r>
    </w:p>
    <w:p>
      <w:pPr>
        <w:numPr>
          <w:ilvl w:val="1"/>
          <w:numId w:val="1000"/>
        </w:numPr>
      </w:pPr>
      <w:r>
        <w:t xml:space="preserve">1. Each off-street vehicle space shall open directly upon an aisle or driveway of adequate width to provide access to a vehicle parking space. All off-street parking facilities shall provide access in a manner that least interferes with traffic movement. For all uses except single-family, two-family, three-family, and rowhouse dwellings, the parking area shall be designed so that the driver of the vehicle proceeds forward into traffic rather than backs out.</w:t>
      </w:r>
    </w:p>
    <w:p>
      <w:pPr>
        <w:numPr>
          <w:ilvl w:val="0"/>
          <w:numId w:val="2585"/>
        </w:numPr>
      </w:pPr>
      <w:r>
        <w:t xml:space="preserve">2. All required off-street parking facilities shall have vehicular access from a street, alley, driveway, or cross-access connection.</w:t>
      </w:r>
    </w:p>
    <w:p>
      <w:pPr>
        <w:pStyle w:val="Compact"/>
        <w:numPr>
          <w:ilvl w:val="0"/>
          <w:numId w:val="2586"/>
        </w:numPr>
      </w:pPr>
    </w:p>
    <w:p>
      <w:pPr>
        <w:numPr>
          <w:ilvl w:val="1"/>
          <w:numId w:val="2587"/>
        </w:numPr>
      </w:pPr>
      <w:r>
        <w:t xml:space="preserve">D. Accessible Vehicle Parking Requirements All parking lots shall comply with the regulations issued by federal agencies under the Americans with Disabilities Act of 1990 (ADA) for the amount and design of accessible vehicle parking spaces required in parking lots and structures.</w:t>
      </w:r>
    </w:p>
    <w:p>
      <w:pPr>
        <w:pStyle w:val="Compact"/>
        <w:numPr>
          <w:ilvl w:val="0"/>
          <w:numId w:val="2588"/>
        </w:numPr>
      </w:pPr>
    </w:p>
    <w:p>
      <w:pPr>
        <w:numPr>
          <w:ilvl w:val="1"/>
          <w:numId w:val="2589"/>
        </w:numPr>
      </w:pPr>
      <w:r>
        <w:t xml:space="preserve">E. Hydraulic Lifts All hydraulic lifts shall be located within a parking structure.</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pPr>
          </w:p>
        </w:tc>
        <w:tc>
          <w:tcPr/>
          <w:p>
            <w:pPr>
              <w:pStyle w:val="Compact"/>
              <w:jc w:val="left"/>
            </w:pPr>
            <w:r>
              <w:t xml:space="preserve">TABLE 14-2: OFF-STREET LOADING REQUIREMENTS</w:t>
            </w:r>
          </w:p>
        </w:tc>
        <w:tc>
          <w:tcPr/>
          <w:p>
            <w:pPr>
              <w:pStyle w:val="Compact"/>
            </w:pPr>
          </w:p>
        </w:tc>
        <w:tc>
          <w:tcPr/>
          <w:p>
            <w:pPr>
              <w:pStyle w:val="Compact"/>
            </w:pPr>
          </w:p>
        </w:tc>
      </w:tr>
      <w:tr>
        <w:tc>
          <w:tcPr/>
          <w:p>
            <w:pPr>
              <w:pStyle w:val="Compact"/>
            </w:pPr>
          </w:p>
        </w:tc>
        <w:tc>
          <w:tcPr/>
          <w:p>
            <w:pPr>
              <w:pStyle w:val="Compact"/>
              <w:jc w:val="left"/>
            </w:pPr>
            <w:r>
              <w:t xml:space="preserve">Use Type</w:t>
            </w:r>
          </w:p>
        </w:tc>
        <w:tc>
          <w:tcPr/>
          <w:p>
            <w:pPr>
              <w:pStyle w:val="Compact"/>
              <w:jc w:val="left"/>
            </w:pPr>
            <w:r>
              <w:t xml:space="preserve">Number of Spaces Required</w:t>
            </w:r>
          </w:p>
        </w:tc>
        <w:tc>
          <w:tcPr/>
          <w:p>
            <w:pPr>
              <w:pStyle w:val="Compact"/>
            </w:pPr>
          </w:p>
        </w:tc>
      </w:tr>
      <w:tr>
        <w:tc>
          <w:tcPr/>
          <w:p>
            <w:pPr>
              <w:pStyle w:val="Compact"/>
            </w:pPr>
          </w:p>
        </w:tc>
        <w:tc>
          <w:tcPr/>
          <w:p>
            <w:pPr>
              <w:pStyle w:val="Compact"/>
              <w:jc w:val="left"/>
            </w:pPr>
            <w:r>
              <w:t xml:space="preserve">Multi-Family Dwelling</w:t>
            </w:r>
          </w:p>
        </w:tc>
        <w:tc>
          <w:tcPr/>
          <w:p>
            <w:pPr>
              <w:pStyle w:val="Compact"/>
            </w:pPr>
          </w:p>
        </w:tc>
        <w:tc>
          <w:tcPr/>
          <w:p>
            <w:pPr>
              <w:pStyle w:val="Compact"/>
            </w:pPr>
          </w:p>
        </w:tc>
      </w:tr>
      <w:tr>
        <w:tc>
          <w:tcPr/>
          <w:p>
            <w:pPr>
              <w:pStyle w:val="Compact"/>
            </w:pPr>
          </w:p>
        </w:tc>
        <w:tc>
          <w:tcPr/>
          <w:p>
            <w:pPr>
              <w:pStyle w:val="Compact"/>
              <w:jc w:val="left"/>
            </w:pPr>
            <w:r>
              <w:t xml:space="preserve">40,000sf or more GFA</w:t>
            </w:r>
          </w:p>
        </w:tc>
        <w:tc>
          <w:tcPr/>
          <w:p>
            <w:pPr>
              <w:pStyle w:val="Compact"/>
              <w:jc w:val="left"/>
            </w:pPr>
            <w:r>
              <w:t xml:space="preserve">1 loading space</w:t>
            </w:r>
          </w:p>
        </w:tc>
        <w:tc>
          <w:tcPr/>
          <w:p>
            <w:pPr>
              <w:pStyle w:val="Compact"/>
            </w:pPr>
          </w:p>
        </w:tc>
      </w:tr>
      <w:tr>
        <w:tc>
          <w:tcPr/>
          <w:p>
            <w:pPr>
              <w:pStyle w:val="Compact"/>
            </w:pPr>
          </w:p>
        </w:tc>
        <w:tc>
          <w:tcPr/>
          <w:p>
            <w:pPr>
              <w:pStyle w:val="Compact"/>
              <w:jc w:val="left"/>
            </w:pPr>
            <w:r>
              <w:t xml:space="preserve">Commercial &amp; Institutional Use</w:t>
            </w:r>
          </w:p>
        </w:tc>
        <w:tc>
          <w:tcPr/>
          <w:p>
            <w:pPr>
              <w:pStyle w:val="Compact"/>
            </w:pPr>
          </w:p>
        </w:tc>
        <w:tc>
          <w:tcPr/>
          <w:p>
            <w:pPr>
              <w:pStyle w:val="Compact"/>
            </w:pPr>
          </w:p>
        </w:tc>
      </w:tr>
      <w:tr>
        <w:tc>
          <w:tcPr/>
          <w:p>
            <w:pPr>
              <w:pStyle w:val="Compact"/>
            </w:pPr>
          </w:p>
        </w:tc>
        <w:tc>
          <w:tcPr/>
          <w:p>
            <w:pPr>
              <w:pStyle w:val="Compact"/>
              <w:jc w:val="left"/>
            </w:pPr>
            <w:r>
              <w:t xml:space="preserve">20,000 - 100,000sf GFA</w:t>
            </w:r>
          </w:p>
        </w:tc>
        <w:tc>
          <w:tcPr/>
          <w:p>
            <w:pPr>
              <w:pStyle w:val="Compact"/>
              <w:jc w:val="left"/>
            </w:pPr>
            <w:r>
              <w:t xml:space="preserve">1 loading space</w:t>
            </w:r>
          </w:p>
        </w:tc>
        <w:tc>
          <w:tcPr/>
          <w:p>
            <w:pPr>
              <w:pStyle w:val="Compact"/>
            </w:pPr>
          </w:p>
        </w:tc>
      </w:tr>
      <w:tr>
        <w:tc>
          <w:tcPr/>
          <w:p>
            <w:pPr>
              <w:pStyle w:val="Compact"/>
            </w:pPr>
          </w:p>
        </w:tc>
        <w:tc>
          <w:tcPr/>
          <w:p>
            <w:pPr>
              <w:pStyle w:val="Compact"/>
              <w:jc w:val="left"/>
            </w:pPr>
            <w:r>
              <w:t xml:space="preserve">100,001 - 200,000sf GFA</w:t>
            </w:r>
          </w:p>
        </w:tc>
        <w:tc>
          <w:tcPr/>
          <w:p>
            <w:pPr>
              <w:pStyle w:val="Compact"/>
              <w:jc w:val="left"/>
            </w:pPr>
            <w:r>
              <w:t xml:space="preserve">2 loading spaces</w:t>
            </w:r>
          </w:p>
        </w:tc>
        <w:tc>
          <w:tcPr/>
          <w:p>
            <w:pPr>
              <w:pStyle w:val="Compact"/>
            </w:pPr>
          </w:p>
        </w:tc>
      </w:tr>
      <w:tr>
        <w:tc>
          <w:tcPr/>
          <w:p>
            <w:pPr>
              <w:pStyle w:val="Compact"/>
            </w:pPr>
          </w:p>
        </w:tc>
        <w:tc>
          <w:tcPr/>
          <w:p>
            <w:pPr>
              <w:pStyle w:val="Compact"/>
              <w:jc w:val="left"/>
            </w:pPr>
            <w:r>
              <w:t xml:space="preserve">Each additional 50,000sf of floor area (This applies only for each additional full 50,000sf over 200,000sf )</w:t>
            </w:r>
          </w:p>
        </w:tc>
        <w:tc>
          <w:tcPr/>
          <w:p>
            <w:pPr>
              <w:pStyle w:val="Compact"/>
              <w:jc w:val="left"/>
            </w:pPr>
            <w:r>
              <w:t xml:space="preserve">1 additional loading space</w:t>
            </w:r>
          </w:p>
        </w:tc>
        <w:tc>
          <w:tcPr/>
          <w:p>
            <w:pPr>
              <w:pStyle w:val="Compact"/>
            </w:pPr>
          </w:p>
        </w:tc>
      </w:tr>
      <w:tr>
        <w:tc>
          <w:tcPr/>
          <w:p>
            <w:pPr>
              <w:pStyle w:val="Compact"/>
            </w:pPr>
          </w:p>
        </w:tc>
        <w:tc>
          <w:tcPr/>
          <w:p>
            <w:pPr>
              <w:pStyle w:val="Compact"/>
              <w:jc w:val="left"/>
            </w:pPr>
            <w:r>
              <w:t xml:space="preserve">Industrial Use</w:t>
            </w:r>
          </w:p>
        </w:tc>
        <w:tc>
          <w:tcPr/>
          <w:p>
            <w:pPr>
              <w:pStyle w:val="Compact"/>
            </w:pPr>
          </w:p>
        </w:tc>
        <w:tc>
          <w:tcPr/>
          <w:p>
            <w:pPr>
              <w:pStyle w:val="Compact"/>
            </w:pPr>
          </w:p>
        </w:tc>
      </w:tr>
      <w:tr>
        <w:tc>
          <w:tcPr/>
          <w:p>
            <w:pPr>
              <w:pStyle w:val="Compact"/>
            </w:pPr>
          </w:p>
        </w:tc>
        <w:tc>
          <w:tcPr/>
          <w:p>
            <w:pPr>
              <w:pStyle w:val="Compact"/>
              <w:jc w:val="left"/>
            </w:pPr>
            <w:r>
              <w:t xml:space="preserve">10,000 - 40,000sf GFA</w:t>
            </w:r>
          </w:p>
        </w:tc>
        <w:tc>
          <w:tcPr/>
          <w:p>
            <w:pPr>
              <w:pStyle w:val="Compact"/>
              <w:jc w:val="left"/>
            </w:pPr>
            <w:r>
              <w:t xml:space="preserve">1 loading spaces</w:t>
            </w:r>
          </w:p>
        </w:tc>
        <w:tc>
          <w:tcPr/>
          <w:p>
            <w:pPr>
              <w:pStyle w:val="Compact"/>
            </w:pPr>
          </w:p>
        </w:tc>
      </w:tr>
      <w:tr>
        <w:tc>
          <w:tcPr/>
          <w:p>
            <w:pPr>
              <w:pStyle w:val="Compact"/>
            </w:pPr>
          </w:p>
        </w:tc>
        <w:tc>
          <w:tcPr/>
          <w:p>
            <w:pPr>
              <w:pStyle w:val="Compact"/>
              <w:jc w:val="left"/>
            </w:pPr>
            <w:r>
              <w:t xml:space="preserve">40,001 - 100,000sf GFA</w:t>
            </w:r>
          </w:p>
        </w:tc>
        <w:tc>
          <w:tcPr/>
          <w:p>
            <w:pPr>
              <w:pStyle w:val="Compact"/>
              <w:jc w:val="left"/>
            </w:pPr>
            <w:r>
              <w:t xml:space="preserve">2 loading spaces</w:t>
            </w:r>
          </w:p>
        </w:tc>
        <w:tc>
          <w:tcPr/>
          <w:p>
            <w:pPr>
              <w:pStyle w:val="Compact"/>
            </w:pPr>
          </w:p>
        </w:tc>
      </w:tr>
      <w:tr>
        <w:tc>
          <w:tcPr/>
          <w:p>
            <w:pPr>
              <w:pStyle w:val="Compact"/>
            </w:pPr>
          </w:p>
        </w:tc>
        <w:tc>
          <w:tcPr/>
          <w:p>
            <w:pPr>
              <w:pStyle w:val="Compact"/>
              <w:jc w:val="left"/>
            </w:pPr>
            <w:r>
              <w:t xml:space="preserve">Each additional 50,000sf of floor area (This applies only for each additional full 50,000sf over 100,000sf )</w:t>
            </w:r>
          </w:p>
        </w:tc>
        <w:tc>
          <w:tcPr/>
          <w:p>
            <w:pPr>
              <w:pStyle w:val="Compact"/>
              <w:jc w:val="left"/>
            </w:pPr>
            <w:r>
              <w:t xml:space="preserve">1 additional loading space</w:t>
            </w:r>
          </w:p>
        </w:tc>
        <w:tc>
          <w:tcPr/>
          <w:p>
            <w:pPr>
              <w:pStyle w:val="Compact"/>
            </w:pPr>
          </w:p>
        </w:tc>
      </w:tr>
      <w:tr>
        <w:tc>
          <w:tcPr/>
          <w:p>
            <w:pPr>
              <w:pStyle w:val="Compact"/>
              <w:jc w:val="left"/>
            </w:pPr>
            <w:r>
              <w:t xml:space="preserve">1404 DESIGN A. 1.</w:t>
            </w:r>
          </w:p>
        </w:tc>
        <w:tc>
          <w:tcPr/>
          <w:p>
            <w:pPr>
              <w:pStyle w:val="Compact"/>
              <w:jc w:val="left"/>
            </w:pPr>
            <w:r>
              <w:t xml:space="preserve">OF VEHICLE PARKING SPACES Permitted Vehicle Parking Locations Residential Uses All required off-street vehicle parking spaces for a. component of mixed-use developments shall be located from the lot containing the use for which parking is Standards finds that the proposed location is within a site parking conforms to this Ordinance, and the off-site Shared parking in accordance with Section 1411 is the same lot, the property owner(s) shall be required Recorder of Deeds against both the lot containing the the parking is being provided. The lien, which must Department of Inspection and Standards, shall parking, and provide notice that insufficient parking terminated by the parties, with the consent of the Standards, only if it is no longer necessary for conformance. For single-family, two-family, three-family, and rowhouse b. spaces are permitted in private driveways, but shall not Tandem vehicle parking is permitted for residential uses. c.</w:t>
            </w:r>
          </w:p>
        </w:tc>
        <w:tc>
          <w:tcPr/>
          <w:p>
            <w:pPr>
              <w:pStyle w:val="Compact"/>
              <w:jc w:val="left"/>
            </w:pPr>
            <w:r>
              <w:t xml:space="preserve">residential uses and on the same lot or on required, if the Director of reasonable distance of the parking is not required for permitted. When parking is to execute and file a requiring parking and the also be signed by the designate the use of the lot exists on the original lot. The Director of the Department of dwellings, required encroach onto the public</w:t>
            </w:r>
          </w:p>
        </w:tc>
        <w:tc>
          <w:tcPr/>
          <w:p>
            <w:pPr>
              <w:pStyle w:val="Compact"/>
              <w:jc w:val="left"/>
            </w:pPr>
            <w:r>
              <w:t xml:space="preserve">the residential a separate lot Inspection and use, the off-another use. not located on lien with the lot for which Director of the for off-street lien may be Inspection and vehicle parking right-of-way.</w:t>
            </w:r>
          </w:p>
        </w:tc>
      </w:tr>
    </w:tbl>
    <w:p/>
    <w:tbl>
      <w:tblPr>
        <w:tblStyle w:val="Table"/>
        <w:tblW w:type="auto" w:w="0"/>
        <w:jc w:val="left"/>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p>
        </w:tc>
        <w:tc>
          <w:tcPr/>
          <w:p>
            <w:pPr>
              <w:pStyle w:val="Compact"/>
            </w:pPr>
          </w:p>
        </w:tc>
        <w:tc>
          <w:tcPr/>
          <w:p>
            <w:pPr>
              <w:pStyle w:val="Compact"/>
              <w:jc w:val="left"/>
            </w:pPr>
            <w:r>
              <w:t xml:space="preserve">OFF-STREET</w:t>
            </w:r>
          </w:p>
        </w:tc>
        <w:tc>
          <w:tcPr/>
          <w:p>
            <w:pPr>
              <w:pStyle w:val="Compact"/>
              <w:jc w:val="left"/>
            </w:pPr>
            <w:r>
              <w:t xml:space="preserve">PARKING</w:t>
            </w:r>
          </w:p>
        </w:tc>
        <w:tc>
          <w:tcPr/>
          <w:p>
            <w:pPr>
              <w:pStyle w:val="Compact"/>
              <w:jc w:val="left"/>
            </w:pPr>
            <w:r>
              <w:t xml:space="preserve">(Figure DIMENSIONS</w:t>
            </w:r>
          </w:p>
        </w:tc>
        <w:tc>
          <w:tcPr/>
          <w:p>
            <w:pPr>
              <w:pStyle w:val="Compact"/>
              <w:jc w:val="left"/>
            </w:pPr>
            <w:r>
              <w:t xml:space="preserve">14-1)</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Standard</w:t>
            </w:r>
          </w:p>
        </w:tc>
        <w:tc>
          <w:tcPr/>
          <w:p>
            <w:pPr>
              <w:pStyle w:val="Compact"/>
              <w:jc w:val="left"/>
            </w:pPr>
            <w:r>
              <w:t xml:space="preserve">Standard</w:t>
            </w:r>
          </w:p>
        </w:tc>
        <w:tc>
          <w:tcPr/>
          <w:p>
            <w:pPr>
              <w:pStyle w:val="Compact"/>
              <w:jc w:val="left"/>
            </w:pPr>
            <w:r>
              <w:t xml:space="preserve">Compact</w:t>
            </w:r>
          </w:p>
        </w:tc>
        <w:tc>
          <w:tcPr/>
          <w:p>
            <w:pPr>
              <w:pStyle w:val="Compact"/>
              <w:jc w:val="left"/>
            </w:pPr>
            <w:r>
              <w:t xml:space="preserve">Compact</w:t>
            </w: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Minimum</w:t>
            </w:r>
          </w:p>
        </w:tc>
        <w:tc>
          <w:tcPr/>
          <w:p>
            <w:pPr>
              <w:pStyle w:val="Compact"/>
            </w:pPr>
          </w:p>
        </w:tc>
      </w:tr>
      <w:tr>
        <w:tc>
          <w:tcPr/>
          <w:p>
            <w:pPr>
              <w:pStyle w:val="Compact"/>
            </w:pPr>
          </w:p>
        </w:tc>
        <w:tc>
          <w:tcPr/>
          <w:p>
            <w:pPr>
              <w:pStyle w:val="Compact"/>
              <w:jc w:val="left"/>
            </w:pPr>
            <w:r>
              <w:t xml:space="preserve">Parking Angle</w:t>
            </w:r>
          </w:p>
        </w:tc>
        <w:tc>
          <w:tcPr/>
          <w:p>
            <w:pPr>
              <w:pStyle w:val="Compact"/>
              <w:jc w:val="left"/>
            </w:pPr>
            <w:r>
              <w:t xml:space="preserve">Minimum</w:t>
            </w:r>
          </w:p>
        </w:tc>
        <w:tc>
          <w:tcPr/>
          <w:p>
            <w:pPr>
              <w:pStyle w:val="Compact"/>
              <w:jc w:val="left"/>
            </w:pPr>
            <w:r>
              <w:t xml:space="preserve">Minimum</w:t>
            </w:r>
          </w:p>
        </w:tc>
        <w:tc>
          <w:tcPr/>
          <w:p>
            <w:pPr>
              <w:pStyle w:val="Compact"/>
              <w:jc w:val="left"/>
            </w:pPr>
            <w:r>
              <w:t xml:space="preserve">Minimum</w:t>
            </w:r>
          </w:p>
        </w:tc>
        <w:tc>
          <w:tcPr/>
          <w:p>
            <w:pPr>
              <w:pStyle w:val="Compact"/>
              <w:jc w:val="left"/>
            </w:pPr>
            <w:r>
              <w:t xml:space="preserve">Minimum</w:t>
            </w: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Aisle Width</w:t>
            </w:r>
          </w:p>
        </w:tc>
        <w:tc>
          <w:tcPr/>
          <w:p>
            <w:pPr>
              <w:pStyle w:val="Compact"/>
            </w:pPr>
          </w:p>
        </w:tc>
      </w:tr>
      <w:tr>
        <w:tc>
          <w:tcPr/>
          <w:p>
            <w:pPr>
              <w:pStyle w:val="Compact"/>
            </w:pPr>
          </w:p>
        </w:tc>
        <w:tc>
          <w:tcPr/>
          <w:p>
            <w:pPr>
              <w:pStyle w:val="Compact"/>
            </w:pPr>
          </w:p>
        </w:tc>
        <w:tc>
          <w:tcPr/>
          <w:p>
            <w:pPr>
              <w:pStyle w:val="Compact"/>
              <w:jc w:val="left"/>
            </w:pPr>
            <w:r>
              <w:t xml:space="preserve">Stall Width</w:t>
            </w:r>
          </w:p>
        </w:tc>
        <w:tc>
          <w:tcPr/>
          <w:p>
            <w:pPr>
              <w:pStyle w:val="Compact"/>
              <w:jc w:val="left"/>
            </w:pPr>
            <w:r>
              <w:t xml:space="preserve">Stall Length</w:t>
            </w:r>
          </w:p>
        </w:tc>
        <w:tc>
          <w:tcPr/>
          <w:p>
            <w:pPr>
              <w:pStyle w:val="Compact"/>
              <w:jc w:val="left"/>
            </w:pPr>
            <w:r>
              <w:t xml:space="preserve">Stall Width</w:t>
            </w:r>
          </w:p>
        </w:tc>
        <w:tc>
          <w:tcPr/>
          <w:p>
            <w:pPr>
              <w:pStyle w:val="Compact"/>
              <w:jc w:val="left"/>
            </w:pPr>
            <w:r>
              <w:t xml:space="preserve">Stall Length</w:t>
            </w:r>
          </w:p>
        </w:tc>
        <w:tc>
          <w:tcPr/>
          <w:p>
            <w:pPr>
              <w:pStyle w:val="Compact"/>
            </w:pPr>
          </w:p>
        </w:tc>
        <w:tc>
          <w:tcPr/>
          <w:p>
            <w:pPr>
              <w:pStyle w:val="Compact"/>
            </w:pPr>
          </w:p>
        </w:tc>
      </w:tr>
      <w:tr>
        <w:tc>
          <w:tcPr/>
          <w:p>
            <w:pPr>
              <w:pStyle w:val="Compact"/>
            </w:pPr>
          </w:p>
        </w:tc>
        <w:tc>
          <w:tcPr/>
          <w:p>
            <w:pPr>
              <w:pStyle w:val="Compact"/>
              <w:jc w:val="left"/>
            </w:pPr>
            <w:r>
              <w:t xml:space="preserve">0°</w:t>
            </w:r>
          </w:p>
        </w:tc>
        <w:tc>
          <w:tcPr/>
          <w:p>
            <w:pPr>
              <w:pStyle w:val="Compact"/>
              <w:jc w:val="left"/>
            </w:pPr>
            <w:r>
              <w:t xml:space="preserve">8.5’</w:t>
            </w:r>
          </w:p>
        </w:tc>
        <w:tc>
          <w:tcPr/>
          <w:p>
            <w:pPr>
              <w:pStyle w:val="Compact"/>
              <w:jc w:val="left"/>
            </w:pPr>
            <w:r>
              <w:t xml:space="preserve">18’</w:t>
            </w:r>
          </w:p>
        </w:tc>
        <w:tc>
          <w:tcPr/>
          <w:p>
            <w:pPr>
              <w:pStyle w:val="Compact"/>
              <w:jc w:val="left"/>
            </w:pPr>
            <w:r>
              <w:t xml:space="preserve">7.5’</w:t>
            </w:r>
          </w:p>
        </w:tc>
        <w:tc>
          <w:tcPr/>
          <w:p>
            <w:pPr>
              <w:pStyle w:val="Compact"/>
              <w:jc w:val="left"/>
            </w:pPr>
            <w:r>
              <w:t xml:space="preserve">15’</w:t>
            </w:r>
          </w:p>
        </w:tc>
        <w:tc>
          <w:tcPr/>
          <w:p>
            <w:pPr>
              <w:pStyle w:val="Compact"/>
              <w:jc w:val="left"/>
            </w:pPr>
            <w:r>
              <w:t xml:space="preserve">1 11’ / 22’</w:t>
            </w:r>
          </w:p>
        </w:tc>
        <w:tc>
          <w:tcPr/>
          <w:p>
            <w:pPr>
              <w:pStyle w:val="Compact"/>
            </w:pPr>
          </w:p>
        </w:tc>
      </w:tr>
      <w:tr>
        <w:tc>
          <w:tcPr/>
          <w:p>
            <w:pPr>
              <w:pStyle w:val="Compact"/>
            </w:pPr>
          </w:p>
        </w:tc>
        <w:tc>
          <w:tcPr/>
          <w:p>
            <w:pPr>
              <w:pStyle w:val="Compact"/>
              <w:jc w:val="left"/>
            </w:pPr>
            <w:r>
              <w:t xml:space="preserve">45°</w:t>
            </w:r>
          </w:p>
        </w:tc>
        <w:tc>
          <w:tcPr/>
          <w:p>
            <w:pPr>
              <w:pStyle w:val="Compact"/>
              <w:jc w:val="left"/>
            </w:pPr>
            <w:r>
              <w:t xml:space="preserve">8.5’</w:t>
            </w:r>
          </w:p>
        </w:tc>
        <w:tc>
          <w:tcPr/>
          <w:p>
            <w:pPr>
              <w:pStyle w:val="Compact"/>
              <w:jc w:val="left"/>
            </w:pPr>
            <w:r>
              <w:t xml:space="preserve">18’</w:t>
            </w:r>
          </w:p>
        </w:tc>
        <w:tc>
          <w:tcPr/>
          <w:p>
            <w:pPr>
              <w:pStyle w:val="Compact"/>
              <w:jc w:val="left"/>
            </w:pPr>
            <w:r>
              <w:t xml:space="preserve">7.5’</w:t>
            </w:r>
          </w:p>
        </w:tc>
        <w:tc>
          <w:tcPr/>
          <w:p>
            <w:pPr>
              <w:pStyle w:val="Compact"/>
              <w:jc w:val="left"/>
            </w:pPr>
            <w:r>
              <w:t xml:space="preserve">15’</w:t>
            </w:r>
          </w:p>
        </w:tc>
        <w:tc>
          <w:tcPr/>
          <w:p>
            <w:pPr>
              <w:pStyle w:val="Compact"/>
              <w:jc w:val="left"/>
            </w:pPr>
            <w:r>
              <w:t xml:space="preserve">12’</w:t>
            </w:r>
          </w:p>
        </w:tc>
        <w:tc>
          <w:tcPr/>
          <w:p>
            <w:pPr>
              <w:pStyle w:val="Compact"/>
            </w:pPr>
          </w:p>
        </w:tc>
      </w:tr>
      <w:tr>
        <w:tc>
          <w:tcPr/>
          <w:p>
            <w:pPr>
              <w:pStyle w:val="Compact"/>
            </w:pPr>
          </w:p>
        </w:tc>
        <w:tc>
          <w:tcPr/>
          <w:p>
            <w:pPr>
              <w:pStyle w:val="Compact"/>
              <w:jc w:val="left"/>
            </w:pPr>
            <w:r>
              <w:t xml:space="preserve">60°</w:t>
            </w:r>
          </w:p>
        </w:tc>
        <w:tc>
          <w:tcPr/>
          <w:p>
            <w:pPr>
              <w:pStyle w:val="Compact"/>
              <w:jc w:val="left"/>
            </w:pPr>
            <w:r>
              <w:t xml:space="preserve">8.5’</w:t>
            </w:r>
          </w:p>
        </w:tc>
        <w:tc>
          <w:tcPr/>
          <w:p>
            <w:pPr>
              <w:pStyle w:val="Compact"/>
              <w:jc w:val="left"/>
            </w:pPr>
            <w:r>
              <w:t xml:space="preserve">18’</w:t>
            </w:r>
          </w:p>
        </w:tc>
        <w:tc>
          <w:tcPr/>
          <w:p>
            <w:pPr>
              <w:pStyle w:val="Compact"/>
              <w:jc w:val="left"/>
            </w:pPr>
            <w:r>
              <w:t xml:space="preserve">7.5’</w:t>
            </w:r>
          </w:p>
        </w:tc>
        <w:tc>
          <w:tcPr/>
          <w:p>
            <w:pPr>
              <w:pStyle w:val="Compact"/>
              <w:jc w:val="left"/>
            </w:pPr>
            <w:r>
              <w:t xml:space="preserve">15’</w:t>
            </w:r>
          </w:p>
        </w:tc>
        <w:tc>
          <w:tcPr/>
          <w:p>
            <w:pPr>
              <w:pStyle w:val="Compact"/>
              <w:jc w:val="left"/>
            </w:pPr>
            <w:r>
              <w:t xml:space="preserve">16’</w:t>
            </w:r>
          </w:p>
        </w:tc>
        <w:tc>
          <w:tcPr/>
          <w:p>
            <w:pPr>
              <w:pStyle w:val="Compact"/>
            </w:pPr>
          </w:p>
        </w:tc>
      </w:tr>
      <w:tr>
        <w:tc>
          <w:tcPr/>
          <w:p>
            <w:pPr>
              <w:pStyle w:val="Compact"/>
            </w:pPr>
          </w:p>
        </w:tc>
        <w:tc>
          <w:tcPr/>
          <w:p>
            <w:pPr>
              <w:pStyle w:val="Compact"/>
              <w:jc w:val="left"/>
            </w:pPr>
            <w:r>
              <w:t xml:space="preserve">90°</w:t>
            </w:r>
          </w:p>
        </w:tc>
        <w:tc>
          <w:tcPr/>
          <w:p>
            <w:pPr>
              <w:pStyle w:val="Compact"/>
              <w:jc w:val="left"/>
            </w:pPr>
            <w:r>
              <w:t xml:space="preserve">8.5’</w:t>
            </w:r>
          </w:p>
        </w:tc>
        <w:tc>
          <w:tcPr/>
          <w:p>
            <w:pPr>
              <w:pStyle w:val="Compact"/>
              <w:jc w:val="left"/>
            </w:pPr>
            <w:r>
              <w:t xml:space="preserve">18’</w:t>
            </w:r>
          </w:p>
        </w:tc>
        <w:tc>
          <w:tcPr/>
          <w:p>
            <w:pPr>
              <w:pStyle w:val="Compact"/>
              <w:jc w:val="left"/>
            </w:pPr>
            <w:r>
              <w:t xml:space="preserve">7.5’</w:t>
            </w:r>
          </w:p>
        </w:tc>
        <w:tc>
          <w:tcPr/>
          <w:p>
            <w:pPr>
              <w:pStyle w:val="Compact"/>
              <w:jc w:val="left"/>
            </w:pPr>
            <w:r>
              <w:t xml:space="preserve">15’</w:t>
            </w:r>
          </w:p>
        </w:tc>
        <w:tc>
          <w:tcPr/>
          <w:p>
            <w:pPr>
              <w:pStyle w:val="Compact"/>
              <w:jc w:val="left"/>
            </w:pPr>
            <w:r>
              <w:t xml:space="preserve">22’</w:t>
            </w:r>
          </w:p>
        </w:tc>
        <w:tc>
          <w:tcPr/>
          <w:p>
            <w:pPr>
              <w:pStyle w:val="Compact"/>
            </w:pPr>
          </w:p>
        </w:tc>
      </w:tr>
      <w:tr>
        <w:tc>
          <w:tcPr/>
          <w:p>
            <w:pPr>
              <w:pStyle w:val="Compact"/>
            </w:pPr>
          </w:p>
        </w:tc>
        <w:tc>
          <w:tcPr/>
          <w:p>
            <w:pPr>
              <w:pStyle w:val="Compact"/>
            </w:pPr>
          </w:p>
        </w:tc>
        <w:tc>
          <w:tcPr/>
          <w:p>
            <w:pPr>
              <w:pStyle w:val="Compact"/>
              <w:jc w:val="left"/>
            </w:pPr>
            <w:r>
              <w:t xml:space="preserve">1 Two-way traffic</w:t>
            </w:r>
          </w:p>
        </w:tc>
        <w:tc>
          <w:tcPr/>
          <w:p>
            <w:pPr>
              <w:pStyle w:val="Compact"/>
              <w:jc w:val="left"/>
            </w:pPr>
            <w:r>
              <w:t xml:space="preserve">FIGURE</w:t>
            </w:r>
          </w:p>
        </w:tc>
        <w:tc>
          <w:tcPr/>
          <w:p>
            <w:pPr>
              <w:pStyle w:val="Compact"/>
              <w:jc w:val="left"/>
            </w:pPr>
            <w:r>
              <w:t xml:space="preserve">14-1</w:t>
            </w:r>
          </w:p>
        </w:tc>
        <w:tc>
          <w:tcPr/>
          <w:p>
            <w:pPr>
              <w:pStyle w:val="Compact"/>
            </w:pPr>
          </w:p>
        </w:tc>
        <w:tc>
          <w:tcPr/>
          <w:p>
            <w:pPr>
              <w:pStyle w:val="Compact"/>
            </w:pPr>
          </w:p>
        </w:tc>
        <w:tc>
          <w:tcPr/>
          <w:p>
            <w:pPr>
              <w:pStyle w:val="Compact"/>
            </w:pPr>
          </w:p>
        </w:tc>
      </w:tr>
    </w:tbl>
    <w:p>
      <w:pPr>
        <w:pStyle w:val="Compact"/>
        <w:numPr>
          <w:ilvl w:val="0"/>
          <w:numId w:val="2590"/>
        </w:numPr>
      </w:pPr>
    </w:p>
    <w:p>
      <w:pPr>
        <w:numPr>
          <w:ilvl w:val="1"/>
          <w:numId w:val="2591"/>
        </w:numPr>
      </w:pPr>
      <w:r>
        <w:t xml:space="preserve">1 Two-way traffic</w:t>
      </w:r>
    </w:p>
    <w:p>
      <w:pPr>
        <w:pStyle w:val="Compact"/>
        <w:numPr>
          <w:ilvl w:val="0"/>
          <w:numId w:val="2592"/>
        </w:numPr>
      </w:pPr>
    </w:p>
    <w:p>
      <w:pPr>
        <w:numPr>
          <w:ilvl w:val="1"/>
          <w:numId w:val="2593"/>
        </w:numPr>
      </w:pPr>
      <w:r>
        <w:t xml:space="preserve">F. Striping Off-street parking areas of more than four spaces shall be marked by painted lines maintained in clearly visible condition, curbs or other means to indicate individual spaces. Signs or markers should be used as necessary to ensure efficient and safe circulation within the lot. Vehicle parking spaces for handicapped persons shall be identified with the appropriate sign and visible at all times of the year, regardless of plant growth or similar conditions.</w:t>
      </w:r>
    </w:p>
    <w:p>
      <w:pPr>
        <w:pStyle w:val="Compact"/>
        <w:numPr>
          <w:ilvl w:val="0"/>
          <w:numId w:val="2594"/>
        </w:numPr>
      </w:pPr>
    </w:p>
    <w:p>
      <w:pPr>
        <w:numPr>
          <w:ilvl w:val="1"/>
          <w:numId w:val="2595"/>
        </w:numPr>
      </w:pPr>
      <w:r>
        <w:t xml:space="preserve">G. Curbing and Wheel Stops Wheel stops or curbing shall be provided to prevent vehicles from damaging or encroaching upon any adjacent parking or loading space, sidewalk, landscaped area, or parking lot island, fence, wall, or building.</w:t>
      </w:r>
    </w:p>
    <w:p>
      <w:pPr>
        <w:pStyle w:val="Compact"/>
        <w:numPr>
          <w:ilvl w:val="0"/>
          <w:numId w:val="2596"/>
        </w:numPr>
      </w:pPr>
    </w:p>
    <w:p>
      <w:pPr>
        <w:numPr>
          <w:ilvl w:val="1"/>
          <w:numId w:val="2597"/>
        </w:numPr>
      </w:pPr>
      <w:r>
        <w:t xml:space="preserve">H. Surfacing</w:t>
      </w:r>
    </w:p>
    <w:p>
      <w:pPr>
        <w:numPr>
          <w:ilvl w:val="1"/>
          <w:numId w:val="1000"/>
        </w:numPr>
      </w:pPr>
      <w:r>
        <w:t xml:space="preserve">1. All parking areas shall be paved with a durable all-weather material or pervious paving. All uneven slabs shall be resurfaced to provide a smooth surface.</w:t>
      </w:r>
    </w:p>
    <w:p>
      <w:pPr>
        <w:numPr>
          <w:ilvl w:val="0"/>
          <w:numId w:val="2598"/>
        </w:numPr>
      </w:pPr>
      <w:r>
        <w:t xml:space="preserve">2. All single-family and two-family dwellings are permitted to construct driveways that consist of two concrete wheel strips, each of which is at least 18 inches wide and at least 20 feet long. (Figure 14- 2)</w:t>
      </w:r>
    </w:p>
    <w:p>
      <w:pPr>
        <w:numPr>
          <w:ilvl w:val="0"/>
          <w:numId w:val="2599"/>
        </w:numPr>
      </w:pPr>
      <w:r>
        <w:t xml:space="preserve">3. All areas designated or used for parking or access to parking shall be considered impervious surfaces. Parking shall not be permitted on non-paved portions of the lot.</w:t>
      </w:r>
    </w:p>
    <w:p>
      <w:pPr>
        <w:numPr>
          <w:ilvl w:val="0"/>
          <w:numId w:val="2600"/>
        </w:numPr>
      </w:pPr>
      <w:r>
        <w:t xml:space="preserve">4. When new areas of pavement do not require a building permit, the owner must obtain a zoning certificate for compliance indicating conformance to all provisions of this Ordinance.</w:t>
      </w:r>
    </w:p>
    <w:p>
      <w:pPr>
        <w:pStyle w:val="Compact"/>
        <w:numPr>
          <w:ilvl w:val="0"/>
          <w:numId w:val="2601"/>
        </w:numPr>
      </w:pPr>
    </w:p>
    <w:p>
      <w:pPr>
        <w:numPr>
          <w:ilvl w:val="1"/>
          <w:numId w:val="2602"/>
        </w:numPr>
      </w:pPr>
      <w:r>
        <w:t xml:space="preserve">I. Drainage and Maintenance</w:t>
      </w:r>
    </w:p>
    <w:p>
      <w:pPr>
        <w:numPr>
          <w:ilvl w:val="1"/>
          <w:numId w:val="1000"/>
        </w:numPr>
      </w:pPr>
      <w:r>
        <w:t xml:space="preserve">1. Off-street parking facilities shall be drained to eliminate standing water and prevent damage to abutting property and/or public streets and alleys. All drainage shall comply with the requirements of the Providence Code of Ordinances for stormwater management.</w:t>
      </w:r>
    </w:p>
    <w:p>
      <w:pPr>
        <w:numPr>
          <w:ilvl w:val="0"/>
          <w:numId w:val="2603"/>
        </w:numPr>
      </w:pPr>
      <w:r>
        <w:t xml:space="preserve">2. Off-street parking areas shall be maintained in a clean, orderly, and dust-free condition at the expense of the owner or lessee.</w:t>
      </w:r>
    </w:p>
    <w:p>
      <w:pPr>
        <w:pStyle w:val="Compact"/>
        <w:numPr>
          <w:ilvl w:val="0"/>
          <w:numId w:val="2604"/>
        </w:numPr>
      </w:pPr>
    </w:p>
    <w:p>
      <w:pPr>
        <w:numPr>
          <w:ilvl w:val="1"/>
          <w:numId w:val="2605"/>
        </w:numPr>
      </w:pPr>
      <w:r>
        <w:t xml:space="preserve">J. Lighting Parking lot lighting shall comply with Section 1301. Adequate lighting shall be provided if off-street parking spaces are used at night. All lighting shall be arranged to eliminate glare on residential property by location of light fixtures or use of fixtures designed to eliminate direct view of luminaries in fixtures from residential property.</w:t>
      </w:r>
    </w:p>
    <w:p>
      <w:pPr>
        <w:pStyle w:val="Compact"/>
        <w:numPr>
          <w:ilvl w:val="0"/>
          <w:numId w:val="2606"/>
        </w:numPr>
      </w:pPr>
    </w:p>
    <w:p>
      <w:pPr>
        <w:numPr>
          <w:ilvl w:val="1"/>
          <w:numId w:val="2607"/>
        </w:numPr>
      </w:pPr>
      <w:r>
        <w:t xml:space="preserve">K. Landscape and Screening All parking lots shall be landscaped and screened in accordance with Article 15.</w:t>
      </w:r>
    </w:p>
    <w:p>
      <w:pPr>
        <w:pStyle w:val="Compact"/>
        <w:numPr>
          <w:ilvl w:val="0"/>
          <w:numId w:val="2608"/>
        </w:numPr>
      </w:pPr>
    </w:p>
    <w:p>
      <w:pPr>
        <w:numPr>
          <w:ilvl w:val="1"/>
          <w:numId w:val="2609"/>
        </w:numPr>
      </w:pPr>
      <w:r>
        <w:t xml:space="preserve">L. Pedestrian Walkway Design within Parking Areas Clearly delineated crosswalks of paving, brick paver, bituminous brick pattern stamping, or painted striping shall connect landscaped areas and parking lot islands to building entrances to improve safe passageway for pedestrians. Curb cuts shall be included on landscaped areas or islands where such crosswalks are located.</w:t>
      </w:r>
    </w:p>
    <w:bookmarkEnd w:id="105"/>
    <w:bookmarkStart w:id="106" w:name="design-of-bicycle-parking-spaces"/>
    <w:p>
      <w:pPr>
        <w:pStyle w:val="Heading2"/>
      </w:pPr>
      <w:r>
        <w:t xml:space="preserve">§ 1405. DESIGN OF BICYCLE PARKING SPACES</w:t>
      </w:r>
    </w:p>
    <w:p>
      <w:pPr>
        <w:pStyle w:val="FirstParagraph"/>
      </w:pPr>
      <w:r>
        <w:t xml:space="preserve">1405 DESIGN OF BICYCLE PARKING SPACES</w:t>
      </w:r>
    </w:p>
    <w:p>
      <w:pPr>
        <w:numPr>
          <w:ilvl w:val="0"/>
          <w:numId w:val="2610"/>
        </w:numPr>
      </w:pPr>
      <w:r>
        <w:t xml:space="preserve">A. Location</w:t>
      </w:r>
    </w:p>
    <w:p>
      <w:pPr>
        <w:numPr>
          <w:ilvl w:val="0"/>
          <w:numId w:val="1000"/>
        </w:numPr>
      </w:pPr>
      <w:r>
        <w:t xml:space="preserve">1. The bicycle parking area shall be convenient to building entrances and street access, but shall not interfere with normal pedestrian and vehicle traffic.</w:t>
      </w:r>
    </w:p>
    <w:p>
      <w:pPr>
        <w:numPr>
          <w:ilvl w:val="0"/>
          <w:numId w:val="2611"/>
        </w:numPr>
      </w:pPr>
      <w:r>
        <w:t xml:space="preserve">2. Bicyclists shall not be required to travel over stairs to access parking.</w:t>
      </w:r>
    </w:p>
    <w:p>
      <w:pPr>
        <w:numPr>
          <w:ilvl w:val="0"/>
          <w:numId w:val="2612"/>
        </w:numPr>
      </w:pPr>
      <w:r>
        <w:t xml:space="preserve">3. When required to provide bicycle spaces, certain uses are also required to provide long-term spaces, where bicycles will be left for longer periods of time and require a safe and weatherproof storage area. The required number of long-term spaces is shown as a percentage of the required total bicycle spaces in Table 14-1. All other required bicycle spaces shall be designed as short-term spaces, which are areas where bicycles will be left for short stops, requiring a high degree of convenience.</w:t>
      </w:r>
    </w:p>
    <w:p>
      <w:pPr>
        <w:numPr>
          <w:ilvl w:val="0"/>
          <w:numId w:val="2613"/>
        </w:numPr>
      </w:pPr>
      <w:r>
        <w:t xml:space="preserve">4. Short-term bicycle parking spaces shall be located no more than 50 feet from the principal building entrance and at the same grade as the sidewalk or an accessible route. The property owner may also make suitable arrangement with the Department of Public Works to place required bicycle parking spaces in the public right-of-way. Parking in the public right-of-way shall be within 50 feet of the lot. The City Plan Commission may allow for greater distances from bicycle parking to buildings or lots for institutional campuses through the institutional master plan development plan review process. 5 Long-term bicycle parking spaces shall be located in a covered area that is easily accessible from the public-right-of-way and building entrances.</w:t>
      </w:r>
    </w:p>
    <w:p>
      <w:pPr>
        <w:numPr>
          <w:ilvl w:val="0"/>
          <w:numId w:val="2614"/>
        </w:numPr>
      </w:pPr>
      <w:r>
        <w:t xml:space="preserve">6. Required bicycle parking for residential uses may be provided in garages, storage rooms, and other resident-accessible, secure areas. Spaces within dwelling units or on balconies do not count toward satisfying bicycle parking requirements.</w:t>
      </w:r>
    </w:p>
    <w:p>
      <w:pPr>
        <w:pStyle w:val="Compact"/>
        <w:numPr>
          <w:ilvl w:val="0"/>
          <w:numId w:val="2615"/>
        </w:numPr>
      </w:pPr>
    </w:p>
    <w:p>
      <w:pPr>
        <w:numPr>
          <w:ilvl w:val="1"/>
          <w:numId w:val="2616"/>
        </w:numPr>
      </w:pPr>
      <w:r>
        <w:t xml:space="preserve">B. Design</w:t>
      </w:r>
    </w:p>
    <w:p>
      <w:pPr>
        <w:numPr>
          <w:ilvl w:val="1"/>
          <w:numId w:val="1000"/>
        </w:numPr>
      </w:pPr>
      <w:r>
        <w:t xml:space="preserve">1. Required bicycle spaces shall have a minimum dimension of two feet in width by six feet in length, with a minimum vertical clearance of seven feet. Each required bicycle parking space shall be accessible without moving another bicycle. There shall be an aisle at least five feet wide between each row of bicycle parking to allow room for bicycle maneuvering.</w:t>
      </w:r>
    </w:p>
    <w:p>
      <w:pPr>
        <w:numPr>
          <w:ilvl w:val="0"/>
          <w:numId w:val="2617"/>
        </w:numPr>
      </w:pPr>
      <w:r>
        <w:t xml:space="preserve">2. The area devoted to bicycle parking shall be surfaced as required for vehicle parking areas.</w:t>
      </w:r>
    </w:p>
    <w:p>
      <w:pPr>
        <w:numPr>
          <w:ilvl w:val="0"/>
          <w:numId w:val="2618"/>
        </w:numPr>
      </w:pPr>
      <w:r>
        <w:t xml:space="preserve">3. All long-term bicycle parking spaces shall be located indoors or fully covered, which can be achieved through use of an overhang or covered walkway, weatherproof outdoor bicycle lockers, or an indoor storage area. Where bicycle parking is not located within a building or locker, the cover design shall be of permanent construction, designed to protect bicycles from rainfall, snow, and inclement weather, and with a minimum vertical clearance of seven feet.</w:t>
      </w:r>
    </w:p>
    <w:p>
      <w:pPr>
        <w:numPr>
          <w:ilvl w:val="0"/>
          <w:numId w:val="2619"/>
        </w:numPr>
      </w:pPr>
      <w:r>
        <w:t xml:space="preserve">4. Bicycle parking facilities shall provide lockable enclosed lockers or racks or similar structures where the bicycle may be locked by the user. Racks shall permit the bicycle frame and one wheel to be locked to the rack and support the bicycle in a stable position. Structures that require a usersupplied locking device shall be designed to accommodate U-shaped locking devices. All lockers and racks shall be securely anchored to the ground or a structure to prevent the racks and lockers from being removed from the location.</w:t>
      </w:r>
    </w:p>
    <w:p>
      <w:pPr>
        <w:numPr>
          <w:ilvl w:val="0"/>
          <w:numId w:val="2620"/>
        </w:numPr>
      </w:pPr>
      <w:r>
        <w:t xml:space="preserve">5. If required bicycle parking facilities are not visible from the street or principal building entrance, signs shall be posted indicating their location.</w:t>
      </w:r>
    </w:p>
    <w:bookmarkEnd w:id="106"/>
    <w:bookmarkStart w:id="107" w:name="design-of-off-street-loading-spaces"/>
    <w:p>
      <w:pPr>
        <w:pStyle w:val="Heading2"/>
      </w:pPr>
      <w:r>
        <w:t xml:space="preserve">§ 1406. DESIGN OF OFF-STREET LOADING SPACES</w:t>
      </w:r>
    </w:p>
    <w:p>
      <w:pPr>
        <w:pStyle w:val="FirstParagraph"/>
      </w:pPr>
      <w:r>
        <w:t xml:space="preserve">1406 DESIGN OF OFF-STREET LOADING SPACES</w:t>
      </w:r>
    </w:p>
    <w:p>
      <w:pPr>
        <w:numPr>
          <w:ilvl w:val="0"/>
          <w:numId w:val="2621"/>
        </w:numPr>
      </w:pPr>
      <w:r>
        <w:t xml:space="preserve">A. Location All off-street loading spaces shall be located on the same lot as the use served. No off-street loading spaces may project into a public right-of-way. No off-street loading space is permitted in a front yard.</w:t>
      </w:r>
    </w:p>
    <w:p>
      <w:pPr>
        <w:numPr>
          <w:ilvl w:val="0"/>
          <w:numId w:val="2622"/>
        </w:numPr>
      </w:pPr>
      <w:r>
        <w:t xml:space="preserve">B. Dimensions</w:t>
      </w:r>
    </w:p>
    <w:p>
      <w:pPr>
        <w:numPr>
          <w:ilvl w:val="0"/>
          <w:numId w:val="1000"/>
        </w:numPr>
      </w:pPr>
      <w:r>
        <w:t xml:space="preserve">1. All required off-street loading spaces shall be a minimum of 10 feet in width, a minimum of 22 feet in length, exclusive of aisle and maneuvering space, and have a minimum vertical clearance of 10 feet.</w:t>
      </w:r>
    </w:p>
    <w:p>
      <w:pPr>
        <w:numPr>
          <w:ilvl w:val="0"/>
          <w:numId w:val="2623"/>
        </w:numPr>
      </w:pPr>
      <w:r>
        <w:t xml:space="preserve">2. Structures that are 50 years of age or older and maintain loading spaces that do not comply with the dimensions of this section are deemed legally conforming in terms of loading space dimensions. If new loading spaces are constructed, such spaces may be designed to match the dimensions of existing spaces rather than the requirements of this section.</w:t>
      </w:r>
    </w:p>
    <w:p>
      <w:pPr>
        <w:pStyle w:val="Compact"/>
        <w:numPr>
          <w:ilvl w:val="0"/>
          <w:numId w:val="2624"/>
        </w:numPr>
      </w:pPr>
    </w:p>
    <w:p>
      <w:pPr>
        <w:numPr>
          <w:ilvl w:val="1"/>
          <w:numId w:val="2625"/>
        </w:numPr>
      </w:pPr>
      <w:r>
        <w:t xml:space="preserve">C. Surfacing All off-street loading spaces shall be paved with a durable, all-weather material or pervious paving.</w:t>
      </w:r>
    </w:p>
    <w:p>
      <w:pPr>
        <w:pStyle w:val="Compact"/>
        <w:numPr>
          <w:ilvl w:val="0"/>
          <w:numId w:val="2626"/>
        </w:numPr>
      </w:pPr>
    </w:p>
    <w:p>
      <w:pPr>
        <w:numPr>
          <w:ilvl w:val="1"/>
          <w:numId w:val="2627"/>
        </w:numPr>
      </w:pPr>
      <w:r>
        <w:t xml:space="preserve">D. Drainage and Maintenance</w:t>
      </w:r>
    </w:p>
    <w:p>
      <w:pPr>
        <w:numPr>
          <w:ilvl w:val="1"/>
          <w:numId w:val="1000"/>
        </w:numPr>
      </w:pPr>
      <w:r>
        <w:t xml:space="preserve">1. Off-street loading facilities shall be drained to eliminate standing water and prevent damage to abutting property and/or public streets and alleys. All drainage shall comply with the requirements of the Providence Code of Ordinances for stormwater management.</w:t>
      </w:r>
    </w:p>
    <w:p>
      <w:pPr>
        <w:numPr>
          <w:ilvl w:val="0"/>
          <w:numId w:val="2628"/>
        </w:numPr>
      </w:pPr>
      <w:r>
        <w:t xml:space="preserve">2. Off-street loading areas shall be maintained in a clean, orderly and dust-free condition at the expense of the owner or lessee</w:t>
      </w:r>
    </w:p>
    <w:p>
      <w:pPr>
        <w:pStyle w:val="Compact"/>
        <w:numPr>
          <w:ilvl w:val="0"/>
          <w:numId w:val="2629"/>
        </w:numPr>
      </w:pPr>
    </w:p>
    <w:p>
      <w:pPr>
        <w:numPr>
          <w:ilvl w:val="1"/>
          <w:numId w:val="2630"/>
        </w:numPr>
      </w:pPr>
      <w:r>
        <w:t xml:space="preserve">E. Access Control and Signs Each required off-street loading space shall be designed with adequate means of vehicular access to a street or alley and in a manner that will minimize interference with traffic movement.</w:t>
      </w:r>
    </w:p>
    <w:p>
      <w:pPr>
        <w:pStyle w:val="Compact"/>
        <w:numPr>
          <w:ilvl w:val="0"/>
          <w:numId w:val="2631"/>
        </w:numPr>
      </w:pPr>
    </w:p>
    <w:p>
      <w:pPr>
        <w:numPr>
          <w:ilvl w:val="1"/>
          <w:numId w:val="2632"/>
        </w:numPr>
      </w:pPr>
      <w:r>
        <w:t xml:space="preserve">F. Lighting Loading facility lighting shall meet the requirements of Section 1301. Illumination of an off-street loading facility shall be arranged so as to deflect the direct rays of light away from adjacent properties and streets.</w:t>
      </w:r>
    </w:p>
    <w:p>
      <w:pPr>
        <w:pStyle w:val="Compact"/>
        <w:numPr>
          <w:ilvl w:val="0"/>
          <w:numId w:val="2633"/>
        </w:numPr>
      </w:pPr>
    </w:p>
    <w:p>
      <w:pPr>
        <w:numPr>
          <w:ilvl w:val="1"/>
          <w:numId w:val="2634"/>
        </w:numPr>
      </w:pPr>
      <w:r>
        <w:t xml:space="preserve">G. Landscape and Screening All loading facilities shall be landscaped and screened in accordance with Article 15.</w:t>
      </w:r>
    </w:p>
    <w:bookmarkEnd w:id="107"/>
    <w:bookmarkStart w:id="108" w:name="driveway-design"/>
    <w:p>
      <w:pPr>
        <w:pStyle w:val="Heading2"/>
      </w:pPr>
      <w:r>
        <w:t xml:space="preserve">§ 1407. DRIVEWAY DESIGN</w:t>
      </w:r>
    </w:p>
    <w:p>
      <w:pPr>
        <w:pStyle w:val="FirstParagraph"/>
      </w:pPr>
      <w:r>
        <w:t xml:space="preserve">1407 DRIVEWAY DESIGN</w:t>
      </w:r>
    </w:p>
    <w:p>
      <w:pPr>
        <w:numPr>
          <w:ilvl w:val="0"/>
          <w:numId w:val="2635"/>
        </w:numPr>
      </w:pPr>
      <w:r>
        <w:t xml:space="preserve">A. Driveway Design When new areas of pavement do not require a building permit, the owner must obtain a zoning certificate for compliance indicating conformance to all provisions of this Ordinance.</w:t>
      </w:r>
    </w:p>
    <w:p>
      <w:pPr>
        <w:numPr>
          <w:ilvl w:val="0"/>
          <w:numId w:val="2636"/>
        </w:numPr>
      </w:pPr>
      <w:r>
        <w:t xml:space="preserve">1. Residential Driveways: Excluding Multi-Family and Rowhouse Dwellings</w:t>
      </w:r>
    </w:p>
    <w:p>
      <w:pPr>
        <w:numPr>
          <w:ilvl w:val="0"/>
          <w:numId w:val="1000"/>
        </w:numPr>
      </w:pPr>
      <w:r>
        <w:t xml:space="preserve">a. A residential driveway that provides access to a garage or parking area is limited to a maximum width of 12 feet. A driveway apron, the width of the garage, as measured from the garage walls, is permitted to extend for a distance (depth) of 20 feet from the garage doors before tapering back to the required driveway width for access to the additional spaces.</w:t>
      </w:r>
    </w:p>
    <w:p>
      <w:pPr>
        <w:pStyle w:val="Compact"/>
        <w:numPr>
          <w:ilvl w:val="0"/>
          <w:numId w:val="2637"/>
        </w:numPr>
      </w:pPr>
    </w:p>
    <w:p>
      <w:pPr>
        <w:numPr>
          <w:ilvl w:val="1"/>
          <w:numId w:val="2638"/>
        </w:numPr>
      </w:pPr>
      <w:r>
        <w:t xml:space="preserve">b. A residential driveway may be shared by adjacent lots. This shared driveway location is only allowed if agreed to by the owners of each lot, and the agreement is recorded as a shared driveway easement on each plat of survey.</w:t>
      </w:r>
    </w:p>
    <w:p>
      <w:pPr>
        <w:numPr>
          <w:ilvl w:val="0"/>
          <w:numId w:val="2639"/>
        </w:numPr>
      </w:pPr>
      <w:r>
        <w:t xml:space="preserve">2. Multi-Family and Rowhouse Dwellings, and Non-Residential Driveways With the exception of loading berths, driveways are limited to a maximum width of 12 feet for oneway drives, and a maximum of 24 feet for two-way drives.</w:t>
      </w:r>
    </w:p>
    <w:p>
      <w:pPr>
        <w:pStyle w:val="Compact"/>
        <w:numPr>
          <w:ilvl w:val="0"/>
          <w:numId w:val="2640"/>
        </w:numPr>
      </w:pPr>
    </w:p>
    <w:p>
      <w:pPr>
        <w:numPr>
          <w:ilvl w:val="1"/>
          <w:numId w:val="2641"/>
        </w:numPr>
      </w:pPr>
      <w:r>
        <w:t xml:space="preserve">B. Curb Cuts</w:t>
      </w:r>
    </w:p>
    <w:p>
      <w:pPr>
        <w:numPr>
          <w:ilvl w:val="1"/>
          <w:numId w:val="1000"/>
        </w:numPr>
      </w:pPr>
      <w:r>
        <w:t xml:space="preserve">1. Curb cuts shall be required to provide access to parking areas from the public right of way. All curb cuts require approval of the Department of Public Works and the Traffic Engineer.</w:t>
      </w:r>
    </w:p>
    <w:p>
      <w:pPr>
        <w:numPr>
          <w:ilvl w:val="0"/>
          <w:numId w:val="2642"/>
        </w:numPr>
      </w:pPr>
      <w:r>
        <w:t xml:space="preserve">2. Single-family, two-family, and three-family dwellings are limited to one curb cut. Each dwelling unit in a rowhouse dwelling is permitted no more than one curb cut.</w:t>
      </w:r>
    </w:p>
    <w:p>
      <w:pPr>
        <w:numPr>
          <w:ilvl w:val="0"/>
          <w:numId w:val="2643"/>
        </w:numPr>
      </w:pPr>
      <w:r>
        <w:t xml:space="preserve">3. All other uses are limited to one curb cut per street frontage. Additional curb cuts are permitted on a street frontage as long as there is at least 100 feet of street frontage for each curb cut. In the case of frontage on an alley, additional curb cuts are permitted as long as there is at least 50 feet of alley frontage for each curb cut.</w:t>
      </w:r>
    </w:p>
    <w:p>
      <w:pPr>
        <w:pStyle w:val="Compact"/>
        <w:numPr>
          <w:ilvl w:val="0"/>
          <w:numId w:val="2644"/>
        </w:numPr>
      </w:pPr>
    </w:p>
    <w:p>
      <w:pPr>
        <w:numPr>
          <w:ilvl w:val="1"/>
          <w:numId w:val="2645"/>
        </w:numPr>
      </w:pPr>
      <w:r>
        <w:t xml:space="preserve">C. Cross-Access Easements</w:t>
      </w:r>
    </w:p>
    <w:p>
      <w:pPr>
        <w:numPr>
          <w:ilvl w:val="1"/>
          <w:numId w:val="1000"/>
        </w:numPr>
      </w:pPr>
      <w:r>
        <w:t xml:space="preserve">1. Adjacent non-residential uses, including mixed-use development, with dedicated parking areas are encouraged to provide a cross-access drive to allow circulation between sites. Property owners are encouraged to pursue cross-access with adjacent property owners at the time of development. If cross-access is provided, the Department of Public Works and Traffic Engineer may require that the property owner provide proof that adjacent property owners have been contacted in writing regarding the provision of cross-access. (Figure 14-4)</w:t>
      </w:r>
    </w:p>
    <w:p>
      <w:pPr>
        <w:numPr>
          <w:ilvl w:val="0"/>
          <w:numId w:val="2646"/>
        </w:numPr>
      </w:pPr>
      <w:r>
        <w:t xml:space="preserve">2. Joint use driveways and cross-access easements shall incorporate the following: a. Bump-outs and other site design features to make it visually obvious that the abutting properties are tied together.</w:t>
      </w:r>
    </w:p>
    <w:p>
      <w:pPr>
        <w:pStyle w:val="Compact"/>
        <w:numPr>
          <w:ilvl w:val="0"/>
          <w:numId w:val="2647"/>
        </w:numPr>
      </w:pPr>
    </w:p>
    <w:p>
      <w:pPr>
        <w:numPr>
          <w:ilvl w:val="1"/>
          <w:numId w:val="2648"/>
        </w:numPr>
      </w:pPr>
      <w:r>
        <w:t xml:space="preserve">b. A unified access and circulation plan for shared parking areas.</w:t>
      </w:r>
    </w:p>
    <w:p>
      <w:pPr>
        <w:numPr>
          <w:ilvl w:val="0"/>
          <w:numId w:val="2649"/>
        </w:numPr>
      </w:pPr>
      <w:r>
        <w:t xml:space="preserve">3. Pursuant to this section, property owners who establish cross-access easements shall: a. Record an easement allowing cross-access to and from properties served by the joint use driveways and cross-access easement.</w:t>
      </w:r>
    </w:p>
    <w:p>
      <w:pPr>
        <w:pStyle w:val="Compact"/>
        <w:numPr>
          <w:ilvl w:val="0"/>
          <w:numId w:val="2650"/>
        </w:numPr>
      </w:pPr>
    </w:p>
    <w:p>
      <w:pPr>
        <w:numPr>
          <w:ilvl w:val="1"/>
          <w:numId w:val="2651"/>
        </w:numPr>
      </w:pPr>
      <w:r>
        <w:t xml:space="preserve">b. Record an easement that remaining access rights along the roadway shall be dedicated to the City, and that any pre-existing driveways shall be closed and eliminated after construction of the joint-use driveway.</w:t>
      </w:r>
    </w:p>
    <w:p>
      <w:pPr>
        <w:pStyle w:val="Compact"/>
        <w:numPr>
          <w:ilvl w:val="0"/>
          <w:numId w:val="2652"/>
        </w:numPr>
      </w:pPr>
    </w:p>
    <w:p>
      <w:pPr>
        <w:numPr>
          <w:ilvl w:val="1"/>
          <w:numId w:val="2653"/>
        </w:numPr>
      </w:pPr>
      <w:r>
        <w:t xml:space="preserve">c. Record a joint maintenance agreement defining the maintenance responsibilities of each property owner.</w:t>
      </w:r>
    </w:p>
    <w:p>
      <w:pPr>
        <w:numPr>
          <w:ilvl w:val="0"/>
          <w:numId w:val="2654"/>
        </w:numPr>
      </w:pPr>
      <w:r>
        <w:t xml:space="preserve">4. Property owners who establish cross-access easements are eligible for shared parking reductions in accordance with Section 1411.</w:t>
      </w:r>
    </w:p>
    <w:bookmarkEnd w:id="108"/>
    <w:bookmarkStart w:id="109" w:name="storage-of-commercial-vehicles"/>
    <w:p>
      <w:pPr>
        <w:pStyle w:val="Heading2"/>
      </w:pPr>
      <w:r>
        <w:t xml:space="preserve">§ 1408. STORAGE OF COMMERCIAL VEHICLES</w:t>
      </w:r>
    </w:p>
    <w:p>
      <w:pPr>
        <w:pStyle w:val="FirstParagraph"/>
      </w:pPr>
      <w:r>
        <w:t xml:space="preserve">1408 STORAGE OF COMMERCIAL VEHICLES No commercial vehicle may be parked outdoors on a lot in a residential district, with the exception of vehicles engaged in loading or unloading or current work being done to the adjacent premises. This does not include standard size passenger motor vehicles including, but not limited to, vans, sports utility vehicles (SUVs), standard passenger size livery vehicles, and pick-up trucks are permitted to be stored or parked outdoors overnight on lots in residential districts. This includes vehicles owned and used for commercial purposes by the occupant of a dwelling or guest, provided that the vehicle is stored or parked in a permitted parking area. Permitted commercial vehicles may include the logo of the commercial business painted on or applied to the vehicle. All other commercial vehicles including, but not limited to, semi-truck tractor units, with or without attached trailers, commercial trailers, buses, tow trucks, construction vehicles, livery vehicles that exceed standard passenger vehicle size, such as limousines, or other large commercial vehicles are not permitted to be stored or parked outside overnight on a lot in a residential district.</w:t>
      </w:r>
    </w:p>
    <w:bookmarkEnd w:id="109"/>
    <w:bookmarkStart w:id="110" w:name="storage-of-recreational-vehicles"/>
    <w:p>
      <w:pPr>
        <w:pStyle w:val="Heading2"/>
      </w:pPr>
      <w:r>
        <w:t xml:space="preserve">§ 1409. STORAGE OF RECREATIONAL VEHICLES</w:t>
      </w:r>
    </w:p>
    <w:p>
      <w:pPr>
        <w:pStyle w:val="FirstParagraph"/>
      </w:pPr>
      <w:r>
        <w:t xml:space="preserve">1409 STORAGE OF RECREATIONAL VEHICLES</w:t>
      </w:r>
    </w:p>
    <w:p>
      <w:pPr>
        <w:numPr>
          <w:ilvl w:val="0"/>
          <w:numId w:val="2655"/>
        </w:numPr>
      </w:pPr>
      <w:r>
        <w:t xml:space="preserve">A. Recreational vehicles include trailers, campers, motor homes, boats, pop-up campers, and trailers that transport recreational vehicles such as boats and jet-skis.</w:t>
      </w:r>
    </w:p>
    <w:p>
      <w:pPr>
        <w:numPr>
          <w:ilvl w:val="0"/>
          <w:numId w:val="2656"/>
        </w:numPr>
      </w:pPr>
      <w:r>
        <w:t xml:space="preserve">B. Reserved</w:t>
      </w:r>
    </w:p>
    <w:p>
      <w:pPr>
        <w:numPr>
          <w:ilvl w:val="0"/>
          <w:numId w:val="2657"/>
        </w:numPr>
      </w:pPr>
      <w:r>
        <w:t xml:space="preserve">C. Recreational vehicles may be stored in a residential district either within a fully enclosed structure or within the rear yard. If stored in the rear yard, the recreational vehicle shall be screened from view from any public right-of-way, excluding alleys, by a solid fence or masonry wall. If the recreational vehicle is screened by an existing structure or landscape so that it is not visible from the public right-of-way, excluding alleys, it is considered to have met these requirements. Temporary storage tents for recreational vehicles are prohibited.</w:t>
      </w:r>
    </w:p>
    <w:p>
      <w:pPr>
        <w:numPr>
          <w:ilvl w:val="0"/>
          <w:numId w:val="2658"/>
        </w:numPr>
      </w:pPr>
      <w:r>
        <w:t xml:space="preserve">D. No recreational vehicle may be used for living, sleeping, or housekeeping purposes in any district and may not be hooked up to any public utilities.</w:t>
      </w:r>
    </w:p>
    <w:p>
      <w:pPr>
        <w:numPr>
          <w:ilvl w:val="0"/>
          <w:numId w:val="2659"/>
        </w:numPr>
      </w:pPr>
      <w:r>
        <w:t xml:space="preserve">E. All recreational vehicles shall be maintained in mobile condition. No recreational vehicle may be parked or stored in such manner as to create a dangerous or unsafe condition on the lot where it is parked or stored. If the recreational vehicle is parked or stored, whether loaded or not, so that it may tip or roll, it is considered to be a dangerous and unsafe condition.</w:t>
      </w:r>
    </w:p>
    <w:bookmarkEnd w:id="110"/>
    <w:bookmarkStart w:id="111" w:name="parking-exemptions"/>
    <w:p>
      <w:pPr>
        <w:pStyle w:val="Heading2"/>
      </w:pPr>
      <w:r>
        <w:t xml:space="preserve">§ 1410. PARKING EXEMPTIONS</w:t>
      </w:r>
    </w:p>
    <w:p>
      <w:pPr>
        <w:pStyle w:val="FirstParagraph"/>
      </w:pPr>
      <w:r>
        <w:t xml:space="preserve">1410 PARKING EXEMPTIONS</w:t>
      </w:r>
    </w:p>
    <w:p>
      <w:pPr>
        <w:numPr>
          <w:ilvl w:val="0"/>
          <w:numId w:val="2660"/>
        </w:numPr>
      </w:pPr>
      <w:r>
        <w:t xml:space="preserve">A. Applicability When a use is exempt from vehicle parking requirements by this Article, bicycle parking is required unless bicycle parking is specifically exempted as well. If a use that is exempt from vehicle parking voluntarily provides parking, bicycle parking, as required by this Article, is required.</w:t>
      </w:r>
    </w:p>
    <w:p>
      <w:pPr>
        <w:numPr>
          <w:ilvl w:val="0"/>
          <w:numId w:val="2661"/>
        </w:numPr>
      </w:pPr>
      <w:r>
        <w:t xml:space="preserve">B. Exemptions from Parking Requirements 1. The D-1 District is exempt from all off-street vehicle and bicycle parking requirements.</w:t>
      </w:r>
    </w:p>
    <w:p>
      <w:pPr>
        <w:numPr>
          <w:ilvl w:val="0"/>
          <w:numId w:val="2662"/>
        </w:numPr>
      </w:pPr>
      <w:r>
        <w:t xml:space="preserve">2. Specific parking exemptions may apply to the TOD Overlay District in Section 1105.</w:t>
      </w:r>
    </w:p>
    <w:p>
      <w:pPr>
        <w:numPr>
          <w:ilvl w:val="0"/>
          <w:numId w:val="2663"/>
        </w:numPr>
      </w:pPr>
      <w:r>
        <w:t xml:space="preserve">3. The use “neighborhood commercial establishment” is exempt from all off-street vehicle and bicycle parking requirements.</w:t>
      </w:r>
    </w:p>
    <w:p>
      <w:pPr>
        <w:numPr>
          <w:ilvl w:val="0"/>
          <w:numId w:val="2664"/>
        </w:numPr>
      </w:pPr>
      <w:r>
        <w:t xml:space="preserve">4. Where topographic conditions or excessive grades do not allow for vehicle access on a lot with a single-family use, the lot is exempt from off-street vehicle parking requirement.</w:t>
      </w:r>
    </w:p>
    <w:p>
      <w:pPr>
        <w:numPr>
          <w:ilvl w:val="0"/>
          <w:numId w:val="2665"/>
        </w:numPr>
      </w:pPr>
      <w:r>
        <w:t xml:space="preserve">5. The first 2,500 square feet of gross floor area for non-residential uses in the R-P, C-2, and C-3 Districts are exempt from all off-street vehicle and bicycle parking requirements.</w:t>
      </w:r>
    </w:p>
    <w:p>
      <w:pPr>
        <w:numPr>
          <w:ilvl w:val="0"/>
          <w:numId w:val="2666"/>
        </w:numPr>
      </w:pPr>
      <w:r>
        <w:t xml:space="preserve">6. In the M-MU-90 Sub-District of the M-MU District, parking requirements may be reduced by 50% of that required.</w:t>
      </w:r>
    </w:p>
    <w:p>
      <w:pPr>
        <w:numPr>
          <w:ilvl w:val="0"/>
          <w:numId w:val="2667"/>
        </w:numPr>
      </w:pPr>
      <w:r>
        <w:t xml:space="preserve">7. In the R-4 and C-2 districts, all lots of 10,000 square feet or less are exempt from parking requirements.</w:t>
      </w:r>
    </w:p>
    <w:p>
      <w:pPr>
        <w:numPr>
          <w:ilvl w:val="0"/>
          <w:numId w:val="2668"/>
        </w:numPr>
      </w:pPr>
      <w:r>
        <w:t xml:space="preserve">8. Existing structures as of the effective date of this Ordinance that currently do not provide any parking due to lack of sufficient space on the lot to accommodate parking are exempt from all offstreet vehicle and bicycle parking requirements regardless of any change in intensity or use, subject to review and approval by the Director of the Department of Inspection and Standards. The Director of the Department of Inspection and Standards may require the property owner to provide evidence that the structure has not historically provided parking. Once the principal building is demolished, this exemption is not longer valid. In addition, if the lot area is expanded (e.g., the adjoining lot is purchased), this exemption is not longer valid.</w:t>
      </w:r>
    </w:p>
    <w:p>
      <w:pPr>
        <w:numPr>
          <w:ilvl w:val="0"/>
          <w:numId w:val="2669"/>
        </w:numPr>
      </w:pPr>
      <w:r>
        <w:t xml:space="preserve">9. Accessory dwelling units.</w:t>
      </w:r>
    </w:p>
    <w:p>
      <w:pPr>
        <w:pStyle w:val="Compact"/>
        <w:numPr>
          <w:ilvl w:val="0"/>
          <w:numId w:val="2670"/>
        </w:numPr>
      </w:pPr>
    </w:p>
    <w:p>
      <w:pPr>
        <w:numPr>
          <w:ilvl w:val="1"/>
          <w:numId w:val="2671"/>
        </w:numPr>
      </w:pPr>
      <w:r>
        <w:t xml:space="preserve">C. Exemption for Approved Parking Management Plan</w:t>
      </w:r>
    </w:p>
    <w:p>
      <w:pPr>
        <w:numPr>
          <w:ilvl w:val="1"/>
          <w:numId w:val="1000"/>
        </w:numPr>
      </w:pPr>
      <w:r>
        <w:t xml:space="preserve">1. For health care institutions and educational facilities - universities and colleges, exemptions to required off-street parking requirements may be granted based on submittal and approval of a parking management plan, which is approved by the City Plan Commission. Exemptions may be granted for the implementation and demonstrated effectiveness of parking and transportation alternatives that provide students, employees, and/or visitors with mobility options designed to reduce demand for parking and relieve congestion on adjacent streets.</w:t>
      </w:r>
    </w:p>
    <w:p>
      <w:pPr>
        <w:numPr>
          <w:ilvl w:val="0"/>
          <w:numId w:val="2672"/>
        </w:numPr>
      </w:pPr>
      <w:r>
        <w:t xml:space="preserve">2. When a healthcare institution or university of college educational facility has a noncontiguous campus, parking may be supplied on one part of the campus to meet the parking needs of the other noncontiguous part of the campus provided that a shuttle service is supplied by the institution to move students and staff between the non-contiguous campuses. This provision is applicable only if an institutional master plan, which includes a parking/shuttle plan, has been submitted and approved in accordance with the provisions of this Ordinance.</w:t>
      </w:r>
    </w:p>
    <w:p>
      <w:pPr>
        <w:numPr>
          <w:ilvl w:val="0"/>
          <w:numId w:val="2673"/>
        </w:numPr>
      </w:pPr>
      <w:r>
        <w:t xml:space="preserve">3. Reductions in parking requirements will be evaluated on a case-by-case basis, with a potential reduction of up to 30% when it is clear that the parking and transportation alternative(s) will result in a corresponding reduction in parking demand. This reduction does not include any grandfathered shortfall.</w:t>
      </w:r>
    </w:p>
    <w:p>
      <w:pPr>
        <w:numPr>
          <w:ilvl w:val="0"/>
          <w:numId w:val="2674"/>
        </w:numPr>
      </w:pPr>
      <w:r>
        <w:t xml:space="preserve">4. A campus-wide parking management plan shall be submitted as part of the Institutional Master Plan, and shall include the following information: a. The number, size, location, access, and general operation and management of all required and proposed on-site and off-site parking and loading spaces.</w:t>
      </w:r>
    </w:p>
    <w:p>
      <w:pPr>
        <w:pStyle w:val="Compact"/>
        <w:numPr>
          <w:ilvl w:val="0"/>
          <w:numId w:val="2675"/>
        </w:numPr>
      </w:pPr>
    </w:p>
    <w:p>
      <w:pPr>
        <w:numPr>
          <w:ilvl w:val="1"/>
          <w:numId w:val="2676"/>
        </w:numPr>
      </w:pPr>
      <w:r>
        <w:t xml:space="preserve">b. Traffic demand management strategies including, but not limited to: i. Available public transportation options.</w:t>
      </w:r>
    </w:p>
    <w:p>
      <w:pPr>
        <w:pStyle w:val="Compact"/>
        <w:numPr>
          <w:ilvl w:val="0"/>
          <w:numId w:val="2677"/>
        </w:numPr>
      </w:pPr>
    </w:p>
    <w:p>
      <w:pPr>
        <w:numPr>
          <w:ilvl w:val="1"/>
          <w:numId w:val="2678"/>
        </w:numPr>
      </w:pPr>
      <w:r>
        <w:t xml:space="preserve">ii. Existing and proposed shuttle services.</w:t>
      </w:r>
    </w:p>
    <w:p>
      <w:pPr>
        <w:pStyle w:val="Compact"/>
        <w:numPr>
          <w:ilvl w:val="0"/>
          <w:numId w:val="2679"/>
        </w:numPr>
      </w:pPr>
    </w:p>
    <w:p>
      <w:pPr>
        <w:numPr>
          <w:ilvl w:val="1"/>
          <w:numId w:val="2680"/>
        </w:numPr>
      </w:pPr>
      <w:r>
        <w:t xml:space="preserve">iii. Bicycle parking.</w:t>
      </w:r>
    </w:p>
    <w:p>
      <w:pPr>
        <w:pStyle w:val="Compact"/>
        <w:numPr>
          <w:ilvl w:val="0"/>
          <w:numId w:val="2681"/>
        </w:numPr>
      </w:pPr>
    </w:p>
    <w:p>
      <w:pPr>
        <w:numPr>
          <w:ilvl w:val="1"/>
          <w:numId w:val="2682"/>
        </w:numPr>
      </w:pPr>
      <w:r>
        <w:t xml:space="preserve">iv. Facility design, operation, shared vehicle, and/or parking strategies.</w:t>
      </w:r>
    </w:p>
    <w:p>
      <w:pPr>
        <w:pStyle w:val="Compact"/>
        <w:numPr>
          <w:ilvl w:val="0"/>
          <w:numId w:val="2683"/>
        </w:numPr>
      </w:pPr>
    </w:p>
    <w:p>
      <w:pPr>
        <w:numPr>
          <w:ilvl w:val="1"/>
          <w:numId w:val="2684"/>
        </w:numPr>
      </w:pPr>
      <w:r>
        <w:t xml:space="preserve">v. Enforcement and controls.</w:t>
      </w:r>
    </w:p>
    <w:p>
      <w:pPr>
        <w:pStyle w:val="Compact"/>
        <w:numPr>
          <w:ilvl w:val="0"/>
          <w:numId w:val="2685"/>
        </w:numPr>
      </w:pPr>
    </w:p>
    <w:p>
      <w:pPr>
        <w:numPr>
          <w:ilvl w:val="1"/>
          <w:numId w:val="2686"/>
        </w:numPr>
      </w:pPr>
      <w:r>
        <w:t xml:space="preserve">vi. Overflow management strategies.</w:t>
      </w:r>
    </w:p>
    <w:p>
      <w:pPr>
        <w:pStyle w:val="Compact"/>
        <w:numPr>
          <w:ilvl w:val="0"/>
          <w:numId w:val="2687"/>
        </w:numPr>
      </w:pPr>
    </w:p>
    <w:p>
      <w:pPr>
        <w:numPr>
          <w:ilvl w:val="1"/>
          <w:numId w:val="2688"/>
        </w:numPr>
      </w:pPr>
      <w:r>
        <w:t xml:space="preserve">c. A parking and trip demand analysis prepared by a certified traffic engineer.</w:t>
      </w:r>
    </w:p>
    <w:bookmarkEnd w:id="111"/>
    <w:bookmarkStart w:id="112" w:name="shared-parking"/>
    <w:p>
      <w:pPr>
        <w:pStyle w:val="Heading2"/>
      </w:pPr>
      <w:r>
        <w:t xml:space="preserve">§ 1411. SHARED PARKING</w:t>
      </w:r>
    </w:p>
    <w:p>
      <w:pPr>
        <w:pStyle w:val="FirstParagraph"/>
      </w:pPr>
      <w:r>
        <w:t xml:space="preserve">1411 SHARED PARKING</w:t>
      </w:r>
    </w:p>
    <w:p>
      <w:pPr>
        <w:numPr>
          <w:ilvl w:val="0"/>
          <w:numId w:val="2689"/>
        </w:numPr>
      </w:pPr>
      <w:r>
        <w:t xml:space="preserve">A. Off-street parking spaces for separate uses may be provided collectively if the aggregate number of spaces provided is not less than the sum of the spaces required in Table 14-3: Shared Parking Calculation. Multi-tenant retail centers are not eligible for shared parking. Mixed-use developments, multi-use office parks, and similar types of development, and property owners that establish crossaccess easements are all eligible for shared parking.</w:t>
      </w:r>
    </w:p>
    <w:p>
      <w:pPr>
        <w:numPr>
          <w:ilvl w:val="0"/>
          <w:numId w:val="2690"/>
        </w:numPr>
      </w:pPr>
      <w:r>
        <w:t xml:space="preserve">B. Table 14-3 is applied in the following manner:</w:t>
      </w:r>
    </w:p>
    <w:p>
      <w:pPr>
        <w:numPr>
          <w:ilvl w:val="0"/>
          <w:numId w:val="2691"/>
        </w:numPr>
      </w:pPr>
      <w:r>
        <w:t xml:space="preserve">1. The required number of spaces for each use is calculated according to Table 14-1.</w:t>
      </w:r>
    </w:p>
    <w:p>
      <w:pPr>
        <w:numPr>
          <w:ilvl w:val="0"/>
          <w:numId w:val="2692"/>
        </w:numPr>
      </w:pPr>
      <w:r>
        <w:t xml:space="preserve">2. The required number of spaces for each use is then applied to the percentages for each timeframe according to the appropriate land use category in Table 14-3 to determine the number of required spaces. This is done for each timeframe category.</w:t>
      </w:r>
    </w:p>
    <w:p>
      <w:pPr>
        <w:numPr>
          <w:ilvl w:val="0"/>
          <w:numId w:val="2693"/>
        </w:numPr>
      </w:pPr>
      <w:r>
        <w:t xml:space="preserve">3. The numbers are summed for within each timeframe and the highest sum total in a timeframe is the required number of spaces. TABLE 14-3: SHARED PARKING CALCULATION Weekday Weekend LAND USE Mid-9am 9am-5pm 5pm-Mid Mid-9am 9am-5pm 5pm-Mid Residential 100% 75% 100% 100% 100% 75% Commercial 0% 100% 80% 0% 100% 60% Restaurant 50% 70% 100% 45% 70% 100% Hotel/Motel 100% 50% 90% 100% 65% 80% Office 5% 100% 5% 0% 40% 10% Industrial 5% 100% 5% 0% 60% 10%</w:t>
      </w:r>
    </w:p>
    <w:p>
      <w:pPr>
        <w:pStyle w:val="Compact"/>
        <w:numPr>
          <w:ilvl w:val="0"/>
          <w:numId w:val="2694"/>
        </w:numPr>
      </w:pPr>
    </w:p>
    <w:p>
      <w:pPr>
        <w:numPr>
          <w:ilvl w:val="1"/>
          <w:numId w:val="2695"/>
        </w:numPr>
      </w:pPr>
      <w:r>
        <w:t xml:space="preserve">C. Shared parking may be located off-site so long as it complies with the location requirements of Section 1404.</w:t>
      </w:r>
    </w:p>
    <w:p>
      <w:pPr>
        <w:pStyle w:val="Compact"/>
        <w:numPr>
          <w:ilvl w:val="0"/>
          <w:numId w:val="2696"/>
        </w:numPr>
      </w:pPr>
    </w:p>
    <w:p>
      <w:pPr>
        <w:numPr>
          <w:ilvl w:val="1"/>
          <w:numId w:val="2697"/>
        </w:numPr>
      </w:pPr>
      <w:r>
        <w:t xml:space="preserve">D. The following is a sample calculation of how this provision is applied: SAMPLE CALCULATION Example: multi-use office park with the following uses within the development; based on current parking requirements, the number of required spaces is:</w:t>
      </w:r>
    </w:p>
    <w:tbl>
      <w:tblPr>
        <w:tblStyle w:val="Table"/>
        <w:tblW w:type="auto" w:w="0"/>
        <w:jc w:val="left"/>
        <w:tblLook w:firstRow="1" w:lastRow="0" w:firstColumn="0" w:lastColumn="0" w:noHBand="0" w:noVBand="0" w:val="0020"/>
      </w:tblPr>
      <w:tblGrid>
        <w:gridCol w:w="528"/>
        <w:gridCol w:w="528"/>
        <w:gridCol w:w="528"/>
        <w:gridCol w:w="528"/>
        <w:gridCol w:w="528"/>
        <w:gridCol w:w="528"/>
        <w:gridCol w:w="528"/>
        <w:gridCol w:w="528"/>
        <w:gridCol w:w="528"/>
        <w:gridCol w:w="528"/>
        <w:gridCol w:w="528"/>
        <w:gridCol w:w="528"/>
        <w:gridCol w:w="528"/>
        <w:gridCol w:w="528"/>
        <w:gridCol w:w="528"/>
      </w:tblGrid>
      <w:tr>
        <w:trPr>
          <w:tblHeader w:val="on"/>
        </w:trPr>
        <w:tc>
          <w:tcPr/>
          <w:p>
            <w:pPr>
              <w:pStyle w:val="Compact"/>
            </w:pPr>
          </w:p>
        </w:tc>
        <w:tc>
          <w:tcPr/>
          <w:p>
            <w:pPr>
              <w:pStyle w:val="Compact"/>
            </w:pPr>
          </w:p>
        </w:tc>
        <w:tc>
          <w:tcPr/>
          <w:p>
            <w:pPr>
              <w:pStyle w:val="Compact"/>
            </w:pPr>
          </w:p>
        </w:tc>
        <w:tc>
          <w:tcPr/>
          <w:p>
            <w:pPr>
              <w:pStyle w:val="Compact"/>
              <w:jc w:val="left"/>
            </w:pPr>
            <w:r>
              <w:t xml:space="preserve">TABLE 14-3:</w:t>
            </w:r>
          </w:p>
        </w:tc>
        <w:tc>
          <w:tcPr/>
          <w:p>
            <w:pPr>
              <w:pStyle w:val="Compact"/>
              <w:jc w:val="left"/>
            </w:pPr>
            <w:r>
              <w:t xml:space="preserve">SHARED</w:t>
            </w:r>
          </w:p>
        </w:tc>
        <w:tc>
          <w:tcPr/>
          <w:p>
            <w:pPr>
              <w:pStyle w:val="Compact"/>
              <w:jc w:val="left"/>
            </w:pPr>
            <w:r>
              <w:t xml:space="preserve">PARKING</w:t>
            </w:r>
          </w:p>
        </w:tc>
        <w:tc>
          <w:tcPr/>
          <w:p>
            <w:pPr>
              <w:pStyle w:val="Compact"/>
            </w:pPr>
          </w:p>
        </w:tc>
        <w:tc>
          <w:tcPr/>
          <w:p>
            <w:pPr>
              <w:pStyle w:val="Compact"/>
            </w:pPr>
          </w:p>
        </w:tc>
        <w:tc>
          <w:tcPr/>
          <w:p>
            <w:pPr>
              <w:pStyle w:val="Compact"/>
              <w:jc w:val="left"/>
            </w:pPr>
            <w:r>
              <w:t xml:space="preserve">CALCULATION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Weekday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Weekend</w:t>
            </w:r>
          </w:p>
        </w:tc>
        <w:tc>
          <w:tcPr/>
          <w:p>
            <w:pPr>
              <w:pStyle w:val="Compact"/>
            </w:pPr>
          </w:p>
        </w:tc>
        <w:tc>
          <w:tcPr/>
          <w:p>
            <w:pPr>
              <w:pStyle w:val="Compact"/>
            </w:pPr>
          </w:p>
        </w:tc>
        <w:tc>
          <w:tcPr/>
          <w:p>
            <w:pPr>
              <w:pStyle w:val="Compact"/>
            </w:pPr>
          </w:p>
        </w:tc>
      </w:tr>
      <w:tr>
        <w:tc>
          <w:tcPr/>
          <w:p>
            <w:pPr>
              <w:pStyle w:val="Compact"/>
              <w:jc w:val="left"/>
            </w:pPr>
            <w:r>
              <w:t xml:space="preserve">LAND</w:t>
            </w:r>
          </w:p>
        </w:tc>
        <w:tc>
          <w:tcPr/>
          <w:p>
            <w:pPr>
              <w:pStyle w:val="Compact"/>
              <w:jc w:val="left"/>
            </w:pPr>
            <w:r>
              <w:t xml:space="preserve">USE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Mid-9am</w:t>
            </w:r>
          </w:p>
        </w:tc>
        <w:tc>
          <w:tcPr/>
          <w:p>
            <w:pPr>
              <w:pStyle w:val="Compact"/>
            </w:pPr>
          </w:p>
        </w:tc>
        <w:tc>
          <w:tcPr/>
          <w:p>
            <w:pPr>
              <w:pStyle w:val="Compact"/>
              <w:jc w:val="left"/>
            </w:pPr>
            <w:r>
              <w:t xml:space="preserve">9am-5pm</w:t>
            </w:r>
          </w:p>
        </w:tc>
        <w:tc>
          <w:tcPr/>
          <w:p>
            <w:pPr>
              <w:pStyle w:val="Compact"/>
            </w:pPr>
          </w:p>
        </w:tc>
        <w:tc>
          <w:tcPr/>
          <w:p>
            <w:pPr>
              <w:pStyle w:val="Compact"/>
            </w:pPr>
          </w:p>
        </w:tc>
        <w:tc>
          <w:tcPr/>
          <w:p>
            <w:pPr>
              <w:pStyle w:val="Compact"/>
              <w:jc w:val="left"/>
            </w:pPr>
            <w:r>
              <w:t xml:space="preserve">5pm-Mid</w:t>
            </w:r>
          </w:p>
        </w:tc>
        <w:tc>
          <w:tcPr/>
          <w:p>
            <w:pPr>
              <w:pStyle w:val="Compact"/>
              <w:jc w:val="left"/>
            </w:pPr>
            <w:r>
              <w:t xml:space="preserve">Mid-9am</w:t>
            </w:r>
          </w:p>
        </w:tc>
        <w:tc>
          <w:tcPr/>
          <w:p>
            <w:pPr>
              <w:pStyle w:val="Compact"/>
            </w:pPr>
          </w:p>
        </w:tc>
        <w:tc>
          <w:tcPr/>
          <w:p>
            <w:pPr>
              <w:pStyle w:val="Compact"/>
              <w:jc w:val="left"/>
            </w:pPr>
            <w:r>
              <w:t xml:space="preserve">9am-5pm</w:t>
            </w:r>
          </w:p>
        </w:tc>
        <w:tc>
          <w:tcPr/>
          <w:p>
            <w:pPr>
              <w:pStyle w:val="Compact"/>
            </w:pPr>
          </w:p>
        </w:tc>
        <w:tc>
          <w:tcPr/>
          <w:p>
            <w:pPr>
              <w:pStyle w:val="Compact"/>
              <w:jc w:val="left"/>
            </w:pPr>
            <w:r>
              <w:t xml:space="preserve">5pm-Mid</w:t>
            </w:r>
          </w:p>
        </w:tc>
        <w:tc>
          <w:tcPr/>
          <w:p>
            <w:pPr>
              <w:pStyle w:val="Compact"/>
            </w:pPr>
          </w:p>
        </w:tc>
      </w:tr>
      <w:tr>
        <w:tc>
          <w:tcPr/>
          <w:p>
            <w:pPr>
              <w:pStyle w:val="Compact"/>
              <w:jc w:val="left"/>
            </w:pPr>
            <w:r>
              <w:t xml:space="preserve">Residential</w:t>
            </w:r>
          </w:p>
        </w:tc>
        <w:tc>
          <w:tcPr/>
          <w:p>
            <w:pPr>
              <w:pStyle w:val="Compact"/>
            </w:pPr>
          </w:p>
        </w:tc>
        <w:tc>
          <w:tcPr/>
          <w:p>
            <w:pPr>
              <w:pStyle w:val="Compact"/>
            </w:pPr>
          </w:p>
        </w:tc>
        <w:tc>
          <w:tcPr/>
          <w:p>
            <w:pPr>
              <w:pStyle w:val="Compact"/>
              <w:jc w:val="left"/>
            </w:pPr>
            <w:r>
              <w:t xml:space="preserve">100%</w:t>
            </w:r>
          </w:p>
        </w:tc>
        <w:tc>
          <w:tcPr/>
          <w:p>
            <w:pPr>
              <w:pStyle w:val="Compact"/>
            </w:pPr>
          </w:p>
        </w:tc>
        <w:tc>
          <w:tcPr/>
          <w:p>
            <w:pPr>
              <w:pStyle w:val="Compact"/>
              <w:jc w:val="left"/>
            </w:pPr>
            <w:r>
              <w:t xml:space="preserve">75%</w:t>
            </w:r>
          </w:p>
        </w:tc>
        <w:tc>
          <w:tcPr/>
          <w:p>
            <w:pPr>
              <w:pStyle w:val="Compact"/>
            </w:pPr>
          </w:p>
        </w:tc>
        <w:tc>
          <w:tcPr/>
          <w:p>
            <w:pPr>
              <w:pStyle w:val="Compact"/>
            </w:pPr>
          </w:p>
        </w:tc>
        <w:tc>
          <w:tcPr/>
          <w:p>
            <w:pPr>
              <w:pStyle w:val="Compact"/>
              <w:jc w:val="left"/>
            </w:pPr>
            <w:r>
              <w:t xml:space="preserve">100%</w:t>
            </w:r>
          </w:p>
        </w:tc>
        <w:tc>
          <w:tcPr/>
          <w:p>
            <w:pPr>
              <w:pStyle w:val="Compact"/>
              <w:jc w:val="left"/>
            </w:pPr>
            <w:r>
              <w:t xml:space="preserve">100%</w:t>
            </w:r>
          </w:p>
        </w:tc>
        <w:tc>
          <w:tcPr/>
          <w:p>
            <w:pPr>
              <w:pStyle w:val="Compact"/>
            </w:pPr>
          </w:p>
        </w:tc>
        <w:tc>
          <w:tcPr/>
          <w:p>
            <w:pPr>
              <w:pStyle w:val="Compact"/>
              <w:jc w:val="left"/>
            </w:pPr>
            <w:r>
              <w:t xml:space="preserve">100%</w:t>
            </w:r>
          </w:p>
        </w:tc>
        <w:tc>
          <w:tcPr/>
          <w:p>
            <w:pPr>
              <w:pStyle w:val="Compact"/>
            </w:pPr>
          </w:p>
        </w:tc>
        <w:tc>
          <w:tcPr/>
          <w:p>
            <w:pPr>
              <w:pStyle w:val="Compact"/>
              <w:jc w:val="left"/>
            </w:pPr>
            <w:r>
              <w:t xml:space="preserve">75%</w:t>
            </w:r>
          </w:p>
        </w:tc>
        <w:tc>
          <w:tcPr/>
          <w:p>
            <w:pPr>
              <w:pStyle w:val="Compact"/>
            </w:pPr>
          </w:p>
        </w:tc>
      </w:tr>
      <w:tr>
        <w:tc>
          <w:tcPr/>
          <w:p>
            <w:pPr>
              <w:pStyle w:val="Compact"/>
              <w:jc w:val="left"/>
            </w:pPr>
            <w:r>
              <w:t xml:space="preserve">Commercial</w:t>
            </w:r>
          </w:p>
        </w:tc>
        <w:tc>
          <w:tcPr/>
          <w:p>
            <w:pPr>
              <w:pStyle w:val="Compact"/>
            </w:pPr>
          </w:p>
        </w:tc>
        <w:tc>
          <w:tcPr/>
          <w:p>
            <w:pPr>
              <w:pStyle w:val="Compact"/>
            </w:pPr>
          </w:p>
        </w:tc>
        <w:tc>
          <w:tcPr/>
          <w:p>
            <w:pPr>
              <w:pStyle w:val="Compact"/>
              <w:jc w:val="left"/>
            </w:pPr>
            <w:r>
              <w:t xml:space="preserve">0%</w:t>
            </w:r>
          </w:p>
        </w:tc>
        <w:tc>
          <w:tcPr/>
          <w:p>
            <w:pPr>
              <w:pStyle w:val="Compact"/>
            </w:pPr>
          </w:p>
        </w:tc>
        <w:tc>
          <w:tcPr/>
          <w:p>
            <w:pPr>
              <w:pStyle w:val="Compact"/>
              <w:jc w:val="left"/>
            </w:pPr>
            <w:r>
              <w:t xml:space="preserve">100%</w:t>
            </w:r>
          </w:p>
        </w:tc>
        <w:tc>
          <w:tcPr/>
          <w:p>
            <w:pPr>
              <w:pStyle w:val="Compact"/>
            </w:pPr>
          </w:p>
        </w:tc>
        <w:tc>
          <w:tcPr/>
          <w:p>
            <w:pPr>
              <w:pStyle w:val="Compact"/>
            </w:pPr>
          </w:p>
        </w:tc>
        <w:tc>
          <w:tcPr/>
          <w:p>
            <w:pPr>
              <w:pStyle w:val="Compact"/>
              <w:jc w:val="left"/>
            </w:pPr>
            <w:r>
              <w:t xml:space="preserve">80%</w:t>
            </w:r>
          </w:p>
        </w:tc>
        <w:tc>
          <w:tcPr/>
          <w:p>
            <w:pPr>
              <w:pStyle w:val="Compact"/>
              <w:jc w:val="left"/>
            </w:pPr>
            <w:r>
              <w:t xml:space="preserve">0%</w:t>
            </w:r>
          </w:p>
        </w:tc>
        <w:tc>
          <w:tcPr/>
          <w:p>
            <w:pPr>
              <w:pStyle w:val="Compact"/>
            </w:pPr>
          </w:p>
        </w:tc>
        <w:tc>
          <w:tcPr/>
          <w:p>
            <w:pPr>
              <w:pStyle w:val="Compact"/>
              <w:jc w:val="left"/>
            </w:pPr>
            <w:r>
              <w:t xml:space="preserve">100%</w:t>
            </w:r>
          </w:p>
        </w:tc>
        <w:tc>
          <w:tcPr/>
          <w:p>
            <w:pPr>
              <w:pStyle w:val="Compact"/>
            </w:pPr>
          </w:p>
        </w:tc>
        <w:tc>
          <w:tcPr/>
          <w:p>
            <w:pPr>
              <w:pStyle w:val="Compact"/>
              <w:jc w:val="left"/>
            </w:pPr>
            <w:r>
              <w:t xml:space="preserve">60%</w:t>
            </w:r>
          </w:p>
        </w:tc>
        <w:tc>
          <w:tcPr/>
          <w:p>
            <w:pPr>
              <w:pStyle w:val="Compact"/>
            </w:pPr>
          </w:p>
        </w:tc>
      </w:tr>
      <w:tr>
        <w:tc>
          <w:tcPr/>
          <w:p>
            <w:pPr>
              <w:pStyle w:val="Compact"/>
              <w:jc w:val="left"/>
            </w:pPr>
            <w:r>
              <w:t xml:space="preserve">Restaurant</w:t>
            </w:r>
          </w:p>
        </w:tc>
        <w:tc>
          <w:tcPr/>
          <w:p>
            <w:pPr>
              <w:pStyle w:val="Compact"/>
            </w:pPr>
          </w:p>
        </w:tc>
        <w:tc>
          <w:tcPr/>
          <w:p>
            <w:pPr>
              <w:pStyle w:val="Compact"/>
            </w:pPr>
          </w:p>
        </w:tc>
        <w:tc>
          <w:tcPr/>
          <w:p>
            <w:pPr>
              <w:pStyle w:val="Compact"/>
              <w:jc w:val="left"/>
            </w:pPr>
            <w:r>
              <w:t xml:space="preserve">50%</w:t>
            </w:r>
          </w:p>
        </w:tc>
        <w:tc>
          <w:tcPr/>
          <w:p>
            <w:pPr>
              <w:pStyle w:val="Compact"/>
            </w:pPr>
          </w:p>
        </w:tc>
        <w:tc>
          <w:tcPr/>
          <w:p>
            <w:pPr>
              <w:pStyle w:val="Compact"/>
              <w:jc w:val="left"/>
            </w:pPr>
            <w:r>
              <w:t xml:space="preserve">70%</w:t>
            </w:r>
          </w:p>
        </w:tc>
        <w:tc>
          <w:tcPr/>
          <w:p>
            <w:pPr>
              <w:pStyle w:val="Compact"/>
            </w:pPr>
          </w:p>
        </w:tc>
        <w:tc>
          <w:tcPr/>
          <w:p>
            <w:pPr>
              <w:pStyle w:val="Compact"/>
            </w:pPr>
          </w:p>
        </w:tc>
        <w:tc>
          <w:tcPr/>
          <w:p>
            <w:pPr>
              <w:pStyle w:val="Compact"/>
              <w:jc w:val="left"/>
            </w:pPr>
            <w:r>
              <w:t xml:space="preserve">100%</w:t>
            </w:r>
          </w:p>
        </w:tc>
        <w:tc>
          <w:tcPr/>
          <w:p>
            <w:pPr>
              <w:pStyle w:val="Compact"/>
              <w:jc w:val="left"/>
            </w:pPr>
            <w:r>
              <w:t xml:space="preserve">45%</w:t>
            </w:r>
          </w:p>
        </w:tc>
        <w:tc>
          <w:tcPr/>
          <w:p>
            <w:pPr>
              <w:pStyle w:val="Compact"/>
            </w:pPr>
          </w:p>
        </w:tc>
        <w:tc>
          <w:tcPr/>
          <w:p>
            <w:pPr>
              <w:pStyle w:val="Compact"/>
              <w:jc w:val="left"/>
            </w:pPr>
            <w:r>
              <w:t xml:space="preserve">70%</w:t>
            </w:r>
          </w:p>
        </w:tc>
        <w:tc>
          <w:tcPr/>
          <w:p>
            <w:pPr>
              <w:pStyle w:val="Compact"/>
            </w:pPr>
          </w:p>
        </w:tc>
        <w:tc>
          <w:tcPr/>
          <w:p>
            <w:pPr>
              <w:pStyle w:val="Compact"/>
              <w:jc w:val="left"/>
            </w:pPr>
            <w:r>
              <w:t xml:space="preserve">100%</w:t>
            </w:r>
          </w:p>
        </w:tc>
        <w:tc>
          <w:tcPr/>
          <w:p>
            <w:pPr>
              <w:pStyle w:val="Compact"/>
            </w:pPr>
          </w:p>
        </w:tc>
      </w:tr>
      <w:tr>
        <w:tc>
          <w:tcPr/>
          <w:p>
            <w:pPr>
              <w:pStyle w:val="Compact"/>
              <w:jc w:val="left"/>
            </w:pPr>
            <w:r>
              <w:t xml:space="preserve">Hotel/Motel</w:t>
            </w:r>
          </w:p>
        </w:tc>
        <w:tc>
          <w:tcPr/>
          <w:p>
            <w:pPr>
              <w:pStyle w:val="Compact"/>
            </w:pPr>
          </w:p>
        </w:tc>
        <w:tc>
          <w:tcPr/>
          <w:p>
            <w:pPr>
              <w:pStyle w:val="Compact"/>
            </w:pPr>
          </w:p>
        </w:tc>
        <w:tc>
          <w:tcPr/>
          <w:p>
            <w:pPr>
              <w:pStyle w:val="Compact"/>
              <w:jc w:val="left"/>
            </w:pPr>
            <w:r>
              <w:t xml:space="preserve">100%</w:t>
            </w:r>
          </w:p>
        </w:tc>
        <w:tc>
          <w:tcPr/>
          <w:p>
            <w:pPr>
              <w:pStyle w:val="Compact"/>
            </w:pPr>
          </w:p>
        </w:tc>
        <w:tc>
          <w:tcPr/>
          <w:p>
            <w:pPr>
              <w:pStyle w:val="Compact"/>
              <w:jc w:val="left"/>
            </w:pPr>
            <w:r>
              <w:t xml:space="preserve">50%</w:t>
            </w:r>
          </w:p>
        </w:tc>
        <w:tc>
          <w:tcPr/>
          <w:p>
            <w:pPr>
              <w:pStyle w:val="Compact"/>
            </w:pPr>
          </w:p>
        </w:tc>
        <w:tc>
          <w:tcPr/>
          <w:p>
            <w:pPr>
              <w:pStyle w:val="Compact"/>
            </w:pPr>
          </w:p>
        </w:tc>
        <w:tc>
          <w:tcPr/>
          <w:p>
            <w:pPr>
              <w:pStyle w:val="Compact"/>
              <w:jc w:val="left"/>
            </w:pPr>
            <w:r>
              <w:t xml:space="preserve">90%</w:t>
            </w:r>
          </w:p>
        </w:tc>
        <w:tc>
          <w:tcPr/>
          <w:p>
            <w:pPr>
              <w:pStyle w:val="Compact"/>
              <w:jc w:val="left"/>
            </w:pPr>
            <w:r>
              <w:t xml:space="preserve">100%</w:t>
            </w:r>
          </w:p>
        </w:tc>
        <w:tc>
          <w:tcPr/>
          <w:p>
            <w:pPr>
              <w:pStyle w:val="Compact"/>
            </w:pPr>
          </w:p>
        </w:tc>
        <w:tc>
          <w:tcPr/>
          <w:p>
            <w:pPr>
              <w:pStyle w:val="Compact"/>
              <w:jc w:val="left"/>
            </w:pPr>
            <w:r>
              <w:t xml:space="preserve">65%</w:t>
            </w:r>
          </w:p>
        </w:tc>
        <w:tc>
          <w:tcPr/>
          <w:p>
            <w:pPr>
              <w:pStyle w:val="Compact"/>
            </w:pPr>
          </w:p>
        </w:tc>
        <w:tc>
          <w:tcPr/>
          <w:p>
            <w:pPr>
              <w:pStyle w:val="Compact"/>
              <w:jc w:val="left"/>
            </w:pPr>
            <w:r>
              <w:t xml:space="preserve">80%</w:t>
            </w:r>
          </w:p>
        </w:tc>
        <w:tc>
          <w:tcPr/>
          <w:p>
            <w:pPr>
              <w:pStyle w:val="Compact"/>
            </w:pPr>
          </w:p>
        </w:tc>
      </w:tr>
      <w:tr>
        <w:tc>
          <w:tcPr/>
          <w:p>
            <w:pPr>
              <w:pStyle w:val="Compact"/>
              <w:jc w:val="left"/>
            </w:pPr>
            <w:r>
              <w:t xml:space="preserve">Office</w:t>
            </w:r>
          </w:p>
        </w:tc>
        <w:tc>
          <w:tcPr/>
          <w:p>
            <w:pPr>
              <w:pStyle w:val="Compact"/>
            </w:pPr>
          </w:p>
        </w:tc>
        <w:tc>
          <w:tcPr/>
          <w:p>
            <w:pPr>
              <w:pStyle w:val="Compact"/>
            </w:pPr>
          </w:p>
        </w:tc>
        <w:tc>
          <w:tcPr/>
          <w:p>
            <w:pPr>
              <w:pStyle w:val="Compact"/>
              <w:jc w:val="left"/>
            </w:pPr>
            <w:r>
              <w:t xml:space="preserve">5%</w:t>
            </w:r>
          </w:p>
        </w:tc>
        <w:tc>
          <w:tcPr/>
          <w:p>
            <w:pPr>
              <w:pStyle w:val="Compact"/>
            </w:pPr>
          </w:p>
        </w:tc>
        <w:tc>
          <w:tcPr/>
          <w:p>
            <w:pPr>
              <w:pStyle w:val="Compact"/>
              <w:jc w:val="left"/>
            </w:pPr>
            <w:r>
              <w:t xml:space="preserve">100%</w:t>
            </w:r>
          </w:p>
        </w:tc>
        <w:tc>
          <w:tcPr/>
          <w:p>
            <w:pPr>
              <w:pStyle w:val="Compact"/>
            </w:pPr>
          </w:p>
        </w:tc>
        <w:tc>
          <w:tcPr/>
          <w:p>
            <w:pPr>
              <w:pStyle w:val="Compact"/>
            </w:pPr>
          </w:p>
        </w:tc>
        <w:tc>
          <w:tcPr/>
          <w:p>
            <w:pPr>
              <w:pStyle w:val="Compact"/>
              <w:jc w:val="left"/>
            </w:pPr>
            <w:r>
              <w:t xml:space="preserve">5%</w:t>
            </w:r>
          </w:p>
        </w:tc>
        <w:tc>
          <w:tcPr/>
          <w:p>
            <w:pPr>
              <w:pStyle w:val="Compact"/>
              <w:jc w:val="left"/>
            </w:pPr>
            <w:r>
              <w:t xml:space="preserve">0%</w:t>
            </w:r>
          </w:p>
        </w:tc>
        <w:tc>
          <w:tcPr/>
          <w:p>
            <w:pPr>
              <w:pStyle w:val="Compact"/>
            </w:pPr>
          </w:p>
        </w:tc>
        <w:tc>
          <w:tcPr/>
          <w:p>
            <w:pPr>
              <w:pStyle w:val="Compact"/>
              <w:jc w:val="left"/>
            </w:pPr>
            <w:r>
              <w:t xml:space="preserve">40%</w:t>
            </w:r>
          </w:p>
        </w:tc>
        <w:tc>
          <w:tcPr/>
          <w:p>
            <w:pPr>
              <w:pStyle w:val="Compact"/>
            </w:pPr>
          </w:p>
        </w:tc>
        <w:tc>
          <w:tcPr/>
          <w:p>
            <w:pPr>
              <w:pStyle w:val="Compact"/>
              <w:jc w:val="left"/>
            </w:pPr>
            <w:r>
              <w:t xml:space="preserve">10%</w:t>
            </w:r>
          </w:p>
        </w:tc>
        <w:tc>
          <w:tcPr/>
          <w:p>
            <w:pPr>
              <w:pStyle w:val="Compact"/>
            </w:pPr>
          </w:p>
        </w:tc>
      </w:tr>
      <w:tr>
        <w:tc>
          <w:tcPr/>
          <w:p>
            <w:pPr>
              <w:pStyle w:val="Compact"/>
              <w:jc w:val="left"/>
            </w:pPr>
            <w:r>
              <w:t xml:space="preserve">Industrial</w:t>
            </w:r>
          </w:p>
        </w:tc>
        <w:tc>
          <w:tcPr/>
          <w:p>
            <w:pPr>
              <w:pStyle w:val="Compact"/>
            </w:pPr>
          </w:p>
        </w:tc>
        <w:tc>
          <w:tcPr/>
          <w:p>
            <w:pPr>
              <w:pStyle w:val="Compact"/>
            </w:pPr>
          </w:p>
        </w:tc>
        <w:tc>
          <w:tcPr/>
          <w:p>
            <w:pPr>
              <w:pStyle w:val="Compact"/>
              <w:jc w:val="left"/>
            </w:pPr>
            <w:r>
              <w:t xml:space="preserve">5%</w:t>
            </w:r>
          </w:p>
        </w:tc>
        <w:tc>
          <w:tcPr/>
          <w:p>
            <w:pPr>
              <w:pStyle w:val="Compact"/>
            </w:pPr>
          </w:p>
        </w:tc>
        <w:tc>
          <w:tcPr/>
          <w:p>
            <w:pPr>
              <w:pStyle w:val="Compact"/>
              <w:jc w:val="left"/>
            </w:pPr>
            <w:r>
              <w:t xml:space="preserve">100%</w:t>
            </w:r>
          </w:p>
        </w:tc>
        <w:tc>
          <w:tcPr/>
          <w:p>
            <w:pPr>
              <w:pStyle w:val="Compact"/>
            </w:pPr>
          </w:p>
        </w:tc>
        <w:tc>
          <w:tcPr/>
          <w:p>
            <w:pPr>
              <w:pStyle w:val="Compact"/>
            </w:pPr>
          </w:p>
        </w:tc>
        <w:tc>
          <w:tcPr/>
          <w:p>
            <w:pPr>
              <w:pStyle w:val="Compact"/>
              <w:jc w:val="left"/>
            </w:pPr>
            <w:r>
              <w:t xml:space="preserve">5%</w:t>
            </w:r>
          </w:p>
        </w:tc>
        <w:tc>
          <w:tcPr/>
          <w:p>
            <w:pPr>
              <w:pStyle w:val="Compact"/>
              <w:jc w:val="left"/>
            </w:pPr>
            <w:r>
              <w:t xml:space="preserve">0%</w:t>
            </w:r>
          </w:p>
        </w:tc>
        <w:tc>
          <w:tcPr/>
          <w:p>
            <w:pPr>
              <w:pStyle w:val="Compact"/>
            </w:pPr>
          </w:p>
        </w:tc>
        <w:tc>
          <w:tcPr/>
          <w:p>
            <w:pPr>
              <w:pStyle w:val="Compact"/>
              <w:jc w:val="left"/>
            </w:pPr>
            <w:r>
              <w:t xml:space="preserve">60%</w:t>
            </w:r>
          </w:p>
        </w:tc>
        <w:tc>
          <w:tcPr/>
          <w:p>
            <w:pPr>
              <w:pStyle w:val="Compact"/>
            </w:pPr>
          </w:p>
        </w:tc>
        <w:tc>
          <w:tcPr/>
          <w:p>
            <w:pPr>
              <w:pStyle w:val="Compact"/>
              <w:jc w:val="left"/>
            </w:pPr>
            <w:r>
              <w:t xml:space="preserve">10%</w:t>
            </w:r>
          </w:p>
        </w:tc>
        <w:tc>
          <w:tcPr/>
          <w:p>
            <w:pPr>
              <w:pStyle w:val="Compact"/>
            </w:pPr>
          </w:p>
        </w:tc>
      </w:tr>
      <w:tr>
        <w:tc>
          <w:tcPr/>
          <w:p>
            <w:pPr>
              <w:pStyle w:val="Compact"/>
              <w:jc w:val="left"/>
            </w:pPr>
            <w:r>
              <w:t xml:space="preserve">C. 1404. The D.</w:t>
            </w:r>
          </w:p>
        </w:tc>
        <w:tc>
          <w:tcPr/>
          <w:p>
            <w:pPr>
              <w:pStyle w:val="Compact"/>
              <w:jc w:val="left"/>
            </w:pPr>
            <w:r>
              <w:t xml:space="preserve">Shared parking following is a Example: multi-use requirements, the</w:t>
            </w:r>
          </w:p>
        </w:tc>
        <w:tc>
          <w:tcPr/>
          <w:p>
            <w:pPr>
              <w:pStyle w:val="Compact"/>
              <w:jc w:val="left"/>
            </w:pPr>
            <w:r>
              <w:t xml:space="preserve">may be sample office number</w:t>
            </w:r>
          </w:p>
        </w:tc>
        <w:tc>
          <w:tcPr/>
          <w:p>
            <w:pPr>
              <w:pStyle w:val="Compact"/>
              <w:jc w:val="left"/>
            </w:pPr>
            <w:r>
              <w:t xml:space="preserve">located calculation park with of required</w:t>
            </w:r>
          </w:p>
        </w:tc>
        <w:tc>
          <w:tcPr/>
          <w:p>
            <w:pPr>
              <w:pStyle w:val="Compact"/>
              <w:jc w:val="left"/>
            </w:pPr>
            <w:r>
              <w:t xml:space="preserve">off-site so of how SAMPLE the spaces</w:t>
            </w:r>
          </w:p>
        </w:tc>
        <w:tc>
          <w:tcPr/>
          <w:p>
            <w:pPr>
              <w:pStyle w:val="Compact"/>
              <w:jc w:val="left"/>
            </w:pPr>
            <w:r>
              <w:t xml:space="preserve">long as this followingis:</w:t>
            </w:r>
          </w:p>
        </w:tc>
        <w:tc>
          <w:tcPr/>
          <w:p>
            <w:pPr>
              <w:pStyle w:val="Compact"/>
              <w:jc w:val="left"/>
            </w:pPr>
            <w:r>
              <w:t xml:space="preserve">it CALCULATION uses</w:t>
            </w:r>
          </w:p>
        </w:tc>
        <w:tc>
          <w:tcPr/>
          <w:p>
            <w:pPr>
              <w:pStyle w:val="Compact"/>
              <w:jc w:val="left"/>
            </w:pPr>
            <w:r>
              <w:t xml:space="preserve">complies provision within</w:t>
            </w:r>
          </w:p>
        </w:tc>
        <w:tc>
          <w:tcPr/>
          <w:p>
            <w:pPr>
              <w:pStyle w:val="Compact"/>
              <w:jc w:val="left"/>
            </w:pPr>
            <w:r>
              <w:t xml:space="preserve">with is applied: the</w:t>
            </w:r>
          </w:p>
        </w:tc>
        <w:tc>
          <w:tcPr/>
          <w:p>
            <w:pPr>
              <w:pStyle w:val="Compact"/>
              <w:jc w:val="left"/>
            </w:pPr>
            <w:r>
              <w:t xml:space="preserve">the development;</w:t>
            </w:r>
          </w:p>
        </w:tc>
        <w:tc>
          <w:tcPr/>
          <w:p>
            <w:pPr>
              <w:pStyle w:val="Compact"/>
              <w:jc w:val="left"/>
            </w:pPr>
            <w:r>
              <w:t xml:space="preserve">location</w:t>
            </w:r>
          </w:p>
        </w:tc>
        <w:tc>
          <w:tcPr/>
          <w:p>
            <w:pPr>
              <w:pStyle w:val="Compact"/>
              <w:jc w:val="left"/>
            </w:pPr>
            <w:r>
              <w:t xml:space="preserve">requirements based on</w:t>
            </w:r>
          </w:p>
        </w:tc>
        <w:tc>
          <w:tcPr/>
          <w:p>
            <w:pPr>
              <w:pStyle w:val="Compact"/>
              <w:jc w:val="left"/>
            </w:pPr>
            <w:r>
              <w:t xml:space="preserve">of current</w:t>
            </w:r>
          </w:p>
        </w:tc>
        <w:tc>
          <w:tcPr/>
          <w:p>
            <w:pPr>
              <w:pStyle w:val="Compact"/>
              <w:jc w:val="left"/>
            </w:pPr>
            <w:r>
              <w:t xml:space="preserve">Section parking</w:t>
            </w:r>
          </w:p>
        </w:tc>
        <w:tc>
          <w:tcPr/>
          <w:p>
            <w:pPr>
              <w:pStyle w:val="Compact"/>
            </w:pPr>
          </w:p>
        </w:tc>
      </w:tr>
      <w:tr>
        <w:tc>
          <w:tcPr/>
          <w:p>
            <w:pPr>
              <w:pStyle w:val="Compact"/>
              <w:jc w:val="left"/>
            </w:pPr>
            <w:r>
              <w:t xml:space="preserve">Use &amp; Square Footage</w:t>
            </w:r>
          </w:p>
        </w:tc>
        <w:tc>
          <w:tcPr/>
          <w:p>
            <w:pPr>
              <w:pStyle w:val="Compact"/>
            </w:pPr>
          </w:p>
        </w:tc>
        <w:tc>
          <w:tcPr/>
          <w:p>
            <w:pPr>
              <w:pStyle w:val="Compact"/>
            </w:pPr>
          </w:p>
        </w:tc>
        <w:tc>
          <w:tcPr/>
          <w:p>
            <w:pPr>
              <w:pStyle w:val="Compact"/>
            </w:pPr>
          </w:p>
        </w:tc>
        <w:tc>
          <w:tcPr/>
          <w:p>
            <w:pPr>
              <w:pStyle w:val="Compact"/>
              <w:jc w:val="left"/>
            </w:pPr>
            <w:r>
              <w:t xml:space="preserve">Parking</w:t>
            </w:r>
          </w:p>
        </w:tc>
        <w:tc>
          <w:tcPr/>
          <w:p>
            <w:pPr>
              <w:pStyle w:val="Compact"/>
              <w:jc w:val="left"/>
            </w:pPr>
            <w:r>
              <w:t xml:space="preserve">Requirement</w:t>
            </w:r>
          </w:p>
        </w:tc>
        <w:tc>
          <w:tcPr/>
          <w:p>
            <w:pPr>
              <w:pStyle w:val="Compact"/>
            </w:pPr>
          </w:p>
        </w:tc>
        <w:tc>
          <w:tcPr/>
          <w:p>
            <w:pPr>
              <w:pStyle w:val="Compact"/>
            </w:pPr>
          </w:p>
        </w:tc>
        <w:tc>
          <w:tcPr/>
          <w:p>
            <w:pPr>
              <w:pStyle w:val="Compact"/>
            </w:pPr>
          </w:p>
        </w:tc>
        <w:tc>
          <w:tcPr/>
          <w:p>
            <w:pPr>
              <w:pStyle w:val="Compact"/>
              <w:jc w:val="left"/>
            </w:pPr>
            <w:r>
              <w:t xml:space="preserve">Number of</w:t>
            </w:r>
          </w:p>
        </w:tc>
        <w:tc>
          <w:tcPr/>
          <w:p>
            <w:pPr>
              <w:pStyle w:val="Compact"/>
              <w:jc w:val="left"/>
            </w:pPr>
            <w:r>
              <w:t xml:space="preserve">Spaces</w:t>
            </w:r>
          </w:p>
        </w:tc>
        <w:tc>
          <w:tcPr/>
          <w:p>
            <w:pPr>
              <w:pStyle w:val="Compact"/>
              <w:jc w:val="left"/>
            </w:pPr>
            <w:r>
              <w:t xml:space="preserve">Needed</w:t>
            </w:r>
          </w:p>
        </w:tc>
        <w:tc>
          <w:tcPr/>
          <w:p>
            <w:pPr>
              <w:pStyle w:val="Compact"/>
            </w:pPr>
          </w:p>
        </w:tc>
        <w:tc>
          <w:tcPr/>
          <w:p>
            <w:pPr>
              <w:pStyle w:val="Compact"/>
            </w:pPr>
          </w:p>
        </w:tc>
        <w:tc>
          <w:tcPr/>
          <w:p>
            <w:pPr>
              <w:pStyle w:val="Compact"/>
            </w:pPr>
          </w:p>
        </w:tc>
      </w:tr>
      <w:tr>
        <w:tc>
          <w:tcPr/>
          <w:p>
            <w:pPr>
              <w:pStyle w:val="Compact"/>
              <w:jc w:val="left"/>
            </w:pPr>
            <w:r>
              <w:t xml:space="preserve">Office: 40,000sf GFA</w:t>
            </w:r>
          </w:p>
        </w:tc>
        <w:tc>
          <w:tcPr/>
          <w:p>
            <w:pPr>
              <w:pStyle w:val="Compact"/>
            </w:pPr>
          </w:p>
        </w:tc>
        <w:tc>
          <w:tcPr/>
          <w:p>
            <w:pPr>
              <w:pStyle w:val="Compact"/>
            </w:pPr>
          </w:p>
        </w:tc>
        <w:tc>
          <w:tcPr/>
          <w:p>
            <w:pPr>
              <w:pStyle w:val="Compact"/>
              <w:jc w:val="left"/>
            </w:pPr>
            <w:r>
              <w:t xml:space="preserve">1 per</w:t>
            </w:r>
          </w:p>
        </w:tc>
        <w:tc>
          <w:tcPr/>
          <w:p>
            <w:pPr>
              <w:pStyle w:val="Compact"/>
              <w:jc w:val="left"/>
            </w:pPr>
            <w:r>
              <w:t xml:space="preserve">500sf GFA</w:t>
            </w:r>
          </w:p>
        </w:tc>
        <w:tc>
          <w:tcPr/>
          <w:p>
            <w:pPr>
              <w:pStyle w:val="Compact"/>
            </w:pPr>
          </w:p>
        </w:tc>
        <w:tc>
          <w:tcPr/>
          <w:p>
            <w:pPr>
              <w:pStyle w:val="Compact"/>
            </w:pPr>
          </w:p>
        </w:tc>
        <w:tc>
          <w:tcPr/>
          <w:p>
            <w:pPr>
              <w:pStyle w:val="Compact"/>
            </w:pPr>
          </w:p>
        </w:tc>
        <w:tc>
          <w:tcPr/>
          <w:p>
            <w:pPr>
              <w:pStyle w:val="Compact"/>
              <w:jc w:val="left"/>
            </w:pPr>
            <w:r>
              <w:t xml:space="preserve">80</w:t>
            </w:r>
          </w:p>
        </w:tc>
        <w:tc>
          <w:tcPr/>
          <w:p>
            <w:pPr>
              <w:pStyle w:val="Compact"/>
              <w:jc w:val="left"/>
            </w:pPr>
            <w:r>
              <w:t xml:space="preserve">spaces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Hotel/Motel: 60 rooms</w:t>
            </w:r>
          </w:p>
        </w:tc>
        <w:tc>
          <w:tcPr/>
          <w:p>
            <w:pPr>
              <w:pStyle w:val="Compact"/>
            </w:pPr>
          </w:p>
        </w:tc>
        <w:tc>
          <w:tcPr/>
          <w:p>
            <w:pPr>
              <w:pStyle w:val="Compact"/>
            </w:pPr>
          </w:p>
        </w:tc>
        <w:tc>
          <w:tcPr/>
          <w:p>
            <w:pPr>
              <w:pStyle w:val="Compact"/>
              <w:jc w:val="left"/>
            </w:pPr>
            <w:r>
              <w:t xml:space="preserve">1 per</w:t>
            </w:r>
          </w:p>
        </w:tc>
        <w:tc>
          <w:tcPr/>
          <w:p>
            <w:pPr>
              <w:pStyle w:val="Compact"/>
              <w:jc w:val="left"/>
            </w:pPr>
            <w:r>
              <w:t xml:space="preserve">room</w:t>
            </w:r>
          </w:p>
        </w:tc>
        <w:tc>
          <w:tcPr/>
          <w:p>
            <w:pPr>
              <w:pStyle w:val="Compact"/>
            </w:pPr>
          </w:p>
        </w:tc>
        <w:tc>
          <w:tcPr/>
          <w:p>
            <w:pPr>
              <w:pStyle w:val="Compact"/>
            </w:pPr>
          </w:p>
        </w:tc>
        <w:tc>
          <w:tcPr/>
          <w:p>
            <w:pPr>
              <w:pStyle w:val="Compact"/>
            </w:pPr>
          </w:p>
        </w:tc>
        <w:tc>
          <w:tcPr/>
          <w:p>
            <w:pPr>
              <w:pStyle w:val="Compact"/>
              <w:jc w:val="left"/>
            </w:pPr>
            <w:r>
              <w:t xml:space="preserve">60</w:t>
            </w:r>
          </w:p>
        </w:tc>
        <w:tc>
          <w:tcPr/>
          <w:p>
            <w:pPr>
              <w:pStyle w:val="Compact"/>
              <w:jc w:val="left"/>
            </w:pPr>
            <w:r>
              <w:t xml:space="preserve">spaces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Restaurants: 10,000sf</w:t>
            </w:r>
          </w:p>
        </w:tc>
        <w:tc>
          <w:tcPr/>
          <w:p>
            <w:pPr>
              <w:pStyle w:val="Compact"/>
              <w:jc w:val="left"/>
            </w:pPr>
            <w:r>
              <w:t xml:space="preserve">GFA</w:t>
            </w:r>
          </w:p>
        </w:tc>
        <w:tc>
          <w:tcPr/>
          <w:p>
            <w:pPr>
              <w:pStyle w:val="Compact"/>
            </w:pPr>
          </w:p>
        </w:tc>
        <w:tc>
          <w:tcPr/>
          <w:p>
            <w:pPr>
              <w:pStyle w:val="Compact"/>
              <w:jc w:val="left"/>
            </w:pPr>
            <w:r>
              <w:t xml:space="preserve">1 per</w:t>
            </w:r>
          </w:p>
        </w:tc>
        <w:tc>
          <w:tcPr/>
          <w:p>
            <w:pPr>
              <w:pStyle w:val="Compact"/>
              <w:jc w:val="left"/>
            </w:pPr>
            <w:r>
              <w:t xml:space="preserve">500sf GFA</w:t>
            </w:r>
          </w:p>
        </w:tc>
        <w:tc>
          <w:tcPr/>
          <w:p>
            <w:pPr>
              <w:pStyle w:val="Compact"/>
            </w:pPr>
          </w:p>
        </w:tc>
        <w:tc>
          <w:tcPr/>
          <w:p>
            <w:pPr>
              <w:pStyle w:val="Compact"/>
            </w:pPr>
          </w:p>
        </w:tc>
        <w:tc>
          <w:tcPr/>
          <w:p>
            <w:pPr>
              <w:pStyle w:val="Compact"/>
            </w:pPr>
          </w:p>
        </w:tc>
        <w:tc>
          <w:tcPr/>
          <w:p>
            <w:pPr>
              <w:pStyle w:val="Compact"/>
              <w:jc w:val="left"/>
            </w:pPr>
            <w:r>
              <w:t xml:space="preserve">20</w:t>
            </w:r>
          </w:p>
        </w:tc>
        <w:tc>
          <w:tcPr/>
          <w:p>
            <w:pPr>
              <w:pStyle w:val="Compact"/>
              <w:jc w:val="left"/>
            </w:pPr>
            <w:r>
              <w:t xml:space="preserve">spaces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Retail Establishments:</w:t>
            </w:r>
          </w:p>
        </w:tc>
        <w:tc>
          <w:tcPr/>
          <w:p>
            <w:pPr>
              <w:pStyle w:val="Compact"/>
              <w:jc w:val="left"/>
            </w:pPr>
            <w:r>
              <w:t xml:space="preserve">15,000sf GFA</w:t>
            </w:r>
          </w:p>
        </w:tc>
        <w:tc>
          <w:tcPr/>
          <w:p>
            <w:pPr>
              <w:pStyle w:val="Compact"/>
            </w:pPr>
          </w:p>
        </w:tc>
        <w:tc>
          <w:tcPr/>
          <w:p>
            <w:pPr>
              <w:pStyle w:val="Compact"/>
              <w:jc w:val="left"/>
            </w:pPr>
            <w:r>
              <w:t xml:space="preserve">1 per</w:t>
            </w:r>
          </w:p>
        </w:tc>
        <w:tc>
          <w:tcPr/>
          <w:p>
            <w:pPr>
              <w:pStyle w:val="Compact"/>
              <w:jc w:val="left"/>
            </w:pPr>
            <w:r>
              <w:t xml:space="preserve">500sf GFA</w:t>
            </w:r>
          </w:p>
        </w:tc>
        <w:tc>
          <w:tcPr/>
          <w:p>
            <w:pPr>
              <w:pStyle w:val="Compact"/>
            </w:pPr>
          </w:p>
        </w:tc>
        <w:tc>
          <w:tcPr/>
          <w:p>
            <w:pPr>
              <w:pStyle w:val="Compact"/>
            </w:pPr>
          </w:p>
        </w:tc>
        <w:tc>
          <w:tcPr/>
          <w:p>
            <w:pPr>
              <w:pStyle w:val="Compact"/>
            </w:pPr>
          </w:p>
        </w:tc>
        <w:tc>
          <w:tcPr/>
          <w:p>
            <w:pPr>
              <w:pStyle w:val="Compact"/>
              <w:jc w:val="left"/>
            </w:pPr>
            <w:r>
              <w:t xml:space="preserve">30</w:t>
            </w:r>
          </w:p>
        </w:tc>
        <w:tc>
          <w:tcPr/>
          <w:p>
            <w:pPr>
              <w:pStyle w:val="Compact"/>
              <w:jc w:val="left"/>
            </w:pPr>
            <w:r>
              <w:t xml:space="preserve">spaces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jc w:val="left"/>
            </w:pPr>
            <w:r>
              <w:t xml:space="preserve">TOTAL</w:t>
            </w:r>
          </w:p>
        </w:tc>
        <w:tc>
          <w:tcPr/>
          <w:p>
            <w:pPr>
              <w:pStyle w:val="Compact"/>
              <w:jc w:val="left"/>
            </w:pPr>
            <w:r>
              <w:t xml:space="preserve">SPACES</w:t>
            </w:r>
          </w:p>
        </w:tc>
        <w:tc>
          <w:tcPr/>
          <w:p>
            <w:pPr>
              <w:pStyle w:val="Compact"/>
            </w:pPr>
          </w:p>
        </w:tc>
        <w:tc>
          <w:tcPr/>
          <w:p>
            <w:pPr>
              <w:pStyle w:val="Compact"/>
              <w:jc w:val="left"/>
            </w:pPr>
            <w:r>
              <w:t xml:space="preserve">REQUIRED</w:t>
            </w:r>
          </w:p>
        </w:tc>
        <w:tc>
          <w:tcPr/>
          <w:p>
            <w:pPr>
              <w:pStyle w:val="Compact"/>
              <w:jc w:val="left"/>
            </w:pPr>
            <w:r>
              <w:t xml:space="preserve">190</w:t>
            </w:r>
          </w:p>
        </w:tc>
        <w:tc>
          <w:tcPr/>
          <w:p>
            <w:pPr>
              <w:pStyle w:val="Compact"/>
              <w:jc w:val="left"/>
            </w:pPr>
            <w:r>
              <w:t xml:space="preserve">spaces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Using</w:t>
            </w:r>
          </w:p>
        </w:tc>
        <w:tc>
          <w:tcPr/>
          <w:p>
            <w:pPr>
              <w:pStyle w:val="Compact"/>
              <w:jc w:val="left"/>
            </w:pPr>
            <w:r>
              <w:t xml:space="preserve">the shared percentages allotted timeframe.</w:t>
            </w:r>
          </w:p>
        </w:tc>
        <w:tc>
          <w:tcPr/>
          <w:p>
            <w:pPr>
              <w:pStyle w:val="Compact"/>
              <w:jc w:val="left"/>
            </w:pPr>
            <w:r>
              <w:t xml:space="preserve">parking to</w:t>
            </w:r>
          </w:p>
        </w:tc>
        <w:tc>
          <w:tcPr/>
          <w:p>
            <w:pPr>
              <w:pStyle w:val="Compact"/>
              <w:jc w:val="left"/>
            </w:pPr>
            <w:r>
              <w:t xml:space="preserve">each land</w:t>
            </w:r>
          </w:p>
        </w:tc>
        <w:tc>
          <w:tcPr/>
          <w:p>
            <w:pPr>
              <w:pStyle w:val="Compact"/>
              <w:jc w:val="left"/>
            </w:pPr>
            <w:r>
              <w:t xml:space="preserve">calculation, use for</w:t>
            </w:r>
          </w:p>
        </w:tc>
        <w:tc>
          <w:tcPr/>
          <w:p>
            <w:pPr>
              <w:pStyle w:val="Compact"/>
              <w:jc w:val="left"/>
            </w:pPr>
            <w:r>
              <w:t xml:space="preserve">these each</w:t>
            </w:r>
          </w:p>
        </w:tc>
        <w:tc>
          <w:tcPr/>
          <w:p>
            <w:pPr>
              <w:pStyle w:val="Compact"/>
              <w:jc w:val="left"/>
            </w:pPr>
            <w:r>
              <w:t xml:space="preserve">time</w:t>
            </w:r>
          </w:p>
        </w:tc>
        <w:tc>
          <w:tcPr/>
          <w:p>
            <w:pPr>
              <w:pStyle w:val="Compact"/>
              <w:jc w:val="left"/>
            </w:pPr>
            <w:r>
              <w:t xml:space="preserve">numbers of</w:t>
            </w:r>
          </w:p>
        </w:tc>
        <w:tc>
          <w:tcPr/>
          <w:p>
            <w:pPr>
              <w:pStyle w:val="Compact"/>
              <w:jc w:val="left"/>
            </w:pPr>
            <w:r>
              <w:t xml:space="preserve">areday, are</w:t>
            </w:r>
          </w:p>
        </w:tc>
        <w:tc>
          <w:tcPr/>
          <w:p>
            <w:pPr>
              <w:pStyle w:val="Compact"/>
              <w:jc w:val="left"/>
            </w:pPr>
            <w:r>
              <w:t xml:space="preserve">plugged calculated</w:t>
            </w:r>
          </w:p>
        </w:tc>
        <w:tc>
          <w:tcPr/>
          <w:p>
            <w:pPr>
              <w:pStyle w:val="Compact"/>
              <w:jc w:val="left"/>
            </w:pPr>
            <w:r>
              <w:t xml:space="preserve">into the as</w:t>
            </w:r>
          </w:p>
        </w:tc>
        <w:tc>
          <w:tcPr/>
          <w:p>
            <w:pPr>
              <w:pStyle w:val="Compact"/>
              <w:jc w:val="left"/>
            </w:pPr>
            <w:r>
              <w:t xml:space="preserve">table total spaces</w:t>
            </w:r>
          </w:p>
        </w:tc>
        <w:tc>
          <w:tcPr/>
          <w:p>
            <w:pPr>
              <w:pStyle w:val="Compact"/>
              <w:jc w:val="left"/>
            </w:pPr>
            <w:r>
              <w:t xml:space="preserve">and using required</w:t>
            </w:r>
          </w:p>
        </w:tc>
        <w:tc>
          <w:tcPr/>
          <w:p>
            <w:pPr>
              <w:pStyle w:val="Compact"/>
              <w:jc w:val="left"/>
            </w:pPr>
            <w:r>
              <w:t xml:space="preserve">the per</w:t>
            </w:r>
          </w:p>
        </w:tc>
        <w:tc>
          <w:tcPr/>
          <w:p>
            <w:pPr>
              <w:pStyle w:val="Compact"/>
            </w:pPr>
          </w:p>
        </w:tc>
      </w:tr>
      <w:tr>
        <w:tc>
          <w:tcPr/>
          <w:p>
            <w:pPr>
              <w:pStyle w:val="Compact"/>
            </w:pPr>
          </w:p>
        </w:tc>
        <w:tc>
          <w:tcPr/>
          <w:p>
            <w:pPr>
              <w:pStyle w:val="Compact"/>
            </w:pPr>
          </w:p>
        </w:tc>
        <w:tc>
          <w:tcPr/>
          <w:p>
            <w:pPr>
              <w:pStyle w:val="Compact"/>
              <w:jc w:val="left"/>
            </w:pPr>
            <w:r>
              <w:t xml:space="preserve">Mid-9am</w:t>
            </w:r>
          </w:p>
        </w:tc>
        <w:tc>
          <w:tcPr/>
          <w:p>
            <w:pPr>
              <w:pStyle w:val="Compact"/>
            </w:pPr>
          </w:p>
        </w:tc>
        <w:tc>
          <w:tcPr/>
          <w:p>
            <w:pPr>
              <w:pStyle w:val="Compact"/>
              <w:jc w:val="left"/>
            </w:pPr>
            <w:r>
              <w:t xml:space="preserve">9am-5pm</w:t>
            </w:r>
          </w:p>
        </w:tc>
        <w:tc>
          <w:tcPr/>
          <w:p>
            <w:pPr>
              <w:pStyle w:val="Compact"/>
            </w:pPr>
          </w:p>
        </w:tc>
        <w:tc>
          <w:tcPr/>
          <w:p>
            <w:pPr>
              <w:pStyle w:val="Compact"/>
            </w:pPr>
          </w:p>
        </w:tc>
        <w:tc>
          <w:tcPr/>
          <w:p>
            <w:pPr>
              <w:pStyle w:val="Compact"/>
              <w:jc w:val="left"/>
            </w:pPr>
            <w:r>
              <w:t xml:space="preserve">5pm-Mid</w:t>
            </w:r>
          </w:p>
        </w:tc>
        <w:tc>
          <w:tcPr/>
          <w:p>
            <w:pPr>
              <w:pStyle w:val="Compact"/>
            </w:pPr>
          </w:p>
        </w:tc>
        <w:tc>
          <w:tcPr/>
          <w:p>
            <w:pPr>
              <w:pStyle w:val="Compact"/>
              <w:jc w:val="left"/>
            </w:pPr>
            <w:r>
              <w:t xml:space="preserve">Mid-9am</w:t>
            </w:r>
          </w:p>
        </w:tc>
        <w:tc>
          <w:tcPr/>
          <w:p>
            <w:pPr>
              <w:pStyle w:val="Compact"/>
            </w:pPr>
          </w:p>
        </w:tc>
        <w:tc>
          <w:tcPr/>
          <w:p>
            <w:pPr>
              <w:pStyle w:val="Compact"/>
              <w:jc w:val="left"/>
            </w:pPr>
            <w:r>
              <w:t xml:space="preserve">9am-5pm</w:t>
            </w:r>
          </w:p>
        </w:tc>
        <w:tc>
          <w:tcPr/>
          <w:p>
            <w:pPr>
              <w:pStyle w:val="Compact"/>
            </w:pPr>
          </w:p>
        </w:tc>
        <w:tc>
          <w:tcPr/>
          <w:p>
            <w:pPr>
              <w:pStyle w:val="Compact"/>
              <w:jc w:val="left"/>
            </w:pPr>
            <w:r>
              <w:t xml:space="preserve">5pm-Mid</w:t>
            </w:r>
          </w:p>
        </w:tc>
        <w:tc>
          <w:tcPr/>
          <w:p>
            <w:pPr>
              <w:pStyle w:val="Compact"/>
            </w:pPr>
          </w:p>
        </w:tc>
      </w:tr>
      <w:tr>
        <w:tc>
          <w:tcPr/>
          <w:p>
            <w:pPr>
              <w:pStyle w:val="Compact"/>
              <w:jc w:val="left"/>
            </w:pPr>
            <w:r>
              <w:t xml:space="preserve">Land Use</w:t>
            </w:r>
          </w:p>
        </w:tc>
        <w:tc>
          <w:tcPr/>
          <w:p>
            <w:pPr>
              <w:pStyle w:val="Compact"/>
              <w:jc w:val="left"/>
            </w:pPr>
            <w:r>
              <w:t xml:space="preserve">Required by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Ordinance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pP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Residential</w:t>
            </w:r>
          </w:p>
        </w:tc>
        <w:tc>
          <w:tcPr/>
          <w:p>
            <w:pPr>
              <w:pStyle w:val="Compact"/>
              <w:jc w:val="left"/>
            </w:pPr>
            <w:r>
              <w:t xml:space="preserve">N/A</w:t>
            </w:r>
          </w:p>
        </w:tc>
        <w:tc>
          <w:tcPr/>
          <w:p>
            <w:pPr>
              <w:pStyle w:val="Compact"/>
              <w:jc w:val="left"/>
            </w:pPr>
            <w:r>
              <w:t xml:space="preserve">100%</w:t>
            </w:r>
          </w:p>
        </w:tc>
        <w:tc>
          <w:tcPr/>
          <w:p>
            <w:pPr>
              <w:pStyle w:val="Compact"/>
              <w:jc w:val="left"/>
            </w:pPr>
            <w:r>
              <w:t xml:space="preserve">N/A</w:t>
            </w:r>
          </w:p>
        </w:tc>
        <w:tc>
          <w:tcPr/>
          <w:p>
            <w:pPr>
              <w:pStyle w:val="Compact"/>
              <w:jc w:val="left"/>
            </w:pPr>
            <w:r>
              <w:t xml:space="preserve">75%</w:t>
            </w:r>
          </w:p>
        </w:tc>
        <w:tc>
          <w:tcPr/>
          <w:p>
            <w:pPr>
              <w:pStyle w:val="Compact"/>
              <w:jc w:val="left"/>
            </w:pPr>
            <w:r>
              <w:t xml:space="preserve">N/A</w:t>
            </w:r>
          </w:p>
        </w:tc>
        <w:tc>
          <w:tcPr/>
          <w:p>
            <w:pPr>
              <w:pStyle w:val="Compact"/>
              <w:jc w:val="left"/>
            </w:pPr>
            <w:r>
              <w:t xml:space="preserve">100%</w:t>
            </w:r>
          </w:p>
        </w:tc>
        <w:tc>
          <w:tcPr/>
          <w:p>
            <w:pPr>
              <w:pStyle w:val="Compact"/>
            </w:pPr>
          </w:p>
        </w:tc>
        <w:tc>
          <w:tcPr/>
          <w:p>
            <w:pPr>
              <w:pStyle w:val="Compact"/>
              <w:jc w:val="left"/>
            </w:pPr>
            <w:r>
              <w:t xml:space="preserve">N/A</w:t>
            </w:r>
          </w:p>
        </w:tc>
        <w:tc>
          <w:tcPr/>
          <w:p>
            <w:pPr>
              <w:pStyle w:val="Compact"/>
              <w:jc w:val="left"/>
            </w:pPr>
            <w:r>
              <w:t xml:space="preserve">100%</w:t>
            </w:r>
          </w:p>
        </w:tc>
        <w:tc>
          <w:tcPr/>
          <w:p>
            <w:pPr>
              <w:pStyle w:val="Compact"/>
              <w:jc w:val="left"/>
            </w:pPr>
            <w:r>
              <w:t xml:space="preserve">N/A</w:t>
            </w:r>
          </w:p>
        </w:tc>
        <w:tc>
          <w:tcPr/>
          <w:p>
            <w:pPr>
              <w:pStyle w:val="Compact"/>
              <w:jc w:val="left"/>
            </w:pPr>
            <w:r>
              <w:t xml:space="preserve">100%</w:t>
            </w:r>
          </w:p>
        </w:tc>
        <w:tc>
          <w:tcPr/>
          <w:p>
            <w:pPr>
              <w:pStyle w:val="Compact"/>
              <w:jc w:val="left"/>
            </w:pPr>
            <w:r>
              <w:t xml:space="preserve">N/A</w:t>
            </w:r>
          </w:p>
        </w:tc>
        <w:tc>
          <w:tcPr/>
          <w:p>
            <w:pPr>
              <w:pStyle w:val="Compact"/>
              <w:jc w:val="left"/>
            </w:pPr>
            <w:r>
              <w:t xml:space="preserve">75%</w:t>
            </w:r>
          </w:p>
        </w:tc>
        <w:tc>
          <w:tcPr/>
          <w:p>
            <w:pPr>
              <w:pStyle w:val="Compact"/>
              <w:jc w:val="left"/>
            </w:pPr>
            <w:r>
              <w:t xml:space="preserve">N/A</w:t>
            </w:r>
          </w:p>
        </w:tc>
      </w:tr>
      <w:tr>
        <w:tc>
          <w:tcPr/>
          <w:p>
            <w:pPr>
              <w:pStyle w:val="Compact"/>
              <w:jc w:val="left"/>
            </w:pPr>
            <w:r>
              <w:t xml:space="preserve">Commercial</w:t>
            </w:r>
          </w:p>
        </w:tc>
        <w:tc>
          <w:tcPr/>
          <w:p>
            <w:pPr>
              <w:pStyle w:val="Compact"/>
              <w:jc w:val="left"/>
            </w:pPr>
            <w:r>
              <w:t xml:space="preserve">30</w:t>
            </w:r>
          </w:p>
        </w:tc>
        <w:tc>
          <w:tcPr/>
          <w:p>
            <w:pPr>
              <w:pStyle w:val="Compact"/>
              <w:jc w:val="left"/>
            </w:pPr>
            <w:r>
              <w:t xml:space="preserve">0%</w:t>
            </w:r>
          </w:p>
        </w:tc>
        <w:tc>
          <w:tcPr/>
          <w:p>
            <w:pPr>
              <w:pStyle w:val="Compact"/>
              <w:jc w:val="left"/>
            </w:pPr>
            <w:r>
              <w:t xml:space="preserve">0</w:t>
            </w:r>
          </w:p>
        </w:tc>
        <w:tc>
          <w:tcPr/>
          <w:p>
            <w:pPr>
              <w:pStyle w:val="Compact"/>
              <w:jc w:val="left"/>
            </w:pPr>
            <w:r>
              <w:t xml:space="preserve">100%</w:t>
            </w:r>
          </w:p>
        </w:tc>
        <w:tc>
          <w:tcPr/>
          <w:p>
            <w:pPr>
              <w:pStyle w:val="Compact"/>
              <w:jc w:val="left"/>
            </w:pPr>
            <w:r>
              <w:t xml:space="preserve">30</w:t>
            </w:r>
          </w:p>
        </w:tc>
        <w:tc>
          <w:tcPr/>
          <w:p>
            <w:pPr>
              <w:pStyle w:val="Compact"/>
              <w:jc w:val="left"/>
            </w:pPr>
            <w:r>
              <w:t xml:space="preserve">80%</w:t>
            </w:r>
          </w:p>
        </w:tc>
        <w:tc>
          <w:tcPr/>
          <w:p>
            <w:pPr>
              <w:pStyle w:val="Compact"/>
            </w:pPr>
          </w:p>
        </w:tc>
        <w:tc>
          <w:tcPr/>
          <w:p>
            <w:pPr>
              <w:pStyle w:val="Compact"/>
              <w:jc w:val="left"/>
            </w:pPr>
            <w:r>
              <w:t xml:space="preserve">24</w:t>
            </w:r>
          </w:p>
        </w:tc>
        <w:tc>
          <w:tcPr/>
          <w:p>
            <w:pPr>
              <w:pStyle w:val="Compact"/>
              <w:jc w:val="left"/>
            </w:pPr>
            <w:r>
              <w:t xml:space="preserve">0%</w:t>
            </w:r>
          </w:p>
        </w:tc>
        <w:tc>
          <w:tcPr/>
          <w:p>
            <w:pPr>
              <w:pStyle w:val="Compact"/>
              <w:jc w:val="left"/>
            </w:pPr>
            <w:r>
              <w:t xml:space="preserve">0</w:t>
            </w:r>
          </w:p>
        </w:tc>
        <w:tc>
          <w:tcPr/>
          <w:p>
            <w:pPr>
              <w:pStyle w:val="Compact"/>
              <w:jc w:val="left"/>
            </w:pPr>
            <w:r>
              <w:t xml:space="preserve">100%</w:t>
            </w:r>
          </w:p>
        </w:tc>
        <w:tc>
          <w:tcPr/>
          <w:p>
            <w:pPr>
              <w:pStyle w:val="Compact"/>
              <w:jc w:val="left"/>
            </w:pPr>
            <w:r>
              <w:t xml:space="preserve">30</w:t>
            </w:r>
          </w:p>
        </w:tc>
        <w:tc>
          <w:tcPr/>
          <w:p>
            <w:pPr>
              <w:pStyle w:val="Compact"/>
              <w:jc w:val="left"/>
            </w:pPr>
            <w:r>
              <w:t xml:space="preserve">60%</w:t>
            </w:r>
          </w:p>
        </w:tc>
        <w:tc>
          <w:tcPr/>
          <w:p>
            <w:pPr>
              <w:pStyle w:val="Compact"/>
              <w:jc w:val="left"/>
            </w:pPr>
            <w:r>
              <w:t xml:space="preserve">18</w:t>
            </w:r>
          </w:p>
        </w:tc>
      </w:tr>
      <w:tr>
        <w:tc>
          <w:tcPr/>
          <w:p>
            <w:pPr>
              <w:pStyle w:val="Compact"/>
              <w:jc w:val="left"/>
            </w:pPr>
            <w:r>
              <w:t xml:space="preserve">Restaurant</w:t>
            </w:r>
          </w:p>
        </w:tc>
        <w:tc>
          <w:tcPr/>
          <w:p>
            <w:pPr>
              <w:pStyle w:val="Compact"/>
              <w:jc w:val="left"/>
            </w:pPr>
            <w:r>
              <w:t xml:space="preserve">20</w:t>
            </w:r>
          </w:p>
        </w:tc>
        <w:tc>
          <w:tcPr/>
          <w:p>
            <w:pPr>
              <w:pStyle w:val="Compact"/>
              <w:jc w:val="left"/>
            </w:pPr>
            <w:r>
              <w:t xml:space="preserve">50%</w:t>
            </w:r>
          </w:p>
        </w:tc>
        <w:tc>
          <w:tcPr/>
          <w:p>
            <w:pPr>
              <w:pStyle w:val="Compact"/>
              <w:jc w:val="left"/>
            </w:pPr>
            <w:r>
              <w:t xml:space="preserve">10</w:t>
            </w:r>
          </w:p>
        </w:tc>
        <w:tc>
          <w:tcPr/>
          <w:p>
            <w:pPr>
              <w:pStyle w:val="Compact"/>
              <w:jc w:val="left"/>
            </w:pPr>
            <w:r>
              <w:t xml:space="preserve">70%</w:t>
            </w:r>
          </w:p>
        </w:tc>
        <w:tc>
          <w:tcPr/>
          <w:p>
            <w:pPr>
              <w:pStyle w:val="Compact"/>
              <w:jc w:val="left"/>
            </w:pPr>
            <w:r>
              <w:t xml:space="preserve">14</w:t>
            </w:r>
          </w:p>
        </w:tc>
        <w:tc>
          <w:tcPr/>
          <w:p>
            <w:pPr>
              <w:pStyle w:val="Compact"/>
              <w:jc w:val="left"/>
            </w:pPr>
            <w:r>
              <w:t xml:space="preserve">100%</w:t>
            </w:r>
          </w:p>
        </w:tc>
        <w:tc>
          <w:tcPr/>
          <w:p>
            <w:pPr>
              <w:pStyle w:val="Compact"/>
            </w:pPr>
          </w:p>
        </w:tc>
        <w:tc>
          <w:tcPr/>
          <w:p>
            <w:pPr>
              <w:pStyle w:val="Compact"/>
              <w:jc w:val="left"/>
            </w:pPr>
            <w:r>
              <w:t xml:space="preserve">20</w:t>
            </w:r>
          </w:p>
        </w:tc>
        <w:tc>
          <w:tcPr/>
          <w:p>
            <w:pPr>
              <w:pStyle w:val="Compact"/>
              <w:jc w:val="left"/>
            </w:pPr>
            <w:r>
              <w:t xml:space="preserve">45%</w:t>
            </w:r>
          </w:p>
        </w:tc>
        <w:tc>
          <w:tcPr/>
          <w:p>
            <w:pPr>
              <w:pStyle w:val="Compact"/>
              <w:jc w:val="left"/>
            </w:pPr>
            <w:r>
              <w:t xml:space="preserve">9</w:t>
            </w:r>
          </w:p>
        </w:tc>
        <w:tc>
          <w:tcPr/>
          <w:p>
            <w:pPr>
              <w:pStyle w:val="Compact"/>
              <w:jc w:val="left"/>
            </w:pPr>
            <w:r>
              <w:t xml:space="preserve">70%</w:t>
            </w:r>
          </w:p>
        </w:tc>
        <w:tc>
          <w:tcPr/>
          <w:p>
            <w:pPr>
              <w:pStyle w:val="Compact"/>
              <w:jc w:val="left"/>
            </w:pPr>
            <w:r>
              <w:t xml:space="preserve">14</w:t>
            </w:r>
          </w:p>
        </w:tc>
        <w:tc>
          <w:tcPr/>
          <w:p>
            <w:pPr>
              <w:pStyle w:val="Compact"/>
              <w:jc w:val="left"/>
            </w:pPr>
            <w:r>
              <w:t xml:space="preserve">100%</w:t>
            </w:r>
          </w:p>
        </w:tc>
        <w:tc>
          <w:tcPr/>
          <w:p>
            <w:pPr>
              <w:pStyle w:val="Compact"/>
              <w:jc w:val="left"/>
            </w:pPr>
            <w:r>
              <w:t xml:space="preserve">20</w:t>
            </w:r>
          </w:p>
        </w:tc>
      </w:tr>
      <w:tr>
        <w:tc>
          <w:tcPr/>
          <w:p>
            <w:pPr>
              <w:pStyle w:val="Compact"/>
              <w:jc w:val="left"/>
            </w:pPr>
            <w:r>
              <w:t xml:space="preserve">Hotel/Motel</w:t>
            </w:r>
          </w:p>
        </w:tc>
        <w:tc>
          <w:tcPr/>
          <w:p>
            <w:pPr>
              <w:pStyle w:val="Compact"/>
              <w:jc w:val="left"/>
            </w:pPr>
            <w:r>
              <w:t xml:space="preserve">60</w:t>
            </w:r>
          </w:p>
        </w:tc>
        <w:tc>
          <w:tcPr/>
          <w:p>
            <w:pPr>
              <w:pStyle w:val="Compact"/>
              <w:jc w:val="left"/>
            </w:pPr>
            <w:r>
              <w:t xml:space="preserve">100%</w:t>
            </w:r>
          </w:p>
        </w:tc>
        <w:tc>
          <w:tcPr/>
          <w:p>
            <w:pPr>
              <w:pStyle w:val="Compact"/>
              <w:jc w:val="left"/>
            </w:pPr>
            <w:r>
              <w:t xml:space="preserve">60</w:t>
            </w:r>
          </w:p>
        </w:tc>
        <w:tc>
          <w:tcPr/>
          <w:p>
            <w:pPr>
              <w:pStyle w:val="Compact"/>
              <w:jc w:val="left"/>
            </w:pPr>
            <w:r>
              <w:t xml:space="preserve">50%</w:t>
            </w:r>
          </w:p>
        </w:tc>
        <w:tc>
          <w:tcPr/>
          <w:p>
            <w:pPr>
              <w:pStyle w:val="Compact"/>
              <w:jc w:val="left"/>
            </w:pPr>
            <w:r>
              <w:t xml:space="preserve">30</w:t>
            </w:r>
          </w:p>
        </w:tc>
        <w:tc>
          <w:tcPr/>
          <w:p>
            <w:pPr>
              <w:pStyle w:val="Compact"/>
              <w:jc w:val="left"/>
            </w:pPr>
            <w:r>
              <w:t xml:space="preserve">90%</w:t>
            </w:r>
          </w:p>
        </w:tc>
        <w:tc>
          <w:tcPr/>
          <w:p>
            <w:pPr>
              <w:pStyle w:val="Compact"/>
            </w:pPr>
          </w:p>
        </w:tc>
        <w:tc>
          <w:tcPr/>
          <w:p>
            <w:pPr>
              <w:pStyle w:val="Compact"/>
              <w:jc w:val="left"/>
            </w:pPr>
            <w:r>
              <w:t xml:space="preserve">54</w:t>
            </w:r>
          </w:p>
        </w:tc>
        <w:tc>
          <w:tcPr/>
          <w:p>
            <w:pPr>
              <w:pStyle w:val="Compact"/>
              <w:jc w:val="left"/>
            </w:pPr>
            <w:r>
              <w:t xml:space="preserve">100%</w:t>
            </w:r>
          </w:p>
        </w:tc>
        <w:tc>
          <w:tcPr/>
          <w:p>
            <w:pPr>
              <w:pStyle w:val="Compact"/>
              <w:jc w:val="left"/>
            </w:pPr>
            <w:r>
              <w:t xml:space="preserve">60</w:t>
            </w:r>
          </w:p>
        </w:tc>
        <w:tc>
          <w:tcPr/>
          <w:p>
            <w:pPr>
              <w:pStyle w:val="Compact"/>
              <w:jc w:val="left"/>
            </w:pPr>
            <w:r>
              <w:t xml:space="preserve">65%</w:t>
            </w:r>
          </w:p>
        </w:tc>
        <w:tc>
          <w:tcPr/>
          <w:p>
            <w:pPr>
              <w:pStyle w:val="Compact"/>
              <w:jc w:val="left"/>
            </w:pPr>
            <w:r>
              <w:t xml:space="preserve">39</w:t>
            </w:r>
          </w:p>
        </w:tc>
        <w:tc>
          <w:tcPr/>
          <w:p>
            <w:pPr>
              <w:pStyle w:val="Compact"/>
              <w:jc w:val="left"/>
            </w:pPr>
            <w:r>
              <w:t xml:space="preserve">80%</w:t>
            </w:r>
          </w:p>
        </w:tc>
        <w:tc>
          <w:tcPr/>
          <w:p>
            <w:pPr>
              <w:pStyle w:val="Compact"/>
              <w:jc w:val="left"/>
            </w:pPr>
            <w:r>
              <w:t xml:space="preserve">48</w:t>
            </w:r>
          </w:p>
        </w:tc>
      </w:tr>
    </w:tbl>
    <w:p/>
    <w:tbl>
      <w:tblPr>
        <w:tblStyle w:val="Table"/>
        <w:tblW w:type="auto" w:w="0"/>
        <w:jc w:val="left"/>
        <w:tblLook w:firstRow="0" w:lastRow="0" w:firstColumn="0" w:lastColumn="0" w:noHBand="0" w:noVBand="0" w:val="0000"/>
      </w:tblPr>
      <w:tblGrid>
        <w:gridCol w:w="565"/>
        <w:gridCol w:w="565"/>
        <w:gridCol w:w="565"/>
        <w:gridCol w:w="565"/>
        <w:gridCol w:w="565"/>
        <w:gridCol w:w="565"/>
        <w:gridCol w:w="565"/>
        <w:gridCol w:w="565"/>
        <w:gridCol w:w="565"/>
        <w:gridCol w:w="565"/>
        <w:gridCol w:w="565"/>
        <w:gridCol w:w="565"/>
        <w:gridCol w:w="565"/>
        <w:gridCol w:w="565"/>
      </w:tblGrid>
      <w:tr>
        <w:tc>
          <w:tcPr/>
          <w:p>
            <w:pPr>
              <w:pStyle w:val="Compact"/>
              <w:jc w:val="left"/>
            </w:pPr>
            <w:r>
              <w:t xml:space="preserve">Office</w:t>
            </w:r>
          </w:p>
        </w:tc>
        <w:tc>
          <w:tcPr/>
          <w:p>
            <w:pPr>
              <w:pStyle w:val="Compact"/>
              <w:jc w:val="left"/>
            </w:pPr>
            <w:r>
              <w:t xml:space="preserve">80</w:t>
            </w:r>
          </w:p>
        </w:tc>
        <w:tc>
          <w:tcPr/>
          <w:p>
            <w:pPr>
              <w:pStyle w:val="Compact"/>
              <w:jc w:val="left"/>
            </w:pPr>
            <w:r>
              <w:t xml:space="preserve">5%</w:t>
            </w:r>
          </w:p>
        </w:tc>
        <w:tc>
          <w:tcPr/>
          <w:p>
            <w:pPr>
              <w:pStyle w:val="Compact"/>
              <w:jc w:val="left"/>
            </w:pPr>
            <w:r>
              <w:t xml:space="preserve">4</w:t>
            </w:r>
          </w:p>
        </w:tc>
        <w:tc>
          <w:tcPr/>
          <w:p>
            <w:pPr>
              <w:pStyle w:val="Compact"/>
              <w:jc w:val="left"/>
            </w:pPr>
            <w:r>
              <w:t xml:space="preserve">100%</w:t>
            </w:r>
          </w:p>
        </w:tc>
        <w:tc>
          <w:tcPr/>
          <w:p>
            <w:pPr>
              <w:pStyle w:val="Compact"/>
              <w:jc w:val="left"/>
            </w:pPr>
            <w:r>
              <w:t xml:space="preserve">80</w:t>
            </w:r>
          </w:p>
        </w:tc>
        <w:tc>
          <w:tcPr/>
          <w:p>
            <w:pPr>
              <w:pStyle w:val="Compact"/>
              <w:jc w:val="left"/>
            </w:pPr>
            <w:r>
              <w:t xml:space="preserve">5%</w:t>
            </w:r>
          </w:p>
        </w:tc>
        <w:tc>
          <w:tcPr/>
          <w:p>
            <w:pPr>
              <w:pStyle w:val="Compact"/>
              <w:jc w:val="left"/>
            </w:pPr>
            <w:r>
              <w:t xml:space="preserve">4</w:t>
            </w:r>
          </w:p>
        </w:tc>
        <w:tc>
          <w:tcPr/>
          <w:p>
            <w:pPr>
              <w:pStyle w:val="Compact"/>
              <w:jc w:val="left"/>
            </w:pPr>
            <w:r>
              <w:t xml:space="preserve">0%</w:t>
            </w:r>
          </w:p>
        </w:tc>
        <w:tc>
          <w:tcPr/>
          <w:p>
            <w:pPr>
              <w:pStyle w:val="Compact"/>
              <w:jc w:val="left"/>
            </w:pPr>
            <w:r>
              <w:t xml:space="preserve">0</w:t>
            </w:r>
          </w:p>
        </w:tc>
        <w:tc>
          <w:tcPr/>
          <w:p>
            <w:pPr>
              <w:pStyle w:val="Compact"/>
              <w:jc w:val="left"/>
            </w:pPr>
            <w:r>
              <w:t xml:space="preserve">40%</w:t>
            </w:r>
          </w:p>
        </w:tc>
        <w:tc>
          <w:tcPr/>
          <w:p>
            <w:pPr>
              <w:pStyle w:val="Compact"/>
              <w:jc w:val="left"/>
            </w:pPr>
            <w:r>
              <w:t xml:space="preserve">32</w:t>
            </w:r>
          </w:p>
        </w:tc>
        <w:tc>
          <w:tcPr/>
          <w:p>
            <w:pPr>
              <w:pStyle w:val="Compact"/>
              <w:jc w:val="left"/>
            </w:pPr>
            <w:r>
              <w:t xml:space="preserve">10%</w:t>
            </w:r>
          </w:p>
        </w:tc>
        <w:tc>
          <w:tcPr/>
          <w:p>
            <w:pPr>
              <w:pStyle w:val="Compact"/>
              <w:jc w:val="left"/>
            </w:pPr>
            <w:r>
              <w:t xml:space="preserve">8</w:t>
            </w:r>
          </w:p>
        </w:tc>
      </w:tr>
      <w:tr>
        <w:tc>
          <w:tcPr/>
          <w:p>
            <w:pPr>
              <w:pStyle w:val="Compact"/>
              <w:jc w:val="left"/>
            </w:pPr>
            <w:r>
              <w:t xml:space="preserve">Industrial</w:t>
            </w:r>
          </w:p>
        </w:tc>
        <w:tc>
          <w:tcPr/>
          <w:p>
            <w:pPr>
              <w:pStyle w:val="Compact"/>
              <w:jc w:val="left"/>
            </w:pPr>
            <w:r>
              <w:t xml:space="preserve">N/A</w:t>
            </w:r>
          </w:p>
        </w:tc>
        <w:tc>
          <w:tcPr/>
          <w:p>
            <w:pPr>
              <w:pStyle w:val="Compact"/>
              <w:jc w:val="left"/>
            </w:pPr>
            <w:r>
              <w:t xml:space="preserve">5%</w:t>
            </w:r>
          </w:p>
        </w:tc>
        <w:tc>
          <w:tcPr/>
          <w:p>
            <w:pPr>
              <w:pStyle w:val="Compact"/>
              <w:jc w:val="left"/>
            </w:pPr>
            <w:r>
              <w:t xml:space="preserve">N/A</w:t>
            </w:r>
          </w:p>
        </w:tc>
        <w:tc>
          <w:tcPr/>
          <w:p>
            <w:pPr>
              <w:pStyle w:val="Compact"/>
              <w:jc w:val="left"/>
            </w:pPr>
            <w:r>
              <w:t xml:space="preserve">100%</w:t>
            </w:r>
          </w:p>
        </w:tc>
        <w:tc>
          <w:tcPr/>
          <w:p>
            <w:pPr>
              <w:pStyle w:val="Compact"/>
              <w:jc w:val="left"/>
            </w:pPr>
            <w:r>
              <w:t xml:space="preserve">N/A</w:t>
            </w:r>
          </w:p>
        </w:tc>
        <w:tc>
          <w:tcPr/>
          <w:p>
            <w:pPr>
              <w:pStyle w:val="Compact"/>
              <w:jc w:val="left"/>
            </w:pPr>
            <w:r>
              <w:t xml:space="preserve">5%</w:t>
            </w:r>
          </w:p>
        </w:tc>
        <w:tc>
          <w:tcPr/>
          <w:p>
            <w:pPr>
              <w:pStyle w:val="Compact"/>
              <w:jc w:val="left"/>
            </w:pPr>
            <w:r>
              <w:t xml:space="preserve">N/A</w:t>
            </w:r>
          </w:p>
        </w:tc>
        <w:tc>
          <w:tcPr/>
          <w:p>
            <w:pPr>
              <w:pStyle w:val="Compact"/>
              <w:jc w:val="left"/>
            </w:pPr>
            <w:r>
              <w:t xml:space="preserve">0%</w:t>
            </w:r>
          </w:p>
        </w:tc>
        <w:tc>
          <w:tcPr/>
          <w:p>
            <w:pPr>
              <w:pStyle w:val="Compact"/>
              <w:jc w:val="left"/>
            </w:pPr>
            <w:r>
              <w:t xml:space="preserve">N/A</w:t>
            </w:r>
          </w:p>
        </w:tc>
        <w:tc>
          <w:tcPr/>
          <w:p>
            <w:pPr>
              <w:pStyle w:val="Compact"/>
              <w:jc w:val="left"/>
            </w:pPr>
            <w:r>
              <w:t xml:space="preserve">60%</w:t>
            </w:r>
          </w:p>
        </w:tc>
        <w:tc>
          <w:tcPr/>
          <w:p>
            <w:pPr>
              <w:pStyle w:val="Compact"/>
              <w:jc w:val="left"/>
            </w:pPr>
            <w:r>
              <w:t xml:space="preserve">N/A</w:t>
            </w:r>
          </w:p>
        </w:tc>
        <w:tc>
          <w:tcPr/>
          <w:p>
            <w:pPr>
              <w:pStyle w:val="Compact"/>
              <w:jc w:val="left"/>
            </w:pPr>
            <w:r>
              <w:t xml:space="preserve">10%</w:t>
            </w:r>
          </w:p>
        </w:tc>
        <w:tc>
          <w:tcPr/>
          <w:p>
            <w:pPr>
              <w:pStyle w:val="Compact"/>
              <w:jc w:val="left"/>
            </w:pPr>
            <w:r>
              <w:t xml:space="preserve">N/A</w:t>
            </w:r>
          </w:p>
        </w:tc>
      </w:tr>
      <w:tr>
        <w:tc>
          <w:tcPr/>
          <w:p>
            <w:pPr>
              <w:pStyle w:val="Compact"/>
              <w:jc w:val="left"/>
            </w:pPr>
            <w:r>
              <w:t xml:space="preserve">TOTAL</w:t>
            </w:r>
          </w:p>
        </w:tc>
        <w:tc>
          <w:tcPr/>
          <w:p>
            <w:pPr>
              <w:pStyle w:val="Compact"/>
              <w:jc w:val="left"/>
            </w:pPr>
            <w:r>
              <w:t xml:space="preserve">190</w:t>
            </w:r>
          </w:p>
        </w:tc>
        <w:tc>
          <w:tcPr/>
          <w:p>
            <w:pPr>
              <w:pStyle w:val="Compact"/>
            </w:pPr>
          </w:p>
        </w:tc>
        <w:tc>
          <w:tcPr/>
          <w:p>
            <w:pPr>
              <w:pStyle w:val="Compact"/>
              <w:jc w:val="left"/>
            </w:pPr>
            <w:r>
              <w:t xml:space="preserve">74</w:t>
            </w:r>
          </w:p>
        </w:tc>
        <w:tc>
          <w:tcPr/>
          <w:p>
            <w:pPr>
              <w:pStyle w:val="Compact"/>
            </w:pPr>
          </w:p>
        </w:tc>
        <w:tc>
          <w:tcPr/>
          <w:p>
            <w:pPr>
              <w:pStyle w:val="Compact"/>
              <w:jc w:val="left"/>
            </w:pPr>
            <w:r>
              <w:t xml:space="preserve">154</w:t>
            </w:r>
          </w:p>
        </w:tc>
        <w:tc>
          <w:tcPr/>
          <w:p>
            <w:pPr>
              <w:pStyle w:val="Compact"/>
            </w:pPr>
          </w:p>
        </w:tc>
        <w:tc>
          <w:tcPr/>
          <w:p>
            <w:pPr>
              <w:pStyle w:val="Compact"/>
              <w:jc w:val="left"/>
            </w:pPr>
            <w:r>
              <w:t xml:space="preserve">102</w:t>
            </w:r>
          </w:p>
        </w:tc>
        <w:tc>
          <w:tcPr/>
          <w:p>
            <w:pPr>
              <w:pStyle w:val="Compact"/>
            </w:pPr>
          </w:p>
        </w:tc>
        <w:tc>
          <w:tcPr/>
          <w:p>
            <w:pPr>
              <w:pStyle w:val="Compact"/>
              <w:jc w:val="left"/>
            </w:pPr>
            <w:r>
              <w:t xml:space="preserve">69</w:t>
            </w:r>
          </w:p>
        </w:tc>
        <w:tc>
          <w:tcPr/>
          <w:p>
            <w:pPr>
              <w:pStyle w:val="Compact"/>
            </w:pPr>
          </w:p>
        </w:tc>
        <w:tc>
          <w:tcPr/>
          <w:p>
            <w:pPr>
              <w:pStyle w:val="Compact"/>
              <w:jc w:val="left"/>
            </w:pPr>
            <w:r>
              <w:t xml:space="preserve">115</w:t>
            </w:r>
          </w:p>
        </w:tc>
        <w:tc>
          <w:tcPr/>
          <w:p>
            <w:pPr>
              <w:pStyle w:val="Compact"/>
            </w:pPr>
          </w:p>
        </w:tc>
        <w:tc>
          <w:tcPr/>
          <w:p>
            <w:pPr>
              <w:pStyle w:val="Compact"/>
              <w:jc w:val="left"/>
            </w:pPr>
            <w:r>
              <w:t xml:space="preserve">94</w:t>
            </w:r>
          </w:p>
        </w:tc>
      </w:tr>
      <w:tr>
        <w:tc>
          <w:tcPr/>
          <w:p>
            <w:pPr>
              <w:pStyle w:val="Compact"/>
              <w:jc w:val="left"/>
            </w:pPr>
            <w:r>
              <w:t xml:space="preserve">Perare 9am the</w:t>
            </w:r>
          </w:p>
        </w:tc>
        <w:tc>
          <w:tcPr/>
          <w:p>
            <w:pPr>
              <w:pStyle w:val="Compact"/>
              <w:jc w:val="left"/>
            </w:pPr>
            <w:r>
              <w:t xml:space="preserve">the Ordinance: timeframe is the required. constructed by-right to 5pm various uses</w:t>
            </w:r>
          </w:p>
        </w:tc>
        <w:tc>
          <w:tcPr/>
          <w:p>
            <w:pPr>
              <w:pStyle w:val="Compact"/>
              <w:jc w:val="left"/>
            </w:pPr>
            <w:r>
              <w:t xml:space="preserve">“The required However, with timeframe). utilize the</w:t>
            </w:r>
          </w:p>
        </w:tc>
        <w:tc>
          <w:tcPr/>
          <w:p>
            <w:pPr>
              <w:pStyle w:val="Compact"/>
              <w:jc w:val="left"/>
            </w:pPr>
            <w:r>
              <w:t xml:space="preserve">numbers number the shared 154 spaces This is most</w:t>
            </w:r>
          </w:p>
        </w:tc>
        <w:tc>
          <w:tcPr/>
          <w:p>
            <w:pPr>
              <w:pStyle w:val="Compact"/>
              <w:jc w:val="left"/>
            </w:pPr>
            <w:r>
              <w:t xml:space="preserve">are of spaces.” parking (the because parking.</w:t>
            </w:r>
          </w:p>
        </w:tc>
        <w:tc>
          <w:tcPr/>
          <w:p>
            <w:pPr>
              <w:pStyle w:val="Compact"/>
              <w:jc w:val="left"/>
            </w:pPr>
            <w:r>
              <w:t xml:space="preserve">summed highest these</w:t>
            </w:r>
          </w:p>
        </w:tc>
        <w:tc>
          <w:tcPr/>
          <w:p>
            <w:pPr>
              <w:pStyle w:val="Compact"/>
              <w:jc w:val="left"/>
            </w:pPr>
            <w:r>
              <w:t xml:space="preserve">within Therefore, provision number timeframe</w:t>
            </w:r>
          </w:p>
        </w:tc>
        <w:tc>
          <w:tcPr/>
          <w:p>
            <w:pPr>
              <w:pStyle w:val="Compact"/>
              <w:jc w:val="left"/>
            </w:pPr>
            <w:r>
              <w:t xml:space="preserve">each with a allows this of calculations</w:t>
            </w:r>
          </w:p>
        </w:tc>
        <w:tc>
          <w:tcPr/>
          <w:p>
            <w:pPr>
              <w:pStyle w:val="Compact"/>
              <w:jc w:val="left"/>
            </w:pPr>
            <w:r>
              <w:t xml:space="preserve">timeframe straight example spaces within take</w:t>
            </w:r>
          </w:p>
        </w:tc>
        <w:tc>
          <w:tcPr/>
          <w:p>
            <w:pPr>
              <w:pStyle w:val="Compact"/>
              <w:jc w:val="left"/>
            </w:pPr>
            <w:r>
              <w:t xml:space="preserve">and the parking the into</w:t>
            </w:r>
          </w:p>
        </w:tc>
        <w:tc>
          <w:tcPr/>
          <w:p>
            <w:pPr>
              <w:pStyle w:val="Compact"/>
              <w:jc w:val="left"/>
            </w:pPr>
            <w:r>
              <w:t xml:space="preserve">highest calculation, multi-use various account</w:t>
            </w:r>
          </w:p>
        </w:tc>
        <w:tc>
          <w:tcPr/>
          <w:p>
            <w:pPr>
              <w:pStyle w:val="Compact"/>
              <w:jc w:val="left"/>
            </w:pPr>
            <w:r>
              <w:t xml:space="preserve">sum 190 office park timeframes the times</w:t>
            </w:r>
          </w:p>
        </w:tc>
        <w:tc>
          <w:tcPr/>
          <w:p>
            <w:pPr>
              <w:pStyle w:val="Compact"/>
              <w:jc w:val="left"/>
            </w:pPr>
            <w:r>
              <w:t xml:space="preserve">total in a spaces to be - the of day</w:t>
            </w:r>
          </w:p>
        </w:tc>
        <w:tc>
          <w:tcPr/>
          <w:p>
            <w:pPr>
              <w:pStyle w:val="Compact"/>
            </w:pPr>
          </w:p>
        </w:tc>
      </w:tr>
    </w:tbl>
    <w:bookmarkEnd w:id="112"/>
    <w:bookmarkStart w:id="113" w:name="trees-and-landscaping"/>
    <w:p>
      <w:pPr>
        <w:pStyle w:val="Heading1"/>
      </w:pPr>
      <w:r>
        <w:t xml:space="preserve">§ 15. TREES AND LANDSCAPING</w:t>
      </w:r>
    </w:p>
    <w:p>
      <w:pPr>
        <w:pStyle w:val="FirstParagraph"/>
      </w:pPr>
      <w:r>
        <w:t xml:space="preserve">ARTICLE 15. TREES AND LANDSCAPING 1500 LANDSCAPING REQUIRED 1501 LANDSCAPE PLAN 1502 LANDSCAPE DESIGN STANDARDS 1503 ON-SITE LANDSCAPING AND REQUIRED TREES 1504 PARKING LOT PERIMETER LANDSCAPE STRIP 1505 INTERIOR PARKING LOT LANDSCAPING 1506 SCREENING OF PARKING LOTS FROM RESIDENTIAL DISTRICTS 1507 WATERBODY VEGETATIVE BUFFERS</w:t>
      </w:r>
    </w:p>
    <w:bookmarkEnd w:id="113"/>
    <w:bookmarkStart w:id="114" w:name="landscaping-required"/>
    <w:p>
      <w:pPr>
        <w:pStyle w:val="Heading2"/>
      </w:pPr>
      <w:r>
        <w:t xml:space="preserve">§ 1500. LANDSCAPING REQUIRED</w:t>
      </w:r>
    </w:p>
    <w:p>
      <w:pPr>
        <w:pStyle w:val="FirstParagraph"/>
      </w:pPr>
      <w:r>
        <w:t xml:space="preserve">1500 LANDSCAPING REQUIRED</w:t>
      </w:r>
    </w:p>
    <w:p>
      <w:pPr>
        <w:numPr>
          <w:ilvl w:val="0"/>
          <w:numId w:val="2698"/>
        </w:numPr>
      </w:pPr>
      <w:r>
        <w:t xml:space="preserve">A. Development activity that meets any of the criteria described below triggers conformance with this Article:</w:t>
      </w:r>
    </w:p>
    <w:p>
      <w:pPr>
        <w:numPr>
          <w:ilvl w:val="0"/>
          <w:numId w:val="2699"/>
        </w:numPr>
      </w:pPr>
      <w:r>
        <w:t xml:space="preserve">1. At a minimum, full conformance is required for the entire development or area within the limits of disturbance, whichever is less.</w:t>
      </w:r>
    </w:p>
    <w:p>
      <w:pPr>
        <w:numPr>
          <w:ilvl w:val="0"/>
          <w:numId w:val="2700"/>
        </w:numPr>
      </w:pPr>
      <w:r>
        <w:t xml:space="preserve">2. If land within limits of disturbance equals more than 50% of the area of the lot or lots being developed, the entire development shall fully conform to the requirements of this Article.</w:t>
      </w:r>
    </w:p>
    <w:p>
      <w:pPr>
        <w:numPr>
          <w:ilvl w:val="0"/>
          <w:numId w:val="2701"/>
        </w:numPr>
      </w:pPr>
      <w:r>
        <w:t xml:space="preserve">3. Full conformance is required when new principal buildings are constructed in the R-1A, R-1, R-3, and RP Districts. No development or tree cutting may result in a loss of trees and landscaping below what is required by this Article.</w:t>
      </w:r>
    </w:p>
    <w:bookmarkEnd w:id="114"/>
    <w:bookmarkStart w:id="115" w:name="landscape-plan"/>
    <w:p>
      <w:pPr>
        <w:pStyle w:val="Heading2"/>
      </w:pPr>
      <w:r>
        <w:t xml:space="preserve">§ 1501. LANDSCAPE PLAN</w:t>
      </w:r>
    </w:p>
    <w:p>
      <w:pPr>
        <w:pStyle w:val="FirstParagraph"/>
      </w:pPr>
      <w:r>
        <w:t xml:space="preserve">1501 LANDSCAPE PLAN</w:t>
      </w:r>
    </w:p>
    <w:p>
      <w:pPr>
        <w:numPr>
          <w:ilvl w:val="0"/>
          <w:numId w:val="2702"/>
        </w:numPr>
      </w:pPr>
      <w:r>
        <w:t xml:space="preserve">A. Content of Landscape Plan</w:t>
      </w:r>
    </w:p>
    <w:p>
      <w:pPr>
        <w:numPr>
          <w:ilvl w:val="0"/>
          <w:numId w:val="1000"/>
        </w:numPr>
      </w:pPr>
      <w:r>
        <w:t xml:space="preserve">1. The location and dimensions of all existing and proposed structures, property lines, easements, parking lots and drives, rights-of-way, refuse disposal and recycling areas, pedestrian and bicycle paths, fences, mechanical equipment, overhead utility wires, and drainage facilities.</w:t>
      </w:r>
    </w:p>
    <w:p>
      <w:pPr>
        <w:numPr>
          <w:ilvl w:val="0"/>
          <w:numId w:val="2703"/>
        </w:numPr>
      </w:pPr>
      <w:r>
        <w:t xml:space="preserve">2. The location, quantity, size, name, and condition, both botanical and common, of all existing trees and shrubs on-site, indicating trees and shrubs to be retained and removed.</w:t>
      </w:r>
    </w:p>
    <w:p>
      <w:pPr>
        <w:numPr>
          <w:ilvl w:val="0"/>
          <w:numId w:val="2704"/>
        </w:numPr>
      </w:pPr>
      <w:r>
        <w:t xml:space="preserve">3. The location, quantity, size, and name, both botanical and common, of all proposed plant material.</w:t>
      </w:r>
    </w:p>
    <w:p>
      <w:pPr>
        <w:numPr>
          <w:ilvl w:val="0"/>
          <w:numId w:val="2705"/>
        </w:numPr>
      </w:pPr>
      <w:r>
        <w:t xml:space="preserve">4. The existing and proposed grading of the site indicating contours at one foot intervals. Proposed berming shall also be indicated using one foot contour intervals.</w:t>
      </w:r>
    </w:p>
    <w:p>
      <w:pPr>
        <w:numPr>
          <w:ilvl w:val="0"/>
          <w:numId w:val="2706"/>
        </w:numPr>
      </w:pPr>
      <w:r>
        <w:t xml:space="preserve">5. Elevations of all proposed fences, walls, stairs, and retaining walls.</w:t>
      </w:r>
    </w:p>
    <w:p>
      <w:pPr>
        <w:numPr>
          <w:ilvl w:val="0"/>
          <w:numId w:val="2707"/>
        </w:numPr>
      </w:pPr>
      <w:r>
        <w:t xml:space="preserve">6. The location, size, and material of retaining methods required to prevent erosion of landscaping material in permeable areas onto adjacent properties or rights of way.</w:t>
      </w:r>
    </w:p>
    <w:p>
      <w:pPr>
        <w:pStyle w:val="Compact"/>
        <w:numPr>
          <w:ilvl w:val="0"/>
          <w:numId w:val="2708"/>
        </w:numPr>
      </w:pPr>
    </w:p>
    <w:p>
      <w:pPr>
        <w:numPr>
          <w:ilvl w:val="1"/>
          <w:numId w:val="2709"/>
        </w:numPr>
      </w:pPr>
      <w:r>
        <w:t xml:space="preserve">B. Enforcement of Landscape Plan</w:t>
      </w:r>
    </w:p>
    <w:p>
      <w:pPr>
        <w:numPr>
          <w:ilvl w:val="1"/>
          <w:numId w:val="1000"/>
        </w:numPr>
      </w:pPr>
      <w:r>
        <w:t xml:space="preserve">1. No certificate of occupancy shall be issued until all the requirements of this Article and the landscape plan have been fulfilled.</w:t>
      </w:r>
    </w:p>
    <w:p>
      <w:pPr>
        <w:numPr>
          <w:ilvl w:val="0"/>
          <w:numId w:val="2710"/>
        </w:numPr>
      </w:pPr>
      <w:r>
        <w:t xml:space="preserve">2. If weather prohibits the installation of landscaping at the time a certificate of occupancy is applied for, a temporary certificate of occupancy may be issued for a six-month period.</w:t>
      </w:r>
    </w:p>
    <w:bookmarkEnd w:id="115"/>
    <w:bookmarkStart w:id="116" w:name="landscape-design-standards"/>
    <w:p>
      <w:pPr>
        <w:pStyle w:val="Heading2"/>
      </w:pPr>
      <w:r>
        <w:t xml:space="preserve">§ 1502. LANDSCAPE DESIGN STANDARDS</w:t>
      </w:r>
    </w:p>
    <w:p>
      <w:pPr>
        <w:pStyle w:val="FirstParagraph"/>
      </w:pPr>
      <w:r>
        <w:t xml:space="preserve">1502 LANDSCAPE DESIGN STANDARDS</w:t>
      </w:r>
    </w:p>
    <w:p>
      <w:pPr>
        <w:numPr>
          <w:ilvl w:val="0"/>
          <w:numId w:val="2711"/>
        </w:numPr>
      </w:pPr>
      <w:r>
        <w:t xml:space="preserve">A. Selection of Plant Materials All plant materials shall be of good quality and meet American Association of Nurserymen (AAN) standards for minimum acceptable form, quality, and size for species selected, and capable to withstand the seasonal temperature variations of Rhode Island, as well as the individual site microclimate. The use of species native or naturalized to Rhode Island is encouraged. Size and density of plant material, both at the time of planting and at maturity, are additional criteria that shall be considered when selecting plant material. Where appropriate, the use of drought and salt tolerant plant material is preferred.</w:t>
      </w:r>
    </w:p>
    <w:p>
      <w:pPr>
        <w:numPr>
          <w:ilvl w:val="0"/>
          <w:numId w:val="2712"/>
        </w:numPr>
      </w:pPr>
      <w:r>
        <w:t xml:space="preserve">B. Installation of Plant Materials All landscape materials shall be installed in accordance with the current planting procedures established by the AAN. All plant materials shall be free of disease and installed so that soil of sufficient volume, composition, and nutrient balance are available to sustain healthy growth. Installation of plant materials during the appropriate growing season is encouraged.</w:t>
      </w:r>
    </w:p>
    <w:p>
      <w:pPr>
        <w:numPr>
          <w:ilvl w:val="0"/>
          <w:numId w:val="2713"/>
        </w:numPr>
      </w:pPr>
      <w:r>
        <w:t xml:space="preserve">C. Minimum Planting Sizes</w:t>
      </w:r>
    </w:p>
    <w:p>
      <w:pPr>
        <w:numPr>
          <w:ilvl w:val="0"/>
          <w:numId w:val="1000"/>
        </w:numPr>
      </w:pPr>
      <w:r>
        <w:t xml:space="preserve">1. Shade trees shall have a minimum trunk size of two inches in tree caliper at planting.</w:t>
      </w:r>
    </w:p>
    <w:p>
      <w:pPr>
        <w:numPr>
          <w:ilvl w:val="0"/>
          <w:numId w:val="2714"/>
        </w:numPr>
      </w:pPr>
      <w:r>
        <w:t xml:space="preserve">2. Evergreens trees shall have a minimum height of six feet at planting.</w:t>
      </w:r>
    </w:p>
    <w:p>
      <w:pPr>
        <w:numPr>
          <w:ilvl w:val="0"/>
          <w:numId w:val="2715"/>
        </w:numPr>
      </w:pPr>
      <w:r>
        <w:t xml:space="preserve">3. Single stem ornamental trees shall have a minimum trunk size of two inches in tree caliper at planting. Multiple stem ornamental trees shall have a minimum height of eight feet at planting.</w:t>
      </w:r>
    </w:p>
    <w:p>
      <w:pPr>
        <w:numPr>
          <w:ilvl w:val="0"/>
          <w:numId w:val="2716"/>
        </w:numPr>
      </w:pPr>
      <w:r>
        <w:t xml:space="preserve">4. Large deciduous and evergreen shrubs shall have minimum height of three feet at installation. Small deciduous and evergreen shrubs shall have a minimum height of 18 inches at installation. Large shrubs are those shrubs that reach five or more feet in height at maturity. Small shrubs are those shrubs that may grow up to five feet in height if left unmaintained, but are generally maintained at heights of 18 to 30 inches.</w:t>
      </w:r>
    </w:p>
    <w:p>
      <w:pPr>
        <w:pStyle w:val="Compact"/>
        <w:numPr>
          <w:ilvl w:val="0"/>
          <w:numId w:val="2717"/>
        </w:numPr>
      </w:pPr>
    </w:p>
    <w:p>
      <w:pPr>
        <w:numPr>
          <w:ilvl w:val="1"/>
          <w:numId w:val="2718"/>
        </w:numPr>
      </w:pPr>
      <w:r>
        <w:t xml:space="preserve">D. Species Diversity Diversity is required in plant material for visual interest and to reduce the risk of losing a large population of plants due to disease.</w:t>
      </w:r>
    </w:p>
    <w:p>
      <w:pPr>
        <w:pStyle w:val="Compact"/>
        <w:numPr>
          <w:ilvl w:val="0"/>
          <w:numId w:val="2719"/>
        </w:numPr>
      </w:pPr>
    </w:p>
    <w:p>
      <w:pPr>
        <w:numPr>
          <w:ilvl w:val="1"/>
          <w:numId w:val="2720"/>
        </w:numPr>
      </w:pPr>
      <w:r>
        <w:t xml:space="preserve">E. Maintenance</w:t>
      </w:r>
    </w:p>
    <w:p>
      <w:pPr>
        <w:numPr>
          <w:ilvl w:val="1"/>
          <w:numId w:val="1000"/>
        </w:numPr>
      </w:pPr>
      <w:r>
        <w:t xml:space="preserve">1. Landscape material depicted on approved landscape plans is considered a required site element in the same manner as structures, parking, lighting, and other improvements. As such, the property owner is responsible for the maintenance, repair, and replacement of all landscape material, fences, walls, steps, retaining walls, and similar landscape elements.</w:t>
      </w:r>
    </w:p>
    <w:p>
      <w:pPr>
        <w:numPr>
          <w:ilvl w:val="0"/>
          <w:numId w:val="2721"/>
        </w:numPr>
      </w:pPr>
      <w:r>
        <w:t xml:space="preserve">2. All landscape material shall be maintained in good condition, present a healthy, neat, and orderly appearance, and kept free of refuse and debris. Any dead, unhealthy, or missing plants shall be replaced within 60 days.</w:t>
      </w:r>
    </w:p>
    <w:p>
      <w:pPr>
        <w:pStyle w:val="Compact"/>
        <w:numPr>
          <w:ilvl w:val="0"/>
          <w:numId w:val="2722"/>
        </w:numPr>
      </w:pPr>
    </w:p>
    <w:p>
      <w:pPr>
        <w:numPr>
          <w:ilvl w:val="1"/>
          <w:numId w:val="2723"/>
        </w:numPr>
      </w:pPr>
      <w:r>
        <w:t xml:space="preserve">F. Tree Protection During Development</w:t>
      </w:r>
    </w:p>
    <w:p>
      <w:pPr>
        <w:numPr>
          <w:ilvl w:val="1"/>
          <w:numId w:val="1000"/>
        </w:numPr>
      </w:pPr>
      <w:r>
        <w:t xml:space="preserve">1. During development, all precautions shall be undertaken to prevent construction damage to existing trees, as described in the City Tree Ordinance of the Providence Code of Ordinances. Protection includes prevention of injury to the trunk, branches, and root systems.</w:t>
      </w:r>
    </w:p>
    <w:p>
      <w:pPr>
        <w:numPr>
          <w:ilvl w:val="0"/>
          <w:numId w:val="2724"/>
        </w:numPr>
      </w:pPr>
      <w:r>
        <w:t xml:space="preserve">2. No person may create a trench through the root system of an existing tree, expose the roots to the air overnight without a method for maintaining moisture, change the soil grade within the dripline of the tree, or cause soil compaction with the use of vehicles, machinery, or other method. The root systems of trees on adjacent lots shall also be protected.</w:t>
      </w:r>
    </w:p>
    <w:bookmarkEnd w:id="116"/>
    <w:bookmarkStart w:id="117" w:name="on-site-landscaping-and-required-trees"/>
    <w:p>
      <w:pPr>
        <w:pStyle w:val="Heading2"/>
      </w:pPr>
      <w:r>
        <w:t xml:space="preserve">§ 1503. ON-SITE LANDSCAPING AND REQUIRED TREES</w:t>
      </w:r>
    </w:p>
    <w:p>
      <w:pPr>
        <w:pStyle w:val="FirstParagraph"/>
      </w:pPr>
      <w:r>
        <w:t xml:space="preserve">1503 ON-SITE LANDSCAPING AND REQUIRED TREES</w:t>
      </w:r>
    </w:p>
    <w:p>
      <w:pPr>
        <w:numPr>
          <w:ilvl w:val="0"/>
          <w:numId w:val="2725"/>
        </w:numPr>
      </w:pPr>
      <w:r>
        <w:t xml:space="preserve">A. General Requirements</w:t>
      </w:r>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All portions of a lot not covered by structures or paved surfaces shall be landscaped with trees, 1.</w:t>
            </w:r>
          </w:p>
        </w:tc>
      </w:tr>
      <w:tr>
        <w:tc>
          <w:tcPr/>
          <w:p>
            <w:pPr>
              <w:pStyle w:val="Compact"/>
            </w:pPr>
          </w:p>
        </w:tc>
        <w:tc>
          <w:tcPr/>
          <w:p>
            <w:pPr>
              <w:pStyle w:val="Compact"/>
              <w:jc w:val="left"/>
            </w:pPr>
            <w:r>
              <w:t xml:space="preserve">shrubbery, grass, live groundcover, and other plantings. The landscape design may also include</w:t>
            </w:r>
          </w:p>
        </w:tc>
      </w:tr>
      <w:tr>
        <w:tc>
          <w:tcPr/>
          <w:p>
            <w:pPr>
              <w:pStyle w:val="Compact"/>
            </w:pPr>
          </w:p>
        </w:tc>
        <w:tc>
          <w:tcPr/>
          <w:p>
            <w:pPr>
              <w:pStyle w:val="Compact"/>
              <w:jc w:val="left"/>
            </w:pPr>
            <w:r>
              <w:t xml:space="preserve">the use of stone, mulch beds, or other pervious landscaping materials (this excludes pervious</w:t>
            </w:r>
          </w:p>
        </w:tc>
      </w:tr>
      <w:tr>
        <w:tc>
          <w:tcPr/>
          <w:p>
            <w:pPr>
              <w:pStyle w:val="Compact"/>
            </w:pPr>
          </w:p>
        </w:tc>
        <w:tc>
          <w:tcPr/>
          <w:p>
            <w:pPr>
              <w:pStyle w:val="Compact"/>
              <w:jc w:val="left"/>
            </w:pPr>
            <w:r>
              <w:t xml:space="preserve">pavement).</w:t>
            </w:r>
          </w:p>
        </w:tc>
      </w:tr>
      <w:tr>
        <w:tc>
          <w:tcPr/>
          <w:p>
            <w:pPr>
              <w:pStyle w:val="Compact"/>
            </w:pPr>
          </w:p>
        </w:tc>
        <w:tc>
          <w:tcPr/>
          <w:p>
            <w:pPr>
              <w:pStyle w:val="Compact"/>
              <w:jc w:val="left"/>
            </w:pPr>
            <w:r>
              <w:t xml:space="preserve">All existing plantings that are maintained on a site may be counted toward any required on-site 2.</w:t>
            </w:r>
          </w:p>
        </w:tc>
      </w:tr>
      <w:tr>
        <w:tc>
          <w:tcPr/>
          <w:p>
            <w:pPr>
              <w:pStyle w:val="Compact"/>
            </w:pPr>
          </w:p>
        </w:tc>
        <w:tc>
          <w:tcPr/>
          <w:p>
            <w:pPr>
              <w:pStyle w:val="Compact"/>
              <w:jc w:val="left"/>
            </w:pPr>
            <w:r>
              <w:t xml:space="preserve">landscaping.</w:t>
            </w:r>
          </w:p>
        </w:tc>
      </w:tr>
      <w:tr>
        <w:tc>
          <w:tcPr/>
          <w:p>
            <w:pPr>
              <w:pStyle w:val="Compact"/>
              <w:jc w:val="left"/>
            </w:pPr>
            <w:r>
              <w:t xml:space="preserve">B. C.</w:t>
            </w:r>
          </w:p>
        </w:tc>
        <w:tc>
          <w:tcPr/>
          <w:p>
            <w:pPr>
              <w:pStyle w:val="Compact"/>
              <w:jc w:val="left"/>
            </w:pPr>
            <w:r>
              <w:t xml:space="preserve">Nothing in this section prohibits tree pruning to promote the health of a tree or for public safety 3. purposes. Significant Tree Preservation A significant tree is any tree that measures 32 inches or more in diameter at four and one-half feet 1. above the ground. No significant tree may be removed without the permission of the City Forester. Removal of a significant tree without City Forester approval is a violation of this ordinance. Any person wishing to remove a significant tree shall file a request with the City Forester. In order 2. to grant permission to remove a significant tree, the City Forester shall make one or more of the following findings within 30 days of receipt of the request: The tree is in poor health or diseased with an expected life span less than two years. a. The removal of the tree is unavoidable because the tree poses a danger to property or human b. health, safety, and welfare. The tree prevents the property owner from developing the property in conformance with this c. ordinance, and there are no alternatives to removal of the tree. In this case, the City Forester shall not approve removal of the tree until a permit for new construction has been approved. When a significant tree is removed with City Forester approval under 2.a or b above, the property 3. owner shall plant at least one large tree to replace it on the same property or in a location to be determined by the City Forester. When a significant tree is removed with City Forester approval under 2.c above or without City Forester approval, the property owner shall plant at least three large trees to replace it on the same property or in a location to be determined by the City Forester. Required Tree Canopy 1. Required Tree Canopy Percentage Sufficient trees shall be retained and/or planted on a lot so that the square footage of vegetative canopy of such trees, when mature, equals a certain percentage of the square footage of the lot. This required percentage is established by district as follows: All residential districts, and the PS, OS, and CD Districts: 30% of the square footage of the lot a. I-1 and I-2 Districts: 30% of the square footage of the lot b. D-1 District: 15% of the lot area not occupied by a structure c. All other districts: 15% of the square footage of the lot d. 2. Calculation of Tree Canopy Coverage The total canopy coverage for a lot is the sum of the canopy, at maturity, of the individual trees located on the lot. The square footage of canopy cover varies according to tree species. The City Forester maintains a list of trees species and the expected size of the canopy for each species, at</w:t>
            </w:r>
          </w:p>
        </w:tc>
      </w:tr>
    </w:tbl>
    <w:p>
      <w:pPr>
        <w:numPr>
          <w:ilvl w:val="0"/>
          <w:numId w:val="2726"/>
        </w:numPr>
      </w:pPr>
      <w:r>
        <w:t xml:space="preserve">3. Nothing in this section prohibits tree pruning to promote the health of a tree or for public safety purposes.</w:t>
      </w:r>
    </w:p>
    <w:p>
      <w:pPr>
        <w:pStyle w:val="Compact"/>
        <w:numPr>
          <w:ilvl w:val="0"/>
          <w:numId w:val="2727"/>
        </w:numPr>
      </w:pPr>
    </w:p>
    <w:p>
      <w:pPr>
        <w:numPr>
          <w:ilvl w:val="1"/>
          <w:numId w:val="2728"/>
        </w:numPr>
      </w:pPr>
      <w:r>
        <w:t xml:space="preserve">B. Significant Tree Preservation</w:t>
      </w:r>
    </w:p>
    <w:p>
      <w:pPr>
        <w:numPr>
          <w:ilvl w:val="1"/>
          <w:numId w:val="1000"/>
        </w:numPr>
      </w:pPr>
      <w:r>
        <w:t xml:space="preserve">1. A significant tree is any tree that measures 32 inches or more in diameter at four and one-half feet above the ground. No significant tree may be removed without the permission of the City Forester. Removal of a significant tree without City Forester approval is a violation of this ordinance.</w:t>
      </w:r>
    </w:p>
    <w:p>
      <w:pPr>
        <w:numPr>
          <w:ilvl w:val="0"/>
          <w:numId w:val="2729"/>
        </w:numPr>
      </w:pPr>
      <w:r>
        <w:t xml:space="preserve">2. Any person wishing to remove a significant tree shall file a request with the City Forester. In order to grant permission to remove a significant tree, the City Forester shall make one or more of the following findings within 30 days of receipt of the request: a. The tree is in poor health or diseased with an expected life span less than two years.</w:t>
      </w:r>
    </w:p>
    <w:p>
      <w:pPr>
        <w:pStyle w:val="Compact"/>
        <w:numPr>
          <w:ilvl w:val="0"/>
          <w:numId w:val="2730"/>
        </w:numPr>
      </w:pPr>
    </w:p>
    <w:p>
      <w:pPr>
        <w:numPr>
          <w:ilvl w:val="1"/>
          <w:numId w:val="2731"/>
        </w:numPr>
      </w:pPr>
      <w:r>
        <w:t xml:space="preserve">b. The removal of the tree is unavoidable because the tree poses a danger to property or human health, safety, and welfare.</w:t>
      </w:r>
    </w:p>
    <w:p>
      <w:pPr>
        <w:pStyle w:val="Compact"/>
        <w:numPr>
          <w:ilvl w:val="0"/>
          <w:numId w:val="2732"/>
        </w:numPr>
      </w:pPr>
    </w:p>
    <w:p>
      <w:pPr>
        <w:numPr>
          <w:ilvl w:val="1"/>
          <w:numId w:val="2733"/>
        </w:numPr>
      </w:pPr>
      <w:r>
        <w:t xml:space="preserve">c. The tree prevents the property owner from developing the property in conformance with this ordinance, and there are no alternatives to removal of the tree. In this case, the City Forester shall not approve removal of the tree until a permit for new construction has been approved.</w:t>
      </w:r>
    </w:p>
    <w:p>
      <w:pPr>
        <w:numPr>
          <w:ilvl w:val="0"/>
          <w:numId w:val="2734"/>
        </w:numPr>
      </w:pPr>
      <w:r>
        <w:t xml:space="preserve">3. When a significant tree is removed with City Forester approval under 2.a or b above, the property owner shall plant at least one large tree to replace it on the same property or in a location to be determined by the City Forester. When a significant tree is removed with City Forester approval under 2.c above or without City Forester approval, the property owner shall plant at least three large trees to replace it on the same property or in a location to be determined by the City Forester.</w:t>
      </w:r>
    </w:p>
    <w:p>
      <w:pPr>
        <w:pStyle w:val="Compact"/>
        <w:numPr>
          <w:ilvl w:val="0"/>
          <w:numId w:val="2735"/>
        </w:numPr>
      </w:pPr>
    </w:p>
    <w:p>
      <w:pPr>
        <w:numPr>
          <w:ilvl w:val="1"/>
          <w:numId w:val="2736"/>
        </w:numPr>
      </w:pPr>
      <w:r>
        <w:t xml:space="preserve">C. Required Tree Canopy</w:t>
      </w:r>
    </w:p>
    <w:p>
      <w:pPr>
        <w:numPr>
          <w:ilvl w:val="1"/>
          <w:numId w:val="1000"/>
        </w:numPr>
      </w:pPr>
      <w:r>
        <w:t xml:space="preserve">1. Required Tree Canopy Percentage Sufficient trees shall be retained and/or planted on a lot so that the square footage of vegetative canopy of such trees, when mature, equals a certain percentage of the square footage of the lot. This required percentage is established by district as follows: a. All residential districts, and the PS, OS, and CD Districts: 30% of the square footage of the lot b. I-1 and I-2 Districts: 30% of the square footage of the lot c. D-1 District: 15% of the lot area not occupied by a structure d. All other districts: 15% of the square footage of the lot 2. Calculation of Tree Canopy Coverage The total canopy coverage for a lot is the sum of the canopy, at maturity, of the individual trees located on the lot. The square footage of canopy cover varies according to tree species. The City Forester maintains a list of trees species and the expected size of the canopy for each species, at maturity, when planted. Trees are classified as small, medium, or large and the canopy coverage credit for each classification is as follows: a. Large: 1,000sf b. Medium: 700sf c. Small: 300sf 3. Tree Retention Bonus Additional credit for canopy coverage may be granted for the retention of healthy trees of appropriate species and in the proper location, subject to the approval of the City Forester. The following thresholds and associated coverage bonus is as follows: a. Tree diameter at four and one-half feet above the ground is between 10 and 19 inches: 300sf of canopy coverage credit b. Tree diameter at four and one-half feet above the ground is 20 inches or greater: 700sf of canopy coverage credit 4. Street Tree Accommodation Existing or planned street trees located in the public right-of-way directly adjacent to the lot line may be counted toward the canopy coverage for the lot.</w:t>
      </w:r>
    </w:p>
    <w:p>
      <w:pPr>
        <w:numPr>
          <w:ilvl w:val="0"/>
          <w:numId w:val="2737"/>
        </w:numPr>
      </w:pPr>
      <w:r>
        <w:t xml:space="preserve">5. Landscaping for Multiple Lots For developments that encompass more than one lot, the percentage is calculated for the total canopy for the total area of all of the lots. For developments that span multiple blocks, the percentage required is calculated separately for each contiguous area of the development within a block.</w:t>
      </w:r>
    </w:p>
    <w:p>
      <w:pPr>
        <w:numPr>
          <w:ilvl w:val="0"/>
          <w:numId w:val="2738"/>
        </w:numPr>
      </w:pPr>
      <w:r>
        <w:t xml:space="preserve">6. Off-Site Planting Permission Where existing conditions or other provisions of this Ordinance make it impracticable to meet the canopy coverage requirement on or adjacent to the site, the applicant shall plant sufficient trees to make up the shortfall in public rights-of-way within one-quarter mile of the lot, with the location to be determined by the City Forester.</w:t>
      </w:r>
    </w:p>
    <w:bookmarkEnd w:id="117"/>
    <w:bookmarkStart w:id="118" w:name="parking-lot-perimeter-landscape-strip"/>
    <w:p>
      <w:pPr>
        <w:pStyle w:val="Heading2"/>
      </w:pPr>
      <w:r>
        <w:t xml:space="preserve">§ 1504. PARKING LOT PERIMETER LANDSCAPE STRIP</w:t>
      </w:r>
    </w:p>
    <w:p>
      <w:pPr>
        <w:pStyle w:val="FirstParagraph"/>
      </w:pPr>
      <w:r>
        <w:t xml:space="preserve">1504 PARKING LOT PERIMETER LANDSCAPE STRIP A perimeter landscape strip is required for all parking lots that abut a public right-of-way, excluding curb cuts, and shall be established along the edge of the parking lot that abuts such public right-of-way to screen the parking lot. The landscape treatment shall run the full length of the parking lot perimeter along the rightof-way. The landscape strip shall be improved as follows: (Figure 15-1)</w:t>
      </w:r>
    </w:p>
    <w:p>
      <w:pPr>
        <w:numPr>
          <w:ilvl w:val="0"/>
          <w:numId w:val="2739"/>
        </w:numPr>
      </w:pPr>
      <w:r>
        <w:t xml:space="preserve">A. The perimeter parking lot landscape strip shall be a minimum of five feet in depth. There shall be a minimum linear distance of six inches between wheels stops or curbs and the landscape strip to accommodate vehicle bumper overhang, which is not included in the minimum five foot calculation.</w:t>
      </w:r>
    </w:p>
    <w:p>
      <w:pPr>
        <w:numPr>
          <w:ilvl w:val="0"/>
          <w:numId w:val="2740"/>
        </w:numPr>
      </w:pPr>
      <w:r>
        <w:t xml:space="preserve">B. One shade tree shall be planted for every 25 feet of landscape strip length, spaced linearly.</w:t>
      </w:r>
    </w:p>
    <w:p>
      <w:pPr>
        <w:numPr>
          <w:ilvl w:val="0"/>
          <w:numId w:val="2741"/>
        </w:numPr>
      </w:pPr>
      <w:r>
        <w:t xml:space="preserve">C. The landscape strip shall also be planted over a minimum of 60% of its length with shrubs, perennials, native grasses, and other planting types that provide screening of a minimum of three feet in height.</w:t>
      </w:r>
    </w:p>
    <w:p>
      <w:pPr>
        <w:numPr>
          <w:ilvl w:val="0"/>
          <w:numId w:val="2742"/>
        </w:numPr>
      </w:pPr>
      <w:r>
        <w:t xml:space="preserve">D. Alternatively, a low fence or pedestrian wall a minimum of three feet to a maximum of four feet in height may be used instead of such plantings. Where feasible, plant materials shall be installed between the sidewalk and the wall to provide a softening effect on the fence or wall.</w:t>
      </w:r>
    </w:p>
    <w:p>
      <w:pPr>
        <w:numPr>
          <w:ilvl w:val="0"/>
          <w:numId w:val="2743"/>
        </w:numPr>
      </w:pPr>
      <w:r>
        <w:t xml:space="preserve">E. Where existing conditions or other provisions of this Ordinance make it impracticable to meet the perimeter landscape strip requirements, the City Forester may approve a modification to the width or location of the perimeter landscape strip, or the spacing or number of trees in the perimeter landscape strip, so long as there is no net loss of planted area or number of trees required.</w:t>
      </w:r>
    </w:p>
    <w:p>
      <w:pPr>
        <w:numPr>
          <w:ilvl w:val="0"/>
          <w:numId w:val="2744"/>
        </w:numPr>
      </w:pPr>
      <w:r>
        <w:t xml:space="preserve">F. The use of stormwater management techniques such as rain gardens and bioswales is encouraged in landscape strips. Landscaped areas should be designed for the absorption of stormwater.</w:t>
      </w:r>
    </w:p>
    <w:bookmarkEnd w:id="118"/>
    <w:bookmarkStart w:id="119" w:name="interior-parking-lot-landscaping"/>
    <w:p>
      <w:pPr>
        <w:pStyle w:val="Heading2"/>
      </w:pPr>
      <w:r>
        <w:t xml:space="preserve">§ 1505. INTERIOR PARKING LOT LANDSCAPING</w:t>
      </w:r>
    </w:p>
    <w:p>
      <w:pPr>
        <w:pStyle w:val="FirstParagraph"/>
      </w:pPr>
      <w:r>
        <w:t xml:space="preserve">1505 INTERIOR PARKING LOT LANDSCAPING All parking lots consisting of 20,000 square feet or more require interior parking lot landscaping as described in this section. When the calculation of interior parking lot landscaping requirements results in a fraction, said fraction is rounded up. (Figure 15-2)</w:t>
      </w:r>
    </w:p>
    <w:p>
      <w:pPr>
        <w:numPr>
          <w:ilvl w:val="0"/>
          <w:numId w:val="2745"/>
        </w:numPr>
      </w:pPr>
      <w:r>
        <w:t xml:space="preserve">A. One parking lot island shall be provided between every ten parking spaces. As part of the landscape plan approval, parking lot island locations may be varied based on specific site requirements or design scheme, but the total number of islands shall be no less than the amount required of one island for every ten spaces.</w:t>
      </w:r>
    </w:p>
    <w:p>
      <w:pPr>
        <w:numPr>
          <w:ilvl w:val="0"/>
          <w:numId w:val="2746"/>
        </w:numPr>
      </w:pPr>
      <w:r>
        <w:t xml:space="preserve">B. In addition to parking lot islands, additional landscape areas shall be provided within the interior of parking lots. The minimum total landscape area of a parking lot, including parking lot islands, shall be 10% of the total parking lot area. Parking lot perimeter landscaping is excluded from the calculation of total parking lot area.</w:t>
      </w:r>
    </w:p>
    <w:p>
      <w:pPr>
        <w:numPr>
          <w:ilvl w:val="0"/>
          <w:numId w:val="2747"/>
        </w:numPr>
      </w:pPr>
      <w:r>
        <w:t xml:space="preserve">C. All rows of parking spaces shall terminate in a parking lot island or landscaped area.</w:t>
      </w:r>
    </w:p>
    <w:p>
      <w:pPr>
        <w:numPr>
          <w:ilvl w:val="0"/>
          <w:numId w:val="2748"/>
        </w:numPr>
      </w:pPr>
      <w:r>
        <w:t xml:space="preserve">D. Parking lot islands shall be the same dimension as the parking stall at a minimum. Double rows of parking shall provide parking lot islands that are the same dimension as the double row.</w:t>
      </w:r>
    </w:p>
    <w:p>
      <w:pPr>
        <w:numPr>
          <w:ilvl w:val="0"/>
          <w:numId w:val="2749"/>
        </w:numPr>
      </w:pPr>
      <w:r>
        <w:t xml:space="preserve">E. A minimum of one shade tree shall be provided for every parking lot island or landscape area. If a parking lot island extends the width of a double row, then two shade trees are required..</w:t>
      </w:r>
    </w:p>
    <w:p>
      <w:pPr>
        <w:numPr>
          <w:ilvl w:val="0"/>
          <w:numId w:val="2750"/>
        </w:numPr>
      </w:pPr>
      <w:r>
        <w:t xml:space="preserve">F. The use of stormwater management techniques such as rain gardens and bioswales is encouraged in landscaped areas. Parking lot islands and landscaped areas should be designed for the absorption of stormwater.</w:t>
      </w:r>
    </w:p>
    <w:p>
      <w:pPr>
        <w:numPr>
          <w:ilvl w:val="0"/>
          <w:numId w:val="2751"/>
        </w:numPr>
      </w:pPr>
      <w:r>
        <w:t xml:space="preserve">G. Where existing conditions or other provisions of this Ordinance make it impracticable to meet the interior parking lot landscaping requirements, the City Forester may approve a modification to the requirements so long as there is no net loss of planted area or number of trees required.</w:t>
      </w:r>
    </w:p>
    <w:bookmarkEnd w:id="119"/>
    <w:bookmarkStart w:id="120" w:name="Xe8e2865e48dd4e94aaf9d147042292a0223497f"/>
    <w:p>
      <w:pPr>
        <w:pStyle w:val="Heading2"/>
      </w:pPr>
      <w:r>
        <w:t xml:space="preserve">§ 1506. SCREENING OF PARKING LOTS FROM RESIDENTIAL DISTRICTS</w:t>
      </w:r>
    </w:p>
    <w:p>
      <w:pPr>
        <w:pStyle w:val="FirstParagraph"/>
      </w:pPr>
      <w:r>
        <w:t xml:space="preserve">1506 SCREENING OF PARKING LOTS FROM RESIDENTIAL DISTRICTS Where a parking area in any district abuts a lot in a residential district, the parking area shall be screened by a solid wall, a uniformly painted tight board fence, or a hedge of compact evergreens or other suitable plantings. Such screen shall be at least four feet in height, and erected and maintained between the entire border of such parking area and the property in the residential district. (Figure 15-3)</w:t>
      </w:r>
    </w:p>
    <w:bookmarkEnd w:id="120"/>
    <w:bookmarkStart w:id="121" w:name="waterbody-vegetative-buffers"/>
    <w:p>
      <w:pPr>
        <w:pStyle w:val="Heading2"/>
      </w:pPr>
      <w:r>
        <w:t xml:space="preserve">§ 1507. WATERBODY VEGETATIVE BUFFERS</w:t>
      </w:r>
    </w:p>
    <w:p>
      <w:pPr>
        <w:pStyle w:val="FirstParagraph"/>
      </w:pPr>
      <w:r>
        <w:t xml:space="preserve">1507 WATERBODY VEGETATIVE BUFFERS</w:t>
      </w:r>
    </w:p>
    <w:p>
      <w:pPr>
        <w:numPr>
          <w:ilvl w:val="0"/>
          <w:numId w:val="2752"/>
        </w:numPr>
      </w:pPr>
      <w:r>
        <w:t xml:space="preserve">A. Unless otherwise specified by the Rhode Island Coastal Resources Management Program Special Area Management Plan, a vegetated buffer a minimum of 25 feet in width is required adjacent to the entire length of any water body. This buffer area is measured from the water’s edge or the inland edge of a coastal shoreline feature for tidal waterbodies, as defined by the Rhode Island Coastal Resources Management Program.</w:t>
      </w:r>
    </w:p>
    <w:p>
      <w:pPr>
        <w:numPr>
          <w:ilvl w:val="0"/>
          <w:numId w:val="2753"/>
        </w:numPr>
      </w:pPr>
      <w:r>
        <w:t xml:space="preserve">B. This buffer shall include trees and plant material that filter stormwater runoff and help to improve the quality of the water body.</w:t>
      </w:r>
    </w:p>
    <w:p>
      <w:pPr>
        <w:numPr>
          <w:ilvl w:val="0"/>
          <w:numId w:val="2754"/>
        </w:numPr>
      </w:pPr>
      <w:r>
        <w:t xml:space="preserve">C. No parking or structures are permitted within this buffer. However, paving for a walking path, bicycle path, or access to docks, piers, or beaches may be included within this buffer.</w:t>
      </w:r>
    </w:p>
    <w:bookmarkEnd w:id="121"/>
    <w:bookmarkStart w:id="122" w:name="signs"/>
    <w:p>
      <w:pPr>
        <w:pStyle w:val="Heading1"/>
      </w:pPr>
      <w:r>
        <w:t xml:space="preserve">§ 16. SIGNS</w:t>
      </w:r>
    </w:p>
    <w:p>
      <w:pPr>
        <w:pStyle w:val="FirstParagraph"/>
      </w:pPr>
      <w:r>
        <w:t xml:space="preserve">ARTICLE 16. SIGNS 1600 PURPOSE 1601 PERMITS AND APPROVALS REQUIRED 1602 ENFORCEMENT 1603 DESIGN AND CONSTRUCTION STANDARDS 1604 ILLUMINATION STANDARDS 1605 PROHIBITED SIGNS 1606 SIGNS AND ACTIVITIES EXEMPT FROM PERMIT REQUIREMENTS 1607 SIGNS REQUIRING PERMIT</w:t>
      </w:r>
    </w:p>
    <w:bookmarkEnd w:id="122"/>
    <w:bookmarkStart w:id="123" w:name="purpose-1"/>
    <w:p>
      <w:pPr>
        <w:pStyle w:val="Heading2"/>
      </w:pPr>
      <w:r>
        <w:t xml:space="preserve">§ 1600. PURPOSE</w:t>
      </w:r>
    </w:p>
    <w:p>
      <w:pPr>
        <w:pStyle w:val="FirstParagraph"/>
      </w:pPr>
      <w:r>
        <w:t xml:space="preserve">1600 PURPOSE The purpose of this Section is to establish a comprehensive system of sign controls governing the display, design, construction, installation, and maintenance of signs. The intent of these sign regulations is to:</w:t>
      </w:r>
    </w:p>
    <w:p>
      <w:pPr>
        <w:numPr>
          <w:ilvl w:val="0"/>
          <w:numId w:val="2755"/>
        </w:numPr>
      </w:pPr>
      <w:r>
        <w:t xml:space="preserve">A. Promote the public health, safety, and welfare and ease of travel.</w:t>
      </w:r>
    </w:p>
    <w:p>
      <w:pPr>
        <w:numPr>
          <w:ilvl w:val="0"/>
          <w:numId w:val="2756"/>
        </w:numPr>
      </w:pPr>
      <w:r>
        <w:t xml:space="preserve">B. Preserve locally recognized values of community appearance.</w:t>
      </w:r>
    </w:p>
    <w:p>
      <w:pPr>
        <w:numPr>
          <w:ilvl w:val="0"/>
          <w:numId w:val="2757"/>
        </w:numPr>
      </w:pPr>
      <w:r>
        <w:t xml:space="preserve">C. Protect public investment in and the character of public thoroughfares.</w:t>
      </w:r>
    </w:p>
    <w:p>
      <w:pPr>
        <w:numPr>
          <w:ilvl w:val="0"/>
          <w:numId w:val="2758"/>
        </w:numPr>
      </w:pPr>
      <w:r>
        <w:t xml:space="preserve">D. Aid in the attraction of tourists and other visitors.</w:t>
      </w:r>
    </w:p>
    <w:p>
      <w:pPr>
        <w:numPr>
          <w:ilvl w:val="0"/>
          <w:numId w:val="2759"/>
        </w:numPr>
      </w:pPr>
      <w:r>
        <w:t xml:space="preserve">E. Reduce hazards to motorists and pedestrians traveling on the public way.</w:t>
      </w:r>
    </w:p>
    <w:bookmarkEnd w:id="123"/>
    <w:bookmarkStart w:id="124" w:name="permits-and-approvals-required"/>
    <w:p>
      <w:pPr>
        <w:pStyle w:val="Heading2"/>
      </w:pPr>
      <w:r>
        <w:t xml:space="preserve">§ 1601. PERMITS AND APPROVALS REQUIRED</w:t>
      </w:r>
    </w:p>
    <w:p>
      <w:pPr>
        <w:pStyle w:val="FirstParagraph"/>
      </w:pPr>
      <w:r>
        <w:t xml:space="preserve">1601 PERMITS AND APPROVALS REQUIRED</w:t>
      </w:r>
    </w:p>
    <w:p>
      <w:pPr>
        <w:numPr>
          <w:ilvl w:val="0"/>
          <w:numId w:val="2760"/>
        </w:numPr>
      </w:pPr>
      <w:r>
        <w:t xml:space="preserve">A. All signs that require a permit, as described in this Article, shall obtain a sign permit. The City may revoke any sign permit where there has been a violation of the provisions of this Ordinance or misrepresentation of fact on the permit application.</w:t>
      </w:r>
    </w:p>
    <w:p>
      <w:pPr>
        <w:numPr>
          <w:ilvl w:val="0"/>
          <w:numId w:val="2761"/>
        </w:numPr>
      </w:pPr>
      <w:r>
        <w:t xml:space="preserve">B. All signs placed within a public right-of-way require approval of a right-of-way encroachment permit (Sections 1303 and 1914).</w:t>
      </w:r>
    </w:p>
    <w:p>
      <w:pPr>
        <w:numPr>
          <w:ilvl w:val="0"/>
          <w:numId w:val="2762"/>
        </w:numPr>
      </w:pPr>
      <w:r>
        <w:t xml:space="preserve">C. All signs, including window signs, in a Historic District are subject to approval by the Historic District Commission.</w:t>
      </w:r>
    </w:p>
    <w:p>
      <w:pPr>
        <w:numPr>
          <w:ilvl w:val="0"/>
          <w:numId w:val="2763"/>
        </w:numPr>
      </w:pPr>
      <w:r>
        <w:t xml:space="preserve">D. All signs, including window signs, in the D-1 District are subject to approval by the Downtown Design Review Committee or I-195 Redevelopment District Commission as applicable. The Downtown Design Review Committee and the I-195 Redevelopment District Commission may grant a waiver to sign regulations as part of their review and approval, which includes permissions for moving or animated signs.</w:t>
      </w:r>
    </w:p>
    <w:bookmarkEnd w:id="124"/>
    <w:bookmarkStart w:id="125" w:name="enforcement"/>
    <w:p>
      <w:pPr>
        <w:pStyle w:val="Heading2"/>
      </w:pPr>
      <w:r>
        <w:t xml:space="preserve">§ 1602. ENFORCEMENT</w:t>
      </w:r>
    </w:p>
    <w:p>
      <w:pPr>
        <w:pStyle w:val="FirstParagraph"/>
      </w:pPr>
      <w:r>
        <w:t xml:space="preserve">1602 ENFORCEMENT</w:t>
      </w:r>
    </w:p>
    <w:p>
      <w:pPr>
        <w:numPr>
          <w:ilvl w:val="0"/>
          <w:numId w:val="2764"/>
        </w:numPr>
      </w:pPr>
      <w:r>
        <w:t xml:space="preserve">A. Any sign placed on public property or within a public right-of-way or public easement without authorization or without a required sign permit may be removed without notice.</w:t>
      </w:r>
    </w:p>
    <w:p>
      <w:pPr>
        <w:numPr>
          <w:ilvl w:val="0"/>
          <w:numId w:val="2765"/>
        </w:numPr>
      </w:pPr>
      <w:r>
        <w:t xml:space="preserve">B. If a sign is constructed illegally, either without a required permit or in violation of this section or previous sign regulations, the City may serve notice to the property owner that such sign shall be removed or the violation corrected within 30 days of notice. If the sign is not removed or the violation is not corrected within 30 days, the City may remove the sign at the property owner’s expense.</w:t>
      </w:r>
    </w:p>
    <w:bookmarkEnd w:id="125"/>
    <w:bookmarkStart w:id="126" w:name="design-and-construction-standards"/>
    <w:p>
      <w:pPr>
        <w:pStyle w:val="Heading2"/>
      </w:pPr>
      <w:r>
        <w:t xml:space="preserve">§ 1603. DESIGN AND CONSTRUCTION STANDARDS</w:t>
      </w:r>
    </w:p>
    <w:p>
      <w:pPr>
        <w:pStyle w:val="FirstParagraph"/>
      </w:pPr>
      <w:r>
        <w:t xml:space="preserve">1603 DESIGN AND CONSTRUCTION STANDARDS All signs constructed, erected, modified, or altered shall comply with the provisions of this Ordinance and the requirements of the Code of Ordinances. All sign dimensions are measured in accordance with the rules of Section 202.</w:t>
      </w:r>
    </w:p>
    <w:p>
      <w:pPr>
        <w:numPr>
          <w:ilvl w:val="0"/>
          <w:numId w:val="2766"/>
        </w:numPr>
      </w:pPr>
      <w:r>
        <w:t xml:space="preserve">A. Prohibited Sign Locations</w:t>
      </w:r>
    </w:p>
    <w:p>
      <w:pPr>
        <w:numPr>
          <w:ilvl w:val="0"/>
          <w:numId w:val="1000"/>
        </w:numPr>
      </w:pPr>
      <w:r>
        <w:t xml:space="preserve">1. No sign may be erected in a location that violates the building code, fire code, or other applicable regulations.</w:t>
      </w:r>
    </w:p>
    <w:p>
      <w:pPr>
        <w:numPr>
          <w:ilvl w:val="0"/>
          <w:numId w:val="2767"/>
        </w:numPr>
      </w:pPr>
      <w:r>
        <w:t xml:space="preserve">2. No sign, other than that placed by agencies of government or a sign whose placement is authorized by this section or the City, may be erected on public property.</w:t>
      </w:r>
    </w:p>
    <w:p>
      <w:pPr>
        <w:numPr>
          <w:ilvl w:val="0"/>
          <w:numId w:val="2768"/>
        </w:numPr>
      </w:pPr>
      <w:r>
        <w:t xml:space="preserve">3. No sign may be erected on private property without prior consent of the property owner.</w:t>
      </w:r>
    </w:p>
    <w:p>
      <w:pPr>
        <w:numPr>
          <w:ilvl w:val="0"/>
          <w:numId w:val="2769"/>
        </w:numPr>
      </w:pPr>
      <w:r>
        <w:t xml:space="preserve">4. No sign may be erected in a manner that obstructs access to any ingress or egress, fire escapes, or standpipes.</w:t>
      </w:r>
    </w:p>
    <w:p>
      <w:pPr>
        <w:numPr>
          <w:ilvl w:val="0"/>
          <w:numId w:val="2770"/>
        </w:numPr>
      </w:pPr>
      <w:r>
        <w:t xml:space="preserve">5. Signs shall be installed as to avoid obstruction of or permanent damage to significant architectural features.</w:t>
      </w:r>
    </w:p>
    <w:p>
      <w:pPr>
        <w:pStyle w:val="Compact"/>
        <w:numPr>
          <w:ilvl w:val="0"/>
          <w:numId w:val="2771"/>
        </w:numPr>
      </w:pPr>
    </w:p>
    <w:p>
      <w:pPr>
        <w:numPr>
          <w:ilvl w:val="1"/>
          <w:numId w:val="2772"/>
        </w:numPr>
      </w:pPr>
      <w:r>
        <w:t xml:space="preserve">B. Construction Standards</w:t>
      </w:r>
    </w:p>
    <w:p>
      <w:pPr>
        <w:numPr>
          <w:ilvl w:val="1"/>
          <w:numId w:val="1000"/>
        </w:numPr>
      </w:pPr>
      <w:r>
        <w:t xml:space="preserve">1. Supports and braces shall be designed as an integral part of the overall sign design and hidden from public view to the extent technically feasible.</w:t>
      </w:r>
    </w:p>
    <w:p>
      <w:pPr>
        <w:numPr>
          <w:ilvl w:val="0"/>
          <w:numId w:val="2773"/>
        </w:numPr>
      </w:pPr>
      <w:r>
        <w:t xml:space="preserve">2. All signs attached to a building shall be installed and maintained so that wall penetrations are watertight and the structure does not exceed allowable stresses of supporting materials.</w:t>
      </w:r>
    </w:p>
    <w:p>
      <w:pPr>
        <w:numPr>
          <w:ilvl w:val="0"/>
          <w:numId w:val="2774"/>
        </w:numPr>
      </w:pPr>
      <w:r>
        <w:t xml:space="preserve">3. All signs shall be designed and constructed in accordance with building and fire codes.</w:t>
      </w:r>
    </w:p>
    <w:p>
      <w:pPr>
        <w:numPr>
          <w:ilvl w:val="0"/>
          <w:numId w:val="2775"/>
        </w:numPr>
      </w:pPr>
      <w:r>
        <w:t xml:space="preserve">4. Glass forming any part of a sign shall be safety glass.</w:t>
      </w:r>
    </w:p>
    <w:p>
      <w:pPr>
        <w:numPr>
          <w:ilvl w:val="0"/>
          <w:numId w:val="2776"/>
        </w:numPr>
      </w:pPr>
      <w:r>
        <w:t xml:space="preserve">5. All letters, figures, characters or representations in cut-out or irregular form, maintained in conjunction with, attached to or superimposed upon any sign shall be safely and securely built into or attached to the sign structure.</w:t>
      </w:r>
    </w:p>
    <w:p>
      <w:pPr>
        <w:numPr>
          <w:ilvl w:val="0"/>
          <w:numId w:val="2777"/>
        </w:numPr>
      </w:pPr>
      <w:r>
        <w:t xml:space="preserve">6. Audio components are prohibited on any sign, with the exception of menuboards. For menuboards, the audio component is limited to communication between customer and service.</w:t>
      </w:r>
    </w:p>
    <w:p>
      <w:pPr>
        <w:numPr>
          <w:ilvl w:val="0"/>
          <w:numId w:val="2778"/>
        </w:numPr>
      </w:pPr>
      <w:r>
        <w:t xml:space="preserve">7. All signs shall be fastened to masonry buildings so to be removable without leaving significant damage to the building façade. Attachments should be made at mortar joints, not at the surface of masonry units.</w:t>
      </w:r>
    </w:p>
    <w:p>
      <w:pPr>
        <w:pStyle w:val="Compact"/>
        <w:numPr>
          <w:ilvl w:val="0"/>
          <w:numId w:val="2779"/>
        </w:numPr>
      </w:pPr>
    </w:p>
    <w:p>
      <w:pPr>
        <w:numPr>
          <w:ilvl w:val="1"/>
          <w:numId w:val="2780"/>
        </w:numPr>
      </w:pPr>
      <w:r>
        <w:t xml:space="preserve">C. Electrical Wiring</w:t>
      </w:r>
    </w:p>
    <w:p>
      <w:pPr>
        <w:numPr>
          <w:ilvl w:val="1"/>
          <w:numId w:val="1000"/>
        </w:numPr>
      </w:pPr>
      <w:r>
        <w:t xml:space="preserve">1. All electrical fixtures, devices, circuits, conduits, raceways or apparatus used to illuminate, move or project any sign shall be installed and maintained in accordance with the building code and the electrical code. Electrical permits are required for signs with an electrical component.</w:t>
      </w:r>
    </w:p>
    <w:p>
      <w:pPr>
        <w:numPr>
          <w:ilvl w:val="0"/>
          <w:numId w:val="2781"/>
        </w:numPr>
      </w:pPr>
      <w:r>
        <w:t xml:space="preserve">2. Conduits and other components of a sign illumination system shall be designed as an integral part of the overall sign structure and hidden from public view to the extent technically feasible.</w:t>
      </w:r>
    </w:p>
    <w:p>
      <w:pPr>
        <w:pStyle w:val="Compact"/>
        <w:numPr>
          <w:ilvl w:val="0"/>
          <w:numId w:val="2782"/>
        </w:numPr>
      </w:pPr>
    </w:p>
    <w:p>
      <w:pPr>
        <w:numPr>
          <w:ilvl w:val="1"/>
          <w:numId w:val="2783"/>
        </w:numPr>
      </w:pPr>
      <w:r>
        <w:t xml:space="preserve">D. Sign Copy</w:t>
      </w:r>
    </w:p>
    <w:p>
      <w:pPr>
        <w:numPr>
          <w:ilvl w:val="1"/>
          <w:numId w:val="1000"/>
        </w:numPr>
      </w:pPr>
      <w:r>
        <w:t xml:space="preserve">1. All sign copy shall relate to the name or nature of the business or establishment on the site. This does not apply to non-commercial messages.</w:t>
      </w:r>
    </w:p>
    <w:p>
      <w:pPr>
        <w:numPr>
          <w:ilvl w:val="0"/>
          <w:numId w:val="2784"/>
        </w:numPr>
      </w:pPr>
      <w:r>
        <w:t xml:space="preserve">2. A noncommercial message may be substituted for a commercial message on any sign permitted by this Ordinance.</w:t>
      </w:r>
    </w:p>
    <w:p>
      <w:pPr>
        <w:numPr>
          <w:ilvl w:val="0"/>
          <w:numId w:val="2785"/>
        </w:numPr>
      </w:pPr>
      <w:r>
        <w:t xml:space="preserve">3. Items of information are limited to a maximum of six items per sign face. Items of information are calculated as follows:</w:t>
      </w:r>
    </w:p>
    <w:p>
      <w:pPr>
        <w:pStyle w:val="Compact"/>
        <w:numPr>
          <w:ilvl w:val="0"/>
          <w:numId w:val="2786"/>
        </w:numPr>
      </w:pPr>
    </w:p>
    <w:p>
      <w:pPr>
        <w:numPr>
          <w:ilvl w:val="1"/>
          <w:numId w:val="2787"/>
        </w:numPr>
      </w:pPr>
      <w:r>
        <w:t xml:space="preserve">a. Each piece of information on a sign is defined as an item of information. For example, each of the following is defined as one item of information: establishment name, logo, telephone number, website address, or product or service. A street address number, if included in the sign copy, is not counted as an item of information.</w:t>
      </w:r>
    </w:p>
    <w:p>
      <w:pPr>
        <w:pStyle w:val="Compact"/>
        <w:numPr>
          <w:ilvl w:val="0"/>
          <w:numId w:val="2788"/>
        </w:numPr>
      </w:pPr>
    </w:p>
    <w:p>
      <w:pPr>
        <w:numPr>
          <w:ilvl w:val="1"/>
          <w:numId w:val="2789"/>
        </w:numPr>
      </w:pPr>
      <w:r>
        <w:t xml:space="preserve">b. If a sign advertises products or services, each product or service, including multi-word, is considered one item of information. Where multiple products are identified on a menu board or sidewalk sign, the list of products is considered one item of information.</w:t>
      </w:r>
    </w:p>
    <w:p>
      <w:pPr>
        <w:pStyle w:val="Compact"/>
        <w:numPr>
          <w:ilvl w:val="0"/>
          <w:numId w:val="2790"/>
        </w:numPr>
      </w:pPr>
    </w:p>
    <w:p>
      <w:pPr>
        <w:numPr>
          <w:ilvl w:val="1"/>
          <w:numId w:val="2791"/>
        </w:numPr>
      </w:pPr>
      <w:r>
        <w:t xml:space="preserve">c. A sign used to identify the tenants within a multi-tenant non-residential development is limited to one item of information per tenant within the development, in addition to the name and address of the development. The sign may exceed six items of information.</w:t>
      </w:r>
    </w:p>
    <w:p>
      <w:pPr>
        <w:pStyle w:val="Compact"/>
        <w:numPr>
          <w:ilvl w:val="0"/>
          <w:numId w:val="2792"/>
        </w:numPr>
      </w:pPr>
    </w:p>
    <w:p>
      <w:pPr>
        <w:numPr>
          <w:ilvl w:val="1"/>
          <w:numId w:val="2793"/>
        </w:numPr>
      </w:pPr>
      <w:r>
        <w:t xml:space="preserve">d. The message area of a changeable or electronic message display, on which information is changed manually or digitally, is counted as one item of information.</w:t>
      </w:r>
    </w:p>
    <w:p>
      <w:pPr>
        <w:pStyle w:val="Compact"/>
        <w:numPr>
          <w:ilvl w:val="0"/>
          <w:numId w:val="2794"/>
        </w:numPr>
      </w:pPr>
    </w:p>
    <w:p>
      <w:pPr>
        <w:numPr>
          <w:ilvl w:val="1"/>
          <w:numId w:val="2795"/>
        </w:numPr>
      </w:pPr>
      <w:r>
        <w:t xml:space="preserve">e. Directory signs, menuboards, and A-frame signs are exempt from the items of information limitation.</w:t>
      </w:r>
    </w:p>
    <w:p>
      <w:pPr>
        <w:pStyle w:val="Compact"/>
        <w:numPr>
          <w:ilvl w:val="0"/>
          <w:numId w:val="2796"/>
        </w:numPr>
      </w:pPr>
    </w:p>
    <w:p>
      <w:pPr>
        <w:numPr>
          <w:ilvl w:val="1"/>
          <w:numId w:val="2797"/>
        </w:numPr>
      </w:pPr>
      <w:r>
        <w:t xml:space="preserve">E. Required Maintenance</w:t>
      </w:r>
    </w:p>
    <w:p>
      <w:pPr>
        <w:numPr>
          <w:ilvl w:val="1"/>
          <w:numId w:val="1000"/>
        </w:numPr>
      </w:pPr>
      <w:r>
        <w:t xml:space="preserve">1. All signs shall be maintained in a safe, neat, and orderly condition and appearance, and shall be repainted or otherwise maintained by the property owner to prevent corrosion or deterioration caused by the weather, age, or any other condition.</w:t>
      </w:r>
    </w:p>
    <w:p>
      <w:pPr>
        <w:numPr>
          <w:ilvl w:val="0"/>
          <w:numId w:val="2798"/>
        </w:numPr>
      </w:pPr>
      <w:r>
        <w:t xml:space="preserve">2. All signs shall be maintained to prevent any kind of safety hazard, including faulty sign structures, a fire hazard, or an electrical shock hazard.</w:t>
      </w:r>
    </w:p>
    <w:p>
      <w:pPr>
        <w:numPr>
          <w:ilvl w:val="0"/>
          <w:numId w:val="2799"/>
        </w:numPr>
      </w:pPr>
      <w:r>
        <w:t xml:space="preserve">3. All unused sign hardware or wiring that is visible from the right-of-way shall be removed.</w:t>
      </w:r>
    </w:p>
    <w:p>
      <w:pPr>
        <w:numPr>
          <w:ilvl w:val="0"/>
          <w:numId w:val="2800"/>
        </w:numPr>
      </w:pPr>
      <w:r>
        <w:t xml:space="preserve">4. If a sign is maintained in an unsafe or unsecured condition, the City may serve notice to the property owner that such sign shall be removed or the condition corrected within 30 days of notice. If the sign is not removed or the condition is not corrected within 30 days, the City may remove the sign at the property owner’s expense. The City may remove any sign that is an immediate peril to persons or property summarily and without notice.</w:t>
      </w:r>
    </w:p>
    <w:bookmarkEnd w:id="126"/>
    <w:bookmarkStart w:id="127" w:name="illumination-standards"/>
    <w:p>
      <w:pPr>
        <w:pStyle w:val="Heading2"/>
      </w:pPr>
      <w:r>
        <w:t xml:space="preserve">§ 1604. ILLUMINATION STANDARDS</w:t>
      </w:r>
    </w:p>
    <w:p>
      <w:pPr>
        <w:pStyle w:val="FirstParagraph"/>
      </w:pPr>
      <w:r>
        <w:t xml:space="preserve">1604 ILLUMINATION STANDARDS</w:t>
      </w:r>
    </w:p>
    <w:p>
      <w:pPr>
        <w:numPr>
          <w:ilvl w:val="0"/>
          <w:numId w:val="2801"/>
        </w:numPr>
      </w:pPr>
      <w:r>
        <w:t xml:space="preserve">A. Any sign illumination, including gooseneck reflectors, external illumination, and internal illumination, shall be designed, located, shielded, and directed to prevent the casting of glare or direct light upon roadways and surrounding properties, or the distraction of motor vehicle operators or pedestrians in the public right-of-way.</w:t>
      </w:r>
    </w:p>
    <w:p>
      <w:pPr>
        <w:numPr>
          <w:ilvl w:val="0"/>
          <w:numId w:val="2802"/>
        </w:numPr>
      </w:pPr>
      <w:r>
        <w:t xml:space="preserve">B. The sign face of internally illuminated signs shall function as a filter to diffuse illumination. The sign face shall cover all internal illumination components so that no exposed bulbs or lighting components are visible.</w:t>
      </w:r>
    </w:p>
    <w:p>
      <w:pPr>
        <w:numPr>
          <w:ilvl w:val="0"/>
          <w:numId w:val="2803"/>
        </w:numPr>
      </w:pPr>
      <w:r>
        <w:t xml:space="preserve">C. All external illumination of a sign shall concentrate the illumination upon the printed area of the sign face.</w:t>
      </w:r>
    </w:p>
    <w:p>
      <w:pPr>
        <w:numPr>
          <w:ilvl w:val="0"/>
          <w:numId w:val="2804"/>
        </w:numPr>
      </w:pPr>
      <w:r>
        <w:t xml:space="preserve">D. The intensity of sign illumination shall meet the requirements for exterior lighting in Section 1301. For electronic message signs, the maximum brightness is limited to 5,000 nits during daylight hours, and 500 nits between dusk to dawn. The sign shall have an automatic dimmer control that produces a distinct illumination change from a higher allowed illumination level to a lower allowed level for the time period between one-half hour before sunset and one-half hour after sunrise.</w:t>
      </w:r>
    </w:p>
    <w:p>
      <w:pPr>
        <w:numPr>
          <w:ilvl w:val="0"/>
          <w:numId w:val="2805"/>
        </w:numPr>
      </w:pPr>
      <w:r>
        <w:t xml:space="preserve">E. No sign illumination may be combined with reflective materials, such as mirrors, polished metal, or highly-glazed tiles, which would increase glare.</w:t>
      </w:r>
    </w:p>
    <w:p>
      <w:pPr>
        <w:numPr>
          <w:ilvl w:val="0"/>
          <w:numId w:val="2806"/>
        </w:numPr>
      </w:pPr>
      <w:r>
        <w:t xml:space="preserve">F. The use of neon, LED lighting, or exposed bulbs that are designed as an integral part of the sign are permitted as a sign material or sign accent only in the non-residential districts. When lit, lighting shall be continuously illuminated. Flashing neon, flashing LED lighting, or flashing exposed bulbs are prohibited. Neon, LED lighting, or exposed bulbs to outline doors and windows are prohibited.</w:t>
      </w:r>
    </w:p>
    <w:p>
      <w:pPr>
        <w:numPr>
          <w:ilvl w:val="0"/>
          <w:numId w:val="2807"/>
        </w:numPr>
      </w:pPr>
      <w:r>
        <w:t xml:space="preserve">G. In the D-1 District and ES Overlay District, signs may be externally illuminated. Internally illuminated signs in the D-1 District and ES Overlay District are prohibited with the exception of the following types:</w:t>
      </w:r>
    </w:p>
    <w:p>
      <w:pPr>
        <w:numPr>
          <w:ilvl w:val="0"/>
          <w:numId w:val="2808"/>
        </w:numPr>
      </w:pPr>
      <w:r>
        <w:t xml:space="preserve">1. Reverse channel. A method of illumination that casts a shadow of lettering or a logo on the face to which it is mounted.</w:t>
      </w:r>
    </w:p>
    <w:p>
      <w:pPr>
        <w:numPr>
          <w:ilvl w:val="0"/>
          <w:numId w:val="2809"/>
        </w:numPr>
      </w:pPr>
      <w:r>
        <w:t xml:space="preserve">2. Stencil or channel-cut. A method of illumination that lights lettering or a logo and does not light the remaining face of the sign.</w:t>
      </w:r>
    </w:p>
    <w:p>
      <w:pPr>
        <w:numPr>
          <w:ilvl w:val="0"/>
          <w:numId w:val="2810"/>
        </w:numPr>
      </w:pPr>
      <w:r>
        <w:t xml:space="preserve">3. Halo. A method of illumination that produces a halo of light surrounding lettering or a logo without illuminating the surface to which it is mounted.</w:t>
      </w:r>
    </w:p>
    <w:bookmarkEnd w:id="127"/>
    <w:bookmarkStart w:id="128" w:name="prohibited-signs"/>
    <w:p>
      <w:pPr>
        <w:pStyle w:val="Heading2"/>
      </w:pPr>
      <w:r>
        <w:t xml:space="preserve">§ 1605. PROHIBITED SIGNS</w:t>
      </w:r>
    </w:p>
    <w:p>
      <w:pPr>
        <w:pStyle w:val="FirstParagraph"/>
      </w:pPr>
      <w:r>
        <w:t xml:space="preserve">1605 PROHIBITED SIGNS The following sign types are prohibited:</w:t>
      </w:r>
    </w:p>
    <w:p>
      <w:pPr>
        <w:numPr>
          <w:ilvl w:val="0"/>
          <w:numId w:val="2811"/>
        </w:numPr>
      </w:pPr>
      <w:r>
        <w:t xml:space="preserve">A. Abandoned signs and sign structures.</w:t>
      </w:r>
    </w:p>
    <w:p>
      <w:pPr>
        <w:numPr>
          <w:ilvl w:val="0"/>
          <w:numId w:val="2812"/>
        </w:numPr>
      </w:pPr>
      <w:r>
        <w:t xml:space="preserve">B. Balloon and air-infused/air-inflated signs.</w:t>
      </w:r>
    </w:p>
    <w:p>
      <w:pPr>
        <w:numPr>
          <w:ilvl w:val="0"/>
          <w:numId w:val="2813"/>
        </w:numPr>
      </w:pPr>
      <w:r>
        <w:t xml:space="preserve">C. Flashing or animated signs, except by waiver in the D-1 zone. This excludes permitted electronic message signs.</w:t>
      </w:r>
    </w:p>
    <w:p>
      <w:pPr>
        <w:numPr>
          <w:ilvl w:val="0"/>
          <w:numId w:val="2814"/>
        </w:numPr>
      </w:pPr>
      <w:r>
        <w:t xml:space="preserve">D. Illegally-affixed signs and snipe signs.</w:t>
      </w:r>
    </w:p>
    <w:p>
      <w:pPr>
        <w:numPr>
          <w:ilvl w:val="0"/>
          <w:numId w:val="2815"/>
        </w:numPr>
      </w:pPr>
      <w:r>
        <w:t xml:space="preserve">E. Moving signs, including signs intended or designed to be moved by wind or other natural elements. Clocks and barber poles are exempt from this provision.</w:t>
      </w:r>
    </w:p>
    <w:p>
      <w:pPr>
        <w:numPr>
          <w:ilvl w:val="0"/>
          <w:numId w:val="2816"/>
        </w:numPr>
      </w:pPr>
      <w:r>
        <w:t xml:space="preserve">F. Off-premise signs, both permanent signs (also known as billboards) and temporary off-premise signs. This prohibition does not include signs placed on public transit stations, bike-sharing stations, or carshare facilities when such signs are placed by the sponsors of such facilities. This prohibition does not include political/noncommercial message signs.</w:t>
      </w:r>
    </w:p>
    <w:p>
      <w:pPr>
        <w:numPr>
          <w:ilvl w:val="0"/>
          <w:numId w:val="2817"/>
        </w:numPr>
      </w:pPr>
      <w:r>
        <w:t xml:space="preserve">G. Portable signs. Portable signs include both signs mounted on a wheeled structure and those mounted on a stationary structure that can be moved and is not permanently installed on a site.</w:t>
      </w:r>
    </w:p>
    <w:p>
      <w:pPr>
        <w:numPr>
          <w:ilvl w:val="0"/>
          <w:numId w:val="2818"/>
        </w:numPr>
      </w:pPr>
      <w:r>
        <w:t xml:space="preserve">H. Strobe lights, moving or fixed spotlights, and floodlights.</w:t>
      </w:r>
    </w:p>
    <w:p>
      <w:pPr>
        <w:numPr>
          <w:ilvl w:val="0"/>
          <w:numId w:val="2819"/>
        </w:numPr>
      </w:pPr>
      <w:r>
        <w:t xml:space="preserve">I. Traffic hazard signs. Any sign that constitutes a traffic hazard is prohibited, including signs that:</w:t>
      </w:r>
    </w:p>
    <w:p>
      <w:pPr>
        <w:numPr>
          <w:ilvl w:val="0"/>
          <w:numId w:val="2820"/>
        </w:numPr>
      </w:pPr>
      <w:r>
        <w:t xml:space="preserve">1. Interfere with, obstruct the view of, or may be confused with any authorized traffic sign, signal, or device because of its position, shape, or color, including signs illuminated in red, green, or amber color to resemble a traffic signal.</w:t>
      </w:r>
    </w:p>
    <w:p>
      <w:pPr>
        <w:numPr>
          <w:ilvl w:val="0"/>
          <w:numId w:val="2821"/>
        </w:numPr>
      </w:pPr>
      <w:r>
        <w:t xml:space="preserve">2. Make use of the words STOP, LOOK, DETOUR, DANGER, CAUTION, WARNING, or any other word, phrase, symbol, or character in a manner that misleads, interferes with, or confuses traffic.</w:t>
      </w:r>
    </w:p>
    <w:p>
      <w:pPr>
        <w:pStyle w:val="Compact"/>
        <w:numPr>
          <w:ilvl w:val="0"/>
          <w:numId w:val="2822"/>
        </w:numPr>
      </w:pPr>
    </w:p>
    <w:p>
      <w:pPr>
        <w:numPr>
          <w:ilvl w:val="1"/>
          <w:numId w:val="2823"/>
        </w:numPr>
      </w:pPr>
      <w:r>
        <w:t xml:space="preserve">J. Vehicle signs. Signs placed or painted on parked vehicles where the primary purpose is to advertise a product or service, or to direct the public to a business or activity located on or off the premises, are prohibited. Signs painted on vehicles, trucks, or buses, which are being operated and stored in the normal course of business, such as signs located on delivery trucks, promotional vehicles, moving vans, and rental trucks, are permitted, provided that the primary purpose of such vehicles is not the display of signs, and that they are parked or stored in areas related to their use as vehicles and all vehicles are in operable condition. Vehicle for-sale signs are exempt from this provision.</w:t>
      </w:r>
    </w:p>
    <w:p>
      <w:pPr>
        <w:pStyle w:val="Compact"/>
        <w:numPr>
          <w:ilvl w:val="0"/>
          <w:numId w:val="2824"/>
        </w:numPr>
      </w:pPr>
    </w:p>
    <w:p>
      <w:pPr>
        <w:numPr>
          <w:ilvl w:val="1"/>
          <w:numId w:val="2825"/>
        </w:numPr>
      </w:pPr>
      <w:r>
        <w:t xml:space="preserve">K. In the D-1 District, cabinet box wall signs and cabinet box projecting signs are prohibited.</w:t>
      </w:r>
    </w:p>
    <w:bookmarkEnd w:id="128"/>
    <w:bookmarkStart w:id="129" w:name="Xc51c5d1e87b6facbe4c7949674b540ee520d192"/>
    <w:p>
      <w:pPr>
        <w:pStyle w:val="Heading2"/>
      </w:pPr>
      <w:r>
        <w:t xml:space="preserve">§ 1606. SIGNS AND ACTIVITIES EXEMPT FROM PERMIT REQUIREMENTS</w:t>
      </w:r>
    </w:p>
    <w:p>
      <w:pPr>
        <w:pStyle w:val="FirstParagraph"/>
      </w:pPr>
      <w:r>
        <w:t xml:space="preserve">1606 SIGNS AND ACTIVITIES EXEMPT FROM PERMIT REQUIREMENTS The following signs and activities do not require a permit, but shall still follow the applicable requirements of this section and this Ordinance. No sign may be illuminated unless specifically allowed by this section. No sign may encroach into the public right-of-way unless permitted by this section and obtaining approval of an encroachment permit.</w:t>
      </w:r>
    </w:p>
    <w:p>
      <w:pPr>
        <w:numPr>
          <w:ilvl w:val="0"/>
          <w:numId w:val="2826"/>
        </w:numPr>
      </w:pPr>
      <w:r>
        <w:t xml:space="preserve">A. Alteration and Maintenance Operations The following activities are exempt from the permit requirement:</w:t>
      </w:r>
    </w:p>
    <w:p>
      <w:pPr>
        <w:numPr>
          <w:ilvl w:val="0"/>
          <w:numId w:val="2827"/>
        </w:numPr>
      </w:pPr>
      <w:r>
        <w:t xml:space="preserve">1. Painting, repainting, cleaning, changing permitted items of information, or other normal maintenance and repair of a sign, not involving structural alterations are exempt from permit requirements. Repairs to existing illumination components are also exempt from permit requirements, including changes to type of illumination, for example, from fluorescent lighting to LED lighting.</w:t>
      </w:r>
    </w:p>
    <w:p>
      <w:pPr>
        <w:numPr>
          <w:ilvl w:val="0"/>
          <w:numId w:val="2828"/>
        </w:numPr>
      </w:pPr>
      <w:r>
        <w:t xml:space="preserve">2. Changing the message of an existing changeable message sign or electronic message sign.</w:t>
      </w:r>
    </w:p>
    <w:p>
      <w:pPr>
        <w:numPr>
          <w:ilvl w:val="0"/>
          <w:numId w:val="2829"/>
        </w:numPr>
      </w:pPr>
      <w:r>
        <w:t xml:space="preserve">3. Changing the sign face within an existing legal sign structure, provided no alterations are made to the sign structure and the sign area, sign height, or any other dimension of the sign.</w:t>
      </w:r>
    </w:p>
    <w:p>
      <w:pPr>
        <w:pStyle w:val="Compact"/>
        <w:numPr>
          <w:ilvl w:val="0"/>
          <w:numId w:val="2830"/>
        </w:numPr>
      </w:pPr>
    </w:p>
    <w:p>
      <w:pPr>
        <w:numPr>
          <w:ilvl w:val="1"/>
          <w:numId w:val="2831"/>
        </w:numPr>
      </w:pPr>
      <w:r>
        <w:t xml:space="preserve">B. A-Frame Signs</w:t>
      </w:r>
    </w:p>
    <w:p>
      <w:pPr>
        <w:numPr>
          <w:ilvl w:val="1"/>
          <w:numId w:val="1000"/>
        </w:numPr>
      </w:pPr>
      <w:r>
        <w:t xml:space="preserve">1. A-frame signs are permitted for non-residential uses within the non-residential districts.</w:t>
      </w:r>
    </w:p>
    <w:p>
      <w:pPr>
        <w:numPr>
          <w:ilvl w:val="0"/>
          <w:numId w:val="2832"/>
        </w:numPr>
      </w:pPr>
      <w:r>
        <w:t xml:space="preserve">2. One A-frame sign is permitted per establishment. A minimum 20 foot separation is required between all A-frame signs.</w:t>
      </w:r>
    </w:p>
    <w:p>
      <w:pPr>
        <w:numPr>
          <w:ilvl w:val="0"/>
          <w:numId w:val="2833"/>
        </w:numPr>
      </w:pPr>
      <w:r>
        <w:t xml:space="preserve">3. An A-frame sign shall be placed within 15 feet of the primary entrance of the business, and shall not interfere with pedestrian traffic or violate standards of accessibility as required by the ADA or other accessibility codes. A-frame signs may be placed in the public right-of-way but shall maintain a five foot sidewalk clearance at all times and require a right-of-way encroachment permit (Section 1914).</w:t>
      </w:r>
    </w:p>
    <w:p>
      <w:pPr>
        <w:numPr>
          <w:ilvl w:val="0"/>
          <w:numId w:val="2834"/>
        </w:numPr>
      </w:pPr>
      <w:r>
        <w:t xml:space="preserve">4. A-frame signs are limited to six square feet in area per side and four feet in height.</w:t>
      </w:r>
    </w:p>
    <w:p>
      <w:pPr>
        <w:numPr>
          <w:ilvl w:val="0"/>
          <w:numId w:val="2835"/>
        </w:numPr>
      </w:pPr>
      <w:r>
        <w:t xml:space="preserve">5. The use of A-frame signs is limited to business hours only. Signs shall be stored indoors at all other times. A-frame signs shall not be used outdoors when high winds or heavy snow conditions exist.</w:t>
      </w:r>
    </w:p>
    <w:p>
      <w:pPr>
        <w:pStyle w:val="Compact"/>
        <w:numPr>
          <w:ilvl w:val="0"/>
          <w:numId w:val="2836"/>
        </w:numPr>
      </w:pPr>
    </w:p>
    <w:p>
      <w:pPr>
        <w:numPr>
          <w:ilvl w:val="1"/>
          <w:numId w:val="2837"/>
        </w:numPr>
      </w:pPr>
      <w:r>
        <w:t xml:space="preserve">C. Attention Getting Devices</w:t>
      </w:r>
    </w:p>
    <w:p>
      <w:pPr>
        <w:numPr>
          <w:ilvl w:val="1"/>
          <w:numId w:val="1000"/>
        </w:numPr>
      </w:pPr>
      <w:r>
        <w:t xml:space="preserve">1. Attention getting devices are permitted for non-residential uses in the C-2 and C-3 Districts.</w:t>
      </w:r>
    </w:p>
    <w:p>
      <w:pPr>
        <w:numPr>
          <w:ilvl w:val="0"/>
          <w:numId w:val="2838"/>
        </w:numPr>
      </w:pPr>
      <w:r>
        <w:t xml:space="preserve">2. Attention getting devices are limited to a maximum of one per lot, a maximum of eight feet in height and ten square feet in area, and shall be located a minimum of five feet from a lot line.</w:t>
      </w:r>
    </w:p>
    <w:p>
      <w:pPr>
        <w:numPr>
          <w:ilvl w:val="0"/>
          <w:numId w:val="2839"/>
        </w:numPr>
      </w:pPr>
      <w:r>
        <w:t xml:space="preserve">3. Attention getting devices are not permitted in the public right-of-way.</w:t>
      </w:r>
    </w:p>
    <w:p>
      <w:pPr>
        <w:numPr>
          <w:ilvl w:val="0"/>
          <w:numId w:val="2840"/>
        </w:numPr>
      </w:pPr>
      <w:r>
        <w:t xml:space="preserve">4. Attention getting devices may be erected on a lot for no more than 30 days in a single display period, with a maximum of three display periods in a calendar year with a minimum of 30 calendar days between each display period.</w:t>
      </w:r>
    </w:p>
    <w:p>
      <w:pPr>
        <w:pStyle w:val="Compact"/>
        <w:numPr>
          <w:ilvl w:val="0"/>
          <w:numId w:val="2841"/>
        </w:numPr>
      </w:pPr>
    </w:p>
    <w:p>
      <w:pPr>
        <w:numPr>
          <w:ilvl w:val="1"/>
          <w:numId w:val="2842"/>
        </w:numPr>
      </w:pPr>
      <w:r>
        <w:t xml:space="preserve">D. Banners</w:t>
      </w:r>
    </w:p>
    <w:p>
      <w:pPr>
        <w:numPr>
          <w:ilvl w:val="1"/>
          <w:numId w:val="1000"/>
        </w:numPr>
      </w:pPr>
      <w:r>
        <w:t xml:space="preserve">1. Banners are permitted for all non-residential uses.</w:t>
      </w:r>
    </w:p>
    <w:p>
      <w:pPr>
        <w:numPr>
          <w:ilvl w:val="0"/>
          <w:numId w:val="2843"/>
        </w:numPr>
      </w:pPr>
      <w:r>
        <w:t xml:space="preserve">2. A maximum of one banner is permitted per structure.</w:t>
      </w:r>
    </w:p>
    <w:p>
      <w:pPr>
        <w:numPr>
          <w:ilvl w:val="0"/>
          <w:numId w:val="2844"/>
        </w:numPr>
      </w:pPr>
      <w:r>
        <w:t xml:space="preserve">3. Banners are limited to 32 square feet in area.</w:t>
      </w:r>
    </w:p>
    <w:p>
      <w:pPr>
        <w:numPr>
          <w:ilvl w:val="0"/>
          <w:numId w:val="2845"/>
        </w:numPr>
      </w:pPr>
      <w:r>
        <w:t xml:space="preserve">4. Banners are limited to the following display periods: a. When related to a time-specific event: A combined display period of seven days prior to the event, the time period of the event, and two days following the event.</w:t>
      </w:r>
    </w:p>
    <w:p>
      <w:pPr>
        <w:pStyle w:val="Compact"/>
        <w:numPr>
          <w:ilvl w:val="0"/>
          <w:numId w:val="2846"/>
        </w:numPr>
      </w:pPr>
    </w:p>
    <w:p>
      <w:pPr>
        <w:numPr>
          <w:ilvl w:val="1"/>
          <w:numId w:val="2847"/>
        </w:numPr>
      </w:pPr>
      <w:r>
        <w:t xml:space="preserve">b. When not related to a time-specific event: Ten days.</w:t>
      </w:r>
    </w:p>
    <w:p>
      <w:pPr>
        <w:pStyle w:val="Compact"/>
        <w:numPr>
          <w:ilvl w:val="0"/>
          <w:numId w:val="2848"/>
        </w:numPr>
      </w:pPr>
    </w:p>
    <w:p>
      <w:pPr>
        <w:numPr>
          <w:ilvl w:val="1"/>
          <w:numId w:val="2849"/>
        </w:numPr>
      </w:pPr>
      <w:r>
        <w:t xml:space="preserve">c. A maximum of five display periods per calendar year with a minimum of 30 days between displays.</w:t>
      </w:r>
    </w:p>
    <w:p>
      <w:pPr>
        <w:pStyle w:val="Compact"/>
        <w:numPr>
          <w:ilvl w:val="0"/>
          <w:numId w:val="2850"/>
        </w:numPr>
      </w:pPr>
    </w:p>
    <w:p>
      <w:pPr>
        <w:numPr>
          <w:ilvl w:val="1"/>
          <w:numId w:val="2851"/>
        </w:numPr>
      </w:pPr>
      <w:r>
        <w:t xml:space="preserve">E. Construction Signs</w:t>
      </w:r>
    </w:p>
    <w:p>
      <w:pPr>
        <w:numPr>
          <w:ilvl w:val="1"/>
          <w:numId w:val="1000"/>
        </w:numPr>
      </w:pPr>
      <w:r>
        <w:t xml:space="preserve">1. Construction signs are permitted in all districts.</w:t>
      </w:r>
    </w:p>
    <w:p>
      <w:pPr>
        <w:numPr>
          <w:ilvl w:val="0"/>
          <w:numId w:val="2852"/>
        </w:numPr>
      </w:pPr>
      <w:r>
        <w:t xml:space="preserve">2. A maximum of one construction sign per street frontage for an on-premises construction project is permitted.</w:t>
      </w:r>
    </w:p>
    <w:p>
      <w:pPr>
        <w:numPr>
          <w:ilvl w:val="0"/>
          <w:numId w:val="2853"/>
        </w:numPr>
      </w:pPr>
      <w:r>
        <w:t xml:space="preserve">3. The construction signs are limited to 32 square feet in area and six feet in height if freestanding, with the exception of a construction sign in a residential district, which is limited to 12 square feet in area. Freestanding construction signs shall be set back ten feet from any lot line.</w:t>
      </w:r>
    </w:p>
    <w:p>
      <w:pPr>
        <w:numPr>
          <w:ilvl w:val="0"/>
          <w:numId w:val="2854"/>
        </w:numPr>
      </w:pPr>
      <w:r>
        <w:t xml:space="preserve">4. Construction signs may be erected only after approval of a building permit, and shall be removed within 60 days of completion of construction.</w:t>
      </w:r>
    </w:p>
    <w:p>
      <w:pPr>
        <w:pStyle w:val="Compact"/>
        <w:numPr>
          <w:ilvl w:val="0"/>
          <w:numId w:val="2855"/>
        </w:numPr>
      </w:pPr>
    </w:p>
    <w:p>
      <w:pPr>
        <w:numPr>
          <w:ilvl w:val="1"/>
          <w:numId w:val="2856"/>
        </w:numPr>
      </w:pPr>
      <w:r>
        <w:t xml:space="preserve">F. Directory Signs</w:t>
      </w:r>
    </w:p>
    <w:p>
      <w:pPr>
        <w:numPr>
          <w:ilvl w:val="1"/>
          <w:numId w:val="1000"/>
        </w:numPr>
      </w:pPr>
      <w:r>
        <w:t xml:space="preserve">1. Directory signs are permitted in all districts for any multi-tenant development.</w:t>
      </w:r>
    </w:p>
    <w:p>
      <w:pPr>
        <w:numPr>
          <w:ilvl w:val="0"/>
          <w:numId w:val="2857"/>
        </w:numPr>
      </w:pPr>
      <w:r>
        <w:t xml:space="preserve">2. A maximum of one building directory sign is permitted per public entrance.</w:t>
      </w:r>
    </w:p>
    <w:p>
      <w:pPr>
        <w:numPr>
          <w:ilvl w:val="0"/>
          <w:numId w:val="2858"/>
        </w:numPr>
      </w:pPr>
      <w:r>
        <w:t xml:space="preserve">3. A building directory sign shall be wall-mounted and is limited to six square feet in area.</w:t>
      </w:r>
    </w:p>
    <w:p>
      <w:pPr>
        <w:numPr>
          <w:ilvl w:val="0"/>
          <w:numId w:val="2859"/>
        </w:numPr>
      </w:pPr>
      <w:r>
        <w:t xml:space="preserve">4. A building directory sign may be externally illuminated.</w:t>
      </w:r>
    </w:p>
    <w:p>
      <w:pPr>
        <w:pStyle w:val="Compact"/>
        <w:numPr>
          <w:ilvl w:val="0"/>
          <w:numId w:val="2860"/>
        </w:numPr>
      </w:pPr>
    </w:p>
    <w:p>
      <w:pPr>
        <w:numPr>
          <w:ilvl w:val="1"/>
          <w:numId w:val="2861"/>
        </w:numPr>
      </w:pPr>
      <w:r>
        <w:t xml:space="preserve">G. Government Signs Signs placed or authorized by a government agency, including, but not limited to, traffic signs and signals, legal notices, railroad crossing signs, or signs regulating the traffic of, or giving information to, motorists, transit riders, cyclists, or pedestrians, are permitted in any number, configuration, or size in any district. Such signs may be illuminated as required by the agency.</w:t>
      </w:r>
    </w:p>
    <w:p>
      <w:pPr>
        <w:pStyle w:val="Compact"/>
        <w:numPr>
          <w:ilvl w:val="0"/>
          <w:numId w:val="2862"/>
        </w:numPr>
      </w:pPr>
    </w:p>
    <w:p>
      <w:pPr>
        <w:numPr>
          <w:ilvl w:val="1"/>
          <w:numId w:val="2863"/>
        </w:numPr>
      </w:pPr>
      <w:r>
        <w:t xml:space="preserve">H. Holiday Decorations Temporary holiday decorations are permitted in all districts. Temporary holiday decorations may be internally or externally illuminated but shall comply with the lighting standards of Section 1301.</w:t>
      </w:r>
    </w:p>
    <w:p>
      <w:pPr>
        <w:pStyle w:val="Compact"/>
        <w:numPr>
          <w:ilvl w:val="0"/>
          <w:numId w:val="2864"/>
        </w:numPr>
      </w:pPr>
    </w:p>
    <w:p>
      <w:pPr>
        <w:numPr>
          <w:ilvl w:val="1"/>
          <w:numId w:val="2865"/>
        </w:numPr>
      </w:pPr>
      <w:r>
        <w:t xml:space="preserve">I. Home Occupation Signs</w:t>
      </w:r>
    </w:p>
    <w:p>
      <w:pPr>
        <w:numPr>
          <w:ilvl w:val="1"/>
          <w:numId w:val="1000"/>
        </w:numPr>
      </w:pPr>
      <w:r>
        <w:t xml:space="preserve">1. Home occupation signs are permitted for all residential uses with a home occupation on the premises.</w:t>
      </w:r>
    </w:p>
    <w:p>
      <w:pPr>
        <w:numPr>
          <w:ilvl w:val="0"/>
          <w:numId w:val="2866"/>
        </w:numPr>
      </w:pPr>
      <w:r>
        <w:t xml:space="preserve">2. A maximum of one home occupation sign is permitted per home occupation.</w:t>
      </w:r>
    </w:p>
    <w:p>
      <w:pPr>
        <w:numPr>
          <w:ilvl w:val="0"/>
          <w:numId w:val="2867"/>
        </w:numPr>
      </w:pPr>
      <w:r>
        <w:t xml:space="preserve">3. The home occupation sign shall be wall-mounted and is limited to two square feet in area.</w:t>
      </w:r>
    </w:p>
    <w:p>
      <w:pPr>
        <w:pStyle w:val="Compact"/>
        <w:numPr>
          <w:ilvl w:val="0"/>
          <w:numId w:val="2868"/>
        </w:numPr>
      </w:pPr>
    </w:p>
    <w:p>
      <w:pPr>
        <w:numPr>
          <w:ilvl w:val="1"/>
          <w:numId w:val="2869"/>
        </w:numPr>
      </w:pPr>
      <w:r>
        <w:t xml:space="preserve">J. Memorial Plaques</w:t>
      </w:r>
    </w:p>
    <w:p>
      <w:pPr>
        <w:numPr>
          <w:ilvl w:val="1"/>
          <w:numId w:val="1000"/>
        </w:numPr>
      </w:pPr>
      <w:r>
        <w:t xml:space="preserve">1. Memorial plaques commemorating a historical person, event, structure, or site are permitted in any district.</w:t>
      </w:r>
    </w:p>
    <w:p>
      <w:pPr>
        <w:numPr>
          <w:ilvl w:val="0"/>
          <w:numId w:val="2870"/>
        </w:numPr>
      </w:pPr>
      <w:r>
        <w:t xml:space="preserve">2. A memorial plaque may be freestanding or wall-mounted and is limited to six square feet in area. A freestanding memorial plaque is limited to four feet in height.</w:t>
      </w:r>
    </w:p>
    <w:p>
      <w:pPr>
        <w:numPr>
          <w:ilvl w:val="0"/>
          <w:numId w:val="2871"/>
        </w:numPr>
      </w:pPr>
      <w:r>
        <w:t xml:space="preserve">3. External illumination of a memorial plaque is permitted.</w:t>
      </w:r>
    </w:p>
    <w:p>
      <w:pPr>
        <w:pStyle w:val="Compact"/>
        <w:numPr>
          <w:ilvl w:val="0"/>
          <w:numId w:val="2872"/>
        </w:numPr>
      </w:pPr>
    </w:p>
    <w:p>
      <w:pPr>
        <w:numPr>
          <w:ilvl w:val="1"/>
          <w:numId w:val="2873"/>
        </w:numPr>
      </w:pPr>
      <w:r>
        <w:t xml:space="preserve">K. Nameplates</w:t>
      </w:r>
    </w:p>
    <w:p>
      <w:pPr>
        <w:numPr>
          <w:ilvl w:val="1"/>
          <w:numId w:val="1000"/>
        </w:numPr>
      </w:pPr>
      <w:r>
        <w:t xml:space="preserve">1. A maximum of one nameplate indicating the name and address of a building or occupant is permitted per dwelling for all residential uses.</w:t>
      </w:r>
    </w:p>
    <w:p>
      <w:pPr>
        <w:numPr>
          <w:ilvl w:val="0"/>
          <w:numId w:val="2874"/>
        </w:numPr>
      </w:pPr>
      <w:r>
        <w:t xml:space="preserve">2. The nameplate shall be wall-mounted and no more than two square feet in area.</w:t>
      </w:r>
    </w:p>
    <w:p>
      <w:pPr>
        <w:pStyle w:val="Compact"/>
        <w:numPr>
          <w:ilvl w:val="0"/>
          <w:numId w:val="2875"/>
        </w:numPr>
      </w:pPr>
    </w:p>
    <w:p>
      <w:pPr>
        <w:numPr>
          <w:ilvl w:val="1"/>
          <w:numId w:val="2876"/>
        </w:numPr>
      </w:pPr>
      <w:r>
        <w:t xml:space="preserve">L. Parking Lot Signs</w:t>
      </w:r>
    </w:p>
    <w:p>
      <w:pPr>
        <w:numPr>
          <w:ilvl w:val="1"/>
          <w:numId w:val="1000"/>
        </w:numPr>
      </w:pPr>
      <w:r>
        <w:t xml:space="preserve">1. Parking Lot Directional Signs a. Parking lot directional signs are permitted for each entrance/exit, driveway intersections, drivethrough lanes, and similar circulation points for any parking lot, whether a principal or ancillary use.</w:t>
      </w:r>
    </w:p>
    <w:p>
      <w:pPr>
        <w:pStyle w:val="Compact"/>
        <w:numPr>
          <w:ilvl w:val="0"/>
          <w:numId w:val="2877"/>
        </w:numPr>
      </w:pPr>
    </w:p>
    <w:p>
      <w:pPr>
        <w:pStyle w:val="Compact"/>
        <w:numPr>
          <w:ilvl w:val="1"/>
          <w:numId w:val="2878"/>
        </w:numPr>
      </w:pPr>
    </w:p>
    <w:p>
      <w:pPr>
        <w:numPr>
          <w:ilvl w:val="2"/>
          <w:numId w:val="2879"/>
        </w:numPr>
      </w:pPr>
      <w:r>
        <w:t xml:space="preserve">b. Parking lot directional signs are limited to four square feet in area.</w:t>
      </w:r>
    </w:p>
    <w:p>
      <w:pPr>
        <w:pStyle w:val="Compact"/>
        <w:numPr>
          <w:ilvl w:val="0"/>
          <w:numId w:val="2880"/>
        </w:numPr>
      </w:pPr>
    </w:p>
    <w:p>
      <w:pPr>
        <w:pStyle w:val="Compact"/>
        <w:numPr>
          <w:ilvl w:val="1"/>
          <w:numId w:val="2881"/>
        </w:numPr>
      </w:pPr>
    </w:p>
    <w:p>
      <w:pPr>
        <w:numPr>
          <w:ilvl w:val="2"/>
          <w:numId w:val="2882"/>
        </w:numPr>
      </w:pPr>
      <w:r>
        <w:t xml:space="preserve">c. A freestanding parking lot directional sign is limited to four feet in height and shall be three feet from any lot line.</w:t>
      </w:r>
    </w:p>
    <w:p>
      <w:pPr>
        <w:pStyle w:val="Compact"/>
        <w:numPr>
          <w:ilvl w:val="0"/>
          <w:numId w:val="2883"/>
        </w:numPr>
      </w:pPr>
    </w:p>
    <w:p>
      <w:pPr>
        <w:pStyle w:val="Compact"/>
        <w:numPr>
          <w:ilvl w:val="1"/>
          <w:numId w:val="2884"/>
        </w:numPr>
      </w:pPr>
    </w:p>
    <w:p>
      <w:pPr>
        <w:numPr>
          <w:ilvl w:val="2"/>
          <w:numId w:val="2885"/>
        </w:numPr>
      </w:pPr>
      <w:r>
        <w:t xml:space="preserve">d. Parking lot directional signs may be internally or externally illuminated.</w:t>
      </w:r>
    </w:p>
    <w:p>
      <w:pPr>
        <w:numPr>
          <w:ilvl w:val="0"/>
          <w:numId w:val="2886"/>
        </w:numPr>
      </w:pPr>
      <w:r>
        <w:t xml:space="preserve">2. Parking Lot Information Signs</w:t>
      </w:r>
    </w:p>
    <w:p>
      <w:pPr>
        <w:numPr>
          <w:ilvl w:val="0"/>
          <w:numId w:val="1000"/>
        </w:numPr>
      </w:pPr>
      <w:r>
        <w:t xml:space="preserve">a. Parking lot information signs providing information on the operation of a parking lot, such as “No Parking” or “Unauthorized Users Shall Be Towed,” are permitted as needed for any parking lot, whether a principal or ancillary use.</w:t>
      </w:r>
    </w:p>
    <w:p>
      <w:pPr>
        <w:pStyle w:val="Compact"/>
        <w:numPr>
          <w:ilvl w:val="0"/>
          <w:numId w:val="2887"/>
        </w:numPr>
      </w:pPr>
    </w:p>
    <w:p>
      <w:pPr>
        <w:numPr>
          <w:ilvl w:val="1"/>
          <w:numId w:val="2888"/>
        </w:numPr>
      </w:pPr>
      <w:r>
        <w:t xml:space="preserve">b. Parking lot information signs are limited to ten square feet in area.</w:t>
      </w:r>
    </w:p>
    <w:p>
      <w:pPr>
        <w:pStyle w:val="Compact"/>
        <w:numPr>
          <w:ilvl w:val="0"/>
          <w:numId w:val="2889"/>
        </w:numPr>
      </w:pPr>
    </w:p>
    <w:p>
      <w:pPr>
        <w:numPr>
          <w:ilvl w:val="1"/>
          <w:numId w:val="2890"/>
        </w:numPr>
      </w:pPr>
      <w:r>
        <w:t xml:space="preserve">c. Freestanding signs are limited to six feet in height and shall be three feet from any lot line.</w:t>
      </w:r>
    </w:p>
    <w:p>
      <w:pPr>
        <w:pStyle w:val="Compact"/>
        <w:numPr>
          <w:ilvl w:val="0"/>
          <w:numId w:val="2891"/>
        </w:numPr>
      </w:pPr>
    </w:p>
    <w:p>
      <w:pPr>
        <w:numPr>
          <w:ilvl w:val="1"/>
          <w:numId w:val="2892"/>
        </w:numPr>
      </w:pPr>
      <w:r>
        <w:t xml:space="preserve">M. Political/Noncommercial Message Signs</w:t>
      </w:r>
    </w:p>
    <w:p>
      <w:pPr>
        <w:numPr>
          <w:ilvl w:val="1"/>
          <w:numId w:val="1000"/>
        </w:numPr>
      </w:pPr>
      <w:r>
        <w:t xml:space="preserve">1. Political/noncommercial message signs are permitted in all districts.</w:t>
      </w:r>
    </w:p>
    <w:p>
      <w:pPr>
        <w:numPr>
          <w:ilvl w:val="0"/>
          <w:numId w:val="2893"/>
        </w:numPr>
      </w:pPr>
      <w:r>
        <w:t xml:space="preserve">2. Political/noncommercial message signs in residential districts are limited to 16 square feet in area on each side. Political/noncommercial message signs in all other districts are limited to 30 square feet in area on each side.</w:t>
      </w:r>
    </w:p>
    <w:p>
      <w:pPr>
        <w:numPr>
          <w:ilvl w:val="0"/>
          <w:numId w:val="2894"/>
        </w:numPr>
      </w:pPr>
      <w:r>
        <w:t xml:space="preserve">3. Political/noncommercial message signs shall be posted on private property only, and only with the permission of the property owner.</w:t>
      </w:r>
    </w:p>
    <w:p>
      <w:pPr>
        <w:pStyle w:val="Compact"/>
        <w:numPr>
          <w:ilvl w:val="0"/>
          <w:numId w:val="2895"/>
        </w:numPr>
      </w:pPr>
    </w:p>
    <w:p>
      <w:pPr>
        <w:numPr>
          <w:ilvl w:val="1"/>
          <w:numId w:val="2896"/>
        </w:numPr>
      </w:pPr>
      <w:r>
        <w:t xml:space="preserve">N. Property Identification Signs</w:t>
      </w:r>
    </w:p>
    <w:p>
      <w:pPr>
        <w:numPr>
          <w:ilvl w:val="1"/>
          <w:numId w:val="1000"/>
        </w:numPr>
      </w:pPr>
      <w:r>
        <w:t xml:space="preserve">1. A maximum of one property identification sign identifying the property management company is permitted per building in all districts.</w:t>
      </w:r>
    </w:p>
    <w:p>
      <w:pPr>
        <w:numPr>
          <w:ilvl w:val="0"/>
          <w:numId w:val="2897"/>
        </w:numPr>
      </w:pPr>
      <w:r>
        <w:t xml:space="preserve">2. A property identification sign shall be wall-mounted and is limited to two square feet in area.</w:t>
      </w:r>
    </w:p>
    <w:p>
      <w:pPr>
        <w:pStyle w:val="Compact"/>
        <w:numPr>
          <w:ilvl w:val="0"/>
          <w:numId w:val="2898"/>
        </w:numPr>
      </w:pPr>
    </w:p>
    <w:p>
      <w:pPr>
        <w:numPr>
          <w:ilvl w:val="1"/>
          <w:numId w:val="2899"/>
        </w:numPr>
      </w:pPr>
      <w:r>
        <w:t xml:space="preserve">O. Real Estate Signs</w:t>
      </w:r>
    </w:p>
    <w:p>
      <w:pPr>
        <w:numPr>
          <w:ilvl w:val="1"/>
          <w:numId w:val="1000"/>
        </w:numPr>
      </w:pPr>
      <w:r>
        <w:t xml:space="preserve">1. A maximum of one real estate sign is permitted per street frontage in all districts.</w:t>
      </w:r>
    </w:p>
    <w:p>
      <w:pPr>
        <w:numPr>
          <w:ilvl w:val="0"/>
          <w:numId w:val="2900"/>
        </w:numPr>
      </w:pPr>
      <w:r>
        <w:t xml:space="preserve">2. Real estate signs may be wall-mounted or freestanding. If freestanding, real estate signs are limited to six feet in height.</w:t>
      </w:r>
    </w:p>
    <w:p>
      <w:pPr>
        <w:numPr>
          <w:ilvl w:val="0"/>
          <w:numId w:val="2901"/>
        </w:numPr>
      </w:pPr>
      <w:r>
        <w:t xml:space="preserve">3. Real estate signs are limited in area and display as follows: a. Within all residential districts and the W-1 District, real estate signs are limited to a maximum of six square feet in area and shall be removed within 14 days of the real estate closing or lease transaction.</w:t>
      </w:r>
    </w:p>
    <w:p>
      <w:pPr>
        <w:pStyle w:val="Compact"/>
        <w:numPr>
          <w:ilvl w:val="0"/>
          <w:numId w:val="2902"/>
        </w:numPr>
      </w:pPr>
    </w:p>
    <w:p>
      <w:pPr>
        <w:numPr>
          <w:ilvl w:val="1"/>
          <w:numId w:val="2903"/>
        </w:numPr>
      </w:pPr>
      <w:r>
        <w:t xml:space="preserve">b. Within all commercial districts, real estate signs are limited to a maximum of 12 square feet in area and shall be removed within 30 days of the real estate closing or lease transaction.</w:t>
      </w:r>
    </w:p>
    <w:p>
      <w:pPr>
        <w:pStyle w:val="Compact"/>
        <w:numPr>
          <w:ilvl w:val="0"/>
          <w:numId w:val="2904"/>
        </w:numPr>
      </w:pPr>
    </w:p>
    <w:p>
      <w:pPr>
        <w:numPr>
          <w:ilvl w:val="1"/>
          <w:numId w:val="2905"/>
        </w:numPr>
      </w:pPr>
      <w:r>
        <w:t xml:space="preserve">c. Within all downtown, industrial, and institutional districts and the W-2 and W-3 Districts, real estate signs are limited to a maximum of 32 square feet in area and shall be removed within 30 days of the real estate closing or lease transaction.</w:t>
      </w:r>
    </w:p>
    <w:p>
      <w:pPr>
        <w:pStyle w:val="Compact"/>
        <w:numPr>
          <w:ilvl w:val="0"/>
          <w:numId w:val="2906"/>
        </w:numPr>
      </w:pPr>
    </w:p>
    <w:p>
      <w:pPr>
        <w:numPr>
          <w:ilvl w:val="1"/>
          <w:numId w:val="2907"/>
        </w:numPr>
      </w:pPr>
      <w:r>
        <w:t xml:space="preserve">P. Reserved</w:t>
      </w:r>
    </w:p>
    <w:p>
      <w:pPr>
        <w:pStyle w:val="Compact"/>
        <w:numPr>
          <w:ilvl w:val="0"/>
          <w:numId w:val="2908"/>
        </w:numPr>
      </w:pPr>
    </w:p>
    <w:p>
      <w:pPr>
        <w:numPr>
          <w:ilvl w:val="1"/>
          <w:numId w:val="2909"/>
        </w:numPr>
      </w:pPr>
      <w:r>
        <w:t xml:space="preserve">Q. Window Signs</w:t>
      </w:r>
    </w:p>
    <w:p>
      <w:pPr>
        <w:numPr>
          <w:ilvl w:val="1"/>
          <w:numId w:val="1000"/>
        </w:numPr>
      </w:pPr>
      <w:r>
        <w:t xml:space="preserve">1. Window signs are permitted for all non-residential uses in all districts.</w:t>
      </w:r>
    </w:p>
    <w:p>
      <w:pPr>
        <w:numPr>
          <w:ilvl w:val="0"/>
          <w:numId w:val="2910"/>
        </w:numPr>
      </w:pPr>
      <w:r>
        <w:t xml:space="preserve">2. All window signs, whether temporary or permanent, are limited to no more than 25% of the surface of each window area. Window area is counted as a continuous surface until divided by an architectural or structural element. Mullions are not considered an element that divides window area.</w:t>
      </w:r>
    </w:p>
    <w:p>
      <w:pPr>
        <w:numPr>
          <w:ilvl w:val="0"/>
          <w:numId w:val="2911"/>
        </w:numPr>
      </w:pPr>
      <w:r>
        <w:t xml:space="preserve">3. Window signs that are internally or externally illuminated require a permit. Neon and LED window signs are permitted only in the commercial, waterfront, and downtown districts.</w:t>
      </w:r>
    </w:p>
    <w:p>
      <w:pPr>
        <w:pStyle w:val="Compact"/>
        <w:numPr>
          <w:ilvl w:val="0"/>
          <w:numId w:val="2912"/>
        </w:numPr>
      </w:pPr>
    </w:p>
    <w:p>
      <w:pPr>
        <w:numPr>
          <w:ilvl w:val="1"/>
          <w:numId w:val="2913"/>
        </w:numPr>
      </w:pPr>
      <w:r>
        <w:t xml:space="preserve">R. Yard Sale Signs</w:t>
      </w:r>
    </w:p>
    <w:p>
      <w:pPr>
        <w:numPr>
          <w:ilvl w:val="1"/>
          <w:numId w:val="1000"/>
        </w:numPr>
      </w:pPr>
      <w:r>
        <w:t xml:space="preserve">1. Yard sale signs are permitted for all residential uses when a yard sale is taking place on the property.</w:t>
      </w:r>
    </w:p>
    <w:p>
      <w:pPr>
        <w:numPr>
          <w:ilvl w:val="0"/>
          <w:numId w:val="2914"/>
        </w:numPr>
      </w:pPr>
      <w:r>
        <w:t xml:space="preserve">2. No yard sale signs are permitted in the public right-of-way.</w:t>
      </w:r>
    </w:p>
    <w:p>
      <w:pPr>
        <w:numPr>
          <w:ilvl w:val="0"/>
          <w:numId w:val="2915"/>
        </w:numPr>
      </w:pPr>
      <w:r>
        <w:t xml:space="preserve">3. Yard sale signs are limited to 12 square feet in size.</w:t>
      </w:r>
    </w:p>
    <w:p>
      <w:pPr>
        <w:numPr>
          <w:ilvl w:val="0"/>
          <w:numId w:val="2916"/>
        </w:numPr>
      </w:pPr>
      <w:r>
        <w:t xml:space="preserve">4. Two yard sale signs are permitted per lot.</w:t>
      </w:r>
    </w:p>
    <w:p>
      <w:pPr>
        <w:numPr>
          <w:ilvl w:val="0"/>
          <w:numId w:val="2917"/>
        </w:numPr>
      </w:pPr>
      <w:r>
        <w:t xml:space="preserve">5. Yard sale signs shall be posted no earlier than 48 hours prior to the event and all signs shall be removed within 24 hours after the event.</w:t>
      </w:r>
    </w:p>
    <w:bookmarkEnd w:id="129"/>
    <w:bookmarkStart w:id="130" w:name="signs-requiring-permit"/>
    <w:p>
      <w:pPr>
        <w:pStyle w:val="Heading2"/>
      </w:pPr>
      <w:r>
        <w:t xml:space="preserve">§ 1607. SIGNS REQUIRING PERMIT</w:t>
      </w:r>
    </w:p>
    <w:p>
      <w:pPr>
        <w:pStyle w:val="FirstParagraph"/>
      </w:pPr>
      <w:r>
        <w:t xml:space="preserve">1607 SIGNS REQUIRING PERMIT The following signs require a permit. No sign may be illuminated unless specifically allowed by this section.</w:t>
      </w:r>
    </w:p>
    <w:p>
      <w:pPr>
        <w:pStyle w:val="BodyText"/>
      </w:pPr>
      <w:r>
        <w:t xml:space="preserve">No sign may encroach into the public right-of-way unless permitted by this section.</w:t>
      </w:r>
    </w:p>
    <w:p>
      <w:pPr>
        <w:numPr>
          <w:ilvl w:val="0"/>
          <w:numId w:val="2918"/>
        </w:numPr>
      </w:pPr>
      <w:r>
        <w:t xml:space="preserve">A. Awning Signs</w:t>
      </w:r>
    </w:p>
    <w:p>
      <w:pPr>
        <w:numPr>
          <w:ilvl w:val="0"/>
          <w:numId w:val="1000"/>
        </w:numPr>
      </w:pPr>
      <w:r>
        <w:t xml:space="preserve">1. Multi-family dwellings and non-residential uses are permitted awning signs. In the D-1 District, awnings are limited to a maximum sign area of two square feet of sign area for every one foot of lineal building frontage.</w:t>
      </w:r>
    </w:p>
    <w:p>
      <w:pPr>
        <w:numPr>
          <w:ilvl w:val="0"/>
          <w:numId w:val="2919"/>
        </w:numPr>
      </w:pPr>
      <w:r>
        <w:t xml:space="preserve">2. Awning signs shall maintain a minimum vertical clearance of seven feet six inches.</w:t>
      </w:r>
    </w:p>
    <w:p>
      <w:pPr>
        <w:numPr>
          <w:ilvl w:val="0"/>
          <w:numId w:val="2920"/>
        </w:numPr>
      </w:pPr>
      <w:r>
        <w:t xml:space="preserve">3. Awning signs may encroach into the public right-of-way but shall be located at least two feet from the curb line. In the D-1 District, awnings are permitted to be located at least six inches from the curb line.</w:t>
      </w:r>
    </w:p>
    <w:p>
      <w:pPr>
        <w:numPr>
          <w:ilvl w:val="0"/>
          <w:numId w:val="2921"/>
        </w:numPr>
      </w:pPr>
      <w:r>
        <w:t xml:space="preserve">4. Awning signs shall be made of a durable, weather-resistant material such as canvas, canvas-like material, fire-resistant acrylic, or metal.</w:t>
      </w:r>
    </w:p>
    <w:p>
      <w:pPr>
        <w:numPr>
          <w:ilvl w:val="0"/>
          <w:numId w:val="2922"/>
        </w:numPr>
      </w:pPr>
      <w:r>
        <w:t xml:space="preserve">5. Printing on any awning sign is limited to 25% of the surface area.</w:t>
      </w:r>
    </w:p>
    <w:p>
      <w:pPr>
        <w:numPr>
          <w:ilvl w:val="0"/>
          <w:numId w:val="2923"/>
        </w:numPr>
      </w:pPr>
      <w:r>
        <w:t xml:space="preserve">6. Awning signs are permitted lettering attached to and located above the top of a solid awning to a maximum height of 24 inches.</w:t>
      </w:r>
    </w:p>
    <w:p>
      <w:pPr>
        <w:numPr>
          <w:ilvl w:val="0"/>
          <w:numId w:val="2924"/>
        </w:numPr>
      </w:pPr>
      <w:r>
        <w:t xml:space="preserve">7. Awning signs may be externally illuminated and shall be focused on the printed area.</w:t>
      </w:r>
    </w:p>
    <w:p>
      <w:pPr>
        <w:numPr>
          <w:ilvl w:val="0"/>
          <w:numId w:val="2925"/>
        </w:numPr>
      </w:pPr>
      <w:r>
        <w:t xml:space="preserve">8. Back-lit and waterfall awnings are prohibited. Dome awnings are permitted only over building entryways.</w:t>
      </w:r>
    </w:p>
    <w:p>
      <w:pPr>
        <w:numPr>
          <w:ilvl w:val="0"/>
          <w:numId w:val="2926"/>
        </w:numPr>
      </w:pPr>
      <w:r>
        <w:t xml:space="preserve">9. Under-awning signs are permitted subject to the following: a. Under-awning signs shall be attached to the underside of an awning. Under-awning signs shall not project beyond the awning. Under-awning signs are also permitted to be mounted under galleries or arcades.</w:t>
      </w:r>
    </w:p>
    <w:p>
      <w:pPr>
        <w:pStyle w:val="Compact"/>
        <w:numPr>
          <w:ilvl w:val="0"/>
          <w:numId w:val="2927"/>
        </w:numPr>
      </w:pPr>
    </w:p>
    <w:p>
      <w:pPr>
        <w:numPr>
          <w:ilvl w:val="1"/>
          <w:numId w:val="2928"/>
        </w:numPr>
      </w:pPr>
      <w:r>
        <w:t xml:space="preserve">b. Under-awning signs shall maintain a minimum vertical clearance of seven feet.</w:t>
      </w:r>
    </w:p>
    <w:p>
      <w:pPr>
        <w:pStyle w:val="Compact"/>
        <w:numPr>
          <w:ilvl w:val="0"/>
          <w:numId w:val="2929"/>
        </w:numPr>
      </w:pPr>
    </w:p>
    <w:p>
      <w:pPr>
        <w:numPr>
          <w:ilvl w:val="1"/>
          <w:numId w:val="2930"/>
        </w:numPr>
      </w:pPr>
      <w:r>
        <w:t xml:space="preserve">c. A maximum of one under-awning sign is permitted per business establishment with frontage on the street where the awning is mounted.</w:t>
      </w:r>
    </w:p>
    <w:p>
      <w:pPr>
        <w:pStyle w:val="Compact"/>
        <w:numPr>
          <w:ilvl w:val="0"/>
          <w:numId w:val="2931"/>
        </w:numPr>
      </w:pPr>
    </w:p>
    <w:p>
      <w:pPr>
        <w:numPr>
          <w:ilvl w:val="1"/>
          <w:numId w:val="2932"/>
        </w:numPr>
      </w:pPr>
      <w:r>
        <w:t xml:space="preserve">d. Under-awning signs are limited to a maximum of six square feet.</w:t>
      </w:r>
    </w:p>
    <w:p>
      <w:pPr>
        <w:pStyle w:val="Compact"/>
        <w:numPr>
          <w:ilvl w:val="0"/>
          <w:numId w:val="2933"/>
        </w:numPr>
      </w:pPr>
    </w:p>
    <w:p>
      <w:pPr>
        <w:numPr>
          <w:ilvl w:val="1"/>
          <w:numId w:val="2934"/>
        </w:numPr>
      </w:pPr>
      <w:r>
        <w:t xml:space="preserve">e. Under-awning signs shall be securely fixed to the awning with metal supports.</w:t>
      </w:r>
    </w:p>
    <w:p>
      <w:pPr>
        <w:pStyle w:val="Compact"/>
        <w:numPr>
          <w:ilvl w:val="0"/>
          <w:numId w:val="2935"/>
        </w:numPr>
      </w:pPr>
    </w:p>
    <w:p>
      <w:pPr>
        <w:numPr>
          <w:ilvl w:val="1"/>
          <w:numId w:val="2936"/>
        </w:numPr>
      </w:pPr>
      <w:r>
        <w:t xml:space="preserve">f. Under-awning signs shall be made of wood, metal, or plastic.</w:t>
      </w:r>
    </w:p>
    <w:p>
      <w:pPr>
        <w:pStyle w:val="Compact"/>
        <w:numPr>
          <w:ilvl w:val="0"/>
          <w:numId w:val="2937"/>
        </w:numPr>
      </w:pPr>
    </w:p>
    <w:p>
      <w:pPr>
        <w:numPr>
          <w:ilvl w:val="1"/>
          <w:numId w:val="2938"/>
        </w:numPr>
      </w:pPr>
      <w:r>
        <w:t xml:space="preserve">B. Banners - Exhibition 1. Exhibition banners are permitted for any educational facility, government building, or cultural facility.</w:t>
      </w:r>
    </w:p>
    <w:p>
      <w:pPr>
        <w:numPr>
          <w:ilvl w:val="0"/>
          <w:numId w:val="2939"/>
        </w:numPr>
      </w:pPr>
      <w:r>
        <w:t xml:space="preserve">2. Each structure is permitted up to eight exhibition banners during one display period. The display period is defined as the combined period of 45 days prior to the opening of the exhibit, the run of the exhibit, and 14 days following the close of the exhibit.</w:t>
      </w:r>
    </w:p>
    <w:p>
      <w:pPr>
        <w:numPr>
          <w:ilvl w:val="0"/>
          <w:numId w:val="2940"/>
        </w:numPr>
      </w:pPr>
      <w:r>
        <w:t xml:space="preserve">3. Exhibition banners shall be made of a durable, weather-resistant material like canvas or fireresistant acrylic.</w:t>
      </w:r>
    </w:p>
    <w:p>
      <w:pPr>
        <w:numPr>
          <w:ilvl w:val="0"/>
          <w:numId w:val="2941"/>
        </w:numPr>
      </w:pPr>
      <w:r>
        <w:t xml:space="preserve">4. Each exhibition banner is limited to a maximum sign area of 200 square feet.</w:t>
      </w:r>
    </w:p>
    <w:p>
      <w:pPr>
        <w:numPr>
          <w:ilvl w:val="0"/>
          <w:numId w:val="2942"/>
        </w:numPr>
      </w:pPr>
      <w:r>
        <w:t xml:space="preserve">5. Exhibition banners shall be securely and tautly attached to the wall of the structure. No exhibition banner may be located higher than the roofline or encroach into the public right-of-way.</w:t>
      </w:r>
    </w:p>
    <w:p>
      <w:pPr>
        <w:numPr>
          <w:ilvl w:val="0"/>
          <w:numId w:val="2943"/>
        </w:numPr>
      </w:pPr>
      <w:r>
        <w:t xml:space="preserve">6. Exhibition banners may be externally illuminated and shall be focused on the printed area.</w:t>
      </w:r>
    </w:p>
    <w:p>
      <w:pPr>
        <w:pStyle w:val="Compact"/>
        <w:numPr>
          <w:ilvl w:val="0"/>
          <w:numId w:val="2944"/>
        </w:numPr>
      </w:pPr>
    </w:p>
    <w:p>
      <w:pPr>
        <w:numPr>
          <w:ilvl w:val="1"/>
          <w:numId w:val="2945"/>
        </w:numPr>
      </w:pPr>
      <w:r>
        <w:t xml:space="preserve">C. Canopy Signs</w:t>
      </w:r>
    </w:p>
    <w:p>
      <w:pPr>
        <w:numPr>
          <w:ilvl w:val="1"/>
          <w:numId w:val="1000"/>
        </w:numPr>
      </w:pPr>
      <w:r>
        <w:t xml:space="preserve">1. Multi-family dwellings and non-residential uses are permitted canopy signs. In the D-1 District, canopies are limited to a maximum sign area of two square feet of sign area for every one foot of linear building frontage.</w:t>
      </w:r>
    </w:p>
    <w:p>
      <w:pPr>
        <w:numPr>
          <w:ilvl w:val="0"/>
          <w:numId w:val="2946"/>
        </w:numPr>
      </w:pPr>
      <w:r>
        <w:t xml:space="preserve">2. Canopy signs shall maintain a minimum vertical clearance of seven feet six inches feet.</w:t>
      </w:r>
    </w:p>
    <w:p>
      <w:pPr>
        <w:numPr>
          <w:ilvl w:val="0"/>
          <w:numId w:val="2947"/>
        </w:numPr>
      </w:pPr>
      <w:r>
        <w:t xml:space="preserve">3. Canopy signs may encroach into the public right-of-way but shall be located at least two feet from the curb line. In the D-1 District, canopies are permitted to be located at least six inches from the curb line</w:t>
      </w:r>
    </w:p>
    <w:p>
      <w:pPr>
        <w:numPr>
          <w:ilvl w:val="0"/>
          <w:numId w:val="1000"/>
        </w:numPr>
      </w:pPr>
      <w:r>
        <w:t xml:space="preserve">4. Support posts shall maintain a minimum separation of five feet between posts and between the posts and any building wall.</w:t>
      </w:r>
    </w:p>
    <w:p>
      <w:pPr>
        <w:numPr>
          <w:ilvl w:val="0"/>
          <w:numId w:val="2948"/>
        </w:numPr>
      </w:pPr>
      <w:r>
        <w:t xml:space="preserve">5. Canopy signs shall be made of a durable, weather-resistant material such as canvas, canvas-like material, fire-resistant acrylic, or metal.</w:t>
      </w:r>
    </w:p>
    <w:p>
      <w:pPr>
        <w:numPr>
          <w:ilvl w:val="0"/>
          <w:numId w:val="2949"/>
        </w:numPr>
      </w:pPr>
      <w:r>
        <w:t xml:space="preserve">6. Printing on any canopy sign is limited to 25% of that surface area.</w:t>
      </w:r>
    </w:p>
    <w:p>
      <w:pPr>
        <w:numPr>
          <w:ilvl w:val="0"/>
          <w:numId w:val="2950"/>
        </w:numPr>
      </w:pPr>
      <w:r>
        <w:t xml:space="preserve">7. Canopy signs may be externally illuminated and shall be focused on the printed area.</w:t>
      </w:r>
    </w:p>
    <w:p>
      <w:pPr>
        <w:pStyle w:val="Compact"/>
        <w:numPr>
          <w:ilvl w:val="0"/>
          <w:numId w:val="2951"/>
        </w:numPr>
      </w:pPr>
    </w:p>
    <w:p>
      <w:pPr>
        <w:numPr>
          <w:ilvl w:val="1"/>
          <w:numId w:val="2952"/>
        </w:numPr>
      </w:pPr>
      <w:r>
        <w:t xml:space="preserve">D. Electronic Message Signs</w:t>
      </w:r>
    </w:p>
    <w:p>
      <w:pPr>
        <w:numPr>
          <w:ilvl w:val="1"/>
          <w:numId w:val="1000"/>
        </w:numPr>
      </w:pPr>
      <w:r>
        <w:t xml:space="preserve">1. Electronic message signs are permitted for any educational facility, place of worship, and any government facility including public safety facilities, public works facilities, and parks/playgrounds in any district. Electronic message signs are also permitted in the C-3 District, for menuboards at drive-through establishments, and in the changeable portion of a gas station sign that displays fuel price.</w:t>
      </w:r>
    </w:p>
    <w:p>
      <w:pPr>
        <w:numPr>
          <w:ilvl w:val="0"/>
          <w:numId w:val="2953"/>
        </w:numPr>
      </w:pPr>
      <w:r>
        <w:t xml:space="preserve">2. Only one electronic message sign per lot is permitted.</w:t>
      </w:r>
    </w:p>
    <w:p>
      <w:pPr>
        <w:numPr>
          <w:ilvl w:val="0"/>
          <w:numId w:val="2954"/>
        </w:numPr>
      </w:pPr>
      <w:r>
        <w:t xml:space="preserve">3. Each message or image displayed on an electronic message sign shall be static for a minimum of eight seconds. Any scrolling, flashing, animation, or movement of the message is prohibited.</w:t>
      </w:r>
    </w:p>
    <w:p>
      <w:pPr>
        <w:numPr>
          <w:ilvl w:val="0"/>
          <w:numId w:val="2955"/>
        </w:numPr>
      </w:pPr>
      <w:r>
        <w:t xml:space="preserve">4. Electronic message signs are permitted as part of a freestanding sign, wall sign, or marquee and are subject to the requirements for those sign types. Electronic message signs shall be integrated into the larger sign structure. Electronic message signs are limited to a maximum of 70% of the sign area of a freestanding or wall sign.</w:t>
      </w:r>
    </w:p>
    <w:p>
      <w:pPr>
        <w:numPr>
          <w:ilvl w:val="0"/>
          <w:numId w:val="2956"/>
        </w:numPr>
      </w:pPr>
      <w:r>
        <w:t xml:space="preserve">5. Electronic message signs cannot display any off-premises commercial advertising. Electronic display screens are prohibited.</w:t>
      </w:r>
    </w:p>
    <w:p>
      <w:pPr>
        <w:pStyle w:val="Compact"/>
        <w:numPr>
          <w:ilvl w:val="0"/>
          <w:numId w:val="2957"/>
        </w:numPr>
      </w:pPr>
    </w:p>
    <w:p>
      <w:pPr>
        <w:numPr>
          <w:ilvl w:val="1"/>
          <w:numId w:val="2958"/>
        </w:numPr>
      </w:pPr>
      <w:r>
        <w:t xml:space="preserve">E. Freestanding Signs</w:t>
      </w:r>
    </w:p>
    <w:p>
      <w:pPr>
        <w:numPr>
          <w:ilvl w:val="1"/>
          <w:numId w:val="1000"/>
        </w:numPr>
      </w:pPr>
      <w:r>
        <w:t xml:space="preserve">1. Freestanding signs are permitted as indicated in Table 16-1: Freestanding Sign Regulations.</w:t>
      </w:r>
    </w:p>
    <w:p>
      <w:pPr>
        <w:numPr>
          <w:ilvl w:val="0"/>
          <w:numId w:val="2959"/>
        </w:numPr>
      </w:pPr>
      <w:r>
        <w:t xml:space="preserve">2. Only one freestanding sign is permitted per street lot line. The street lot line shall be a minimum of 50 feet in length in order to install a freestanding sign.</w:t>
      </w:r>
    </w:p>
    <w:p>
      <w:pPr>
        <w:numPr>
          <w:ilvl w:val="0"/>
          <w:numId w:val="2960"/>
        </w:numPr>
      </w:pPr>
      <w:r>
        <w:t xml:space="preserve">3. No part of a freestanding sign may project into, over, or otherwise encroach on a public right-of-way.</w:t>
      </w:r>
    </w:p>
    <w:p>
      <w:pPr>
        <w:numPr>
          <w:ilvl w:val="0"/>
          <w:numId w:val="2961"/>
        </w:numPr>
      </w:pPr>
      <w:r>
        <w:t xml:space="preserve">4. No temporary signs may be attached to the pole or base of a freestanding sign. The base or pole shall not be wrapped in any decorative material that is not an integral part of the pole structure.</w:t>
      </w:r>
    </w:p>
    <w:p>
      <w:pPr>
        <w:numPr>
          <w:ilvl w:val="0"/>
          <w:numId w:val="2962"/>
        </w:numPr>
      </w:pPr>
      <w:r>
        <w:t xml:space="preserve">5. Freestanding signs may be internally or externally illuminated. If externally illuminated, all light shall be directed onto the sign face.</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pStyle w:val="Compact"/>
            </w:pPr>
          </w:p>
        </w:tc>
        <w:tc>
          <w:tcPr/>
          <w:p>
            <w:pPr>
              <w:pStyle w:val="Compact"/>
            </w:pPr>
          </w:p>
        </w:tc>
        <w:tc>
          <w:tcPr/>
          <w:p>
            <w:pPr>
              <w:pStyle w:val="Compact"/>
              <w:jc w:val="left"/>
            </w:pPr>
            <w:r>
              <w:t xml:space="preserve">TABLE 16-1: FREESTANDING SIGN</w:t>
            </w:r>
          </w:p>
        </w:tc>
        <w:tc>
          <w:tcPr/>
          <w:p>
            <w:pPr>
              <w:pStyle w:val="Compact"/>
              <w:jc w:val="left"/>
            </w:pPr>
            <w:r>
              <w:t xml:space="preserve">REGULATIONS</w:t>
            </w: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Maximum Sign Area</w:t>
            </w:r>
          </w:p>
        </w:tc>
        <w:tc>
          <w:tcPr/>
          <w:p>
            <w:pPr>
              <w:pStyle w:val="Compact"/>
              <w:jc w:val="left"/>
            </w:pPr>
            <w:r>
              <w:t xml:space="preserve">Maximum</w:t>
            </w:r>
          </w:p>
        </w:tc>
        <w:tc>
          <w:tcPr/>
          <w:p>
            <w:pPr>
              <w:pStyle w:val="Compact"/>
            </w:pPr>
          </w:p>
        </w:tc>
      </w:tr>
      <w:tr>
        <w:tc>
          <w:tcPr/>
          <w:p>
            <w:pPr>
              <w:pStyle w:val="Compact"/>
            </w:pPr>
          </w:p>
        </w:tc>
        <w:tc>
          <w:tcPr/>
          <w:p>
            <w:pPr>
              <w:pStyle w:val="Compact"/>
              <w:jc w:val="left"/>
            </w:pPr>
            <w:r>
              <w:t xml:space="preserve">District</w:t>
            </w:r>
          </w:p>
        </w:tc>
        <w:tc>
          <w:tcPr/>
          <w:p>
            <w:pPr>
              <w:pStyle w:val="Compact"/>
              <w:jc w:val="left"/>
            </w:pPr>
            <w:r>
              <w:t xml:space="preserve">Additional Controls</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Per Sign</w:t>
            </w:r>
          </w:p>
        </w:tc>
        <w:tc>
          <w:tcPr/>
          <w:p>
            <w:pPr>
              <w:pStyle w:val="Compact"/>
              <w:jc w:val="left"/>
            </w:pPr>
            <w:r>
              <w:t xml:space="preserve">Sign Height</w:t>
            </w:r>
          </w:p>
        </w:tc>
        <w:tc>
          <w:tcPr/>
          <w:p>
            <w:pPr>
              <w:pStyle w:val="Compact"/>
            </w:pPr>
          </w:p>
        </w:tc>
      </w:tr>
      <w:tr>
        <w:tc>
          <w:tcPr/>
          <w:p>
            <w:pPr>
              <w:pStyle w:val="Compact"/>
            </w:pPr>
          </w:p>
        </w:tc>
        <w:tc>
          <w:tcPr/>
          <w:p>
            <w:pPr>
              <w:pStyle w:val="Compact"/>
              <w:jc w:val="left"/>
            </w:pPr>
            <w:r>
              <w:t xml:space="preserve">R-1A</w:t>
            </w:r>
          </w:p>
        </w:tc>
        <w:tc>
          <w:tcPr/>
          <w:p>
            <w:pPr>
              <w:pStyle w:val="Compact"/>
              <w:jc w:val="left"/>
            </w:pPr>
            <w:r>
              <w:t xml:space="preserve">Permitted for institutional uses only</w:t>
            </w:r>
          </w:p>
        </w:tc>
        <w:tc>
          <w:tcPr/>
          <w:p>
            <w:pPr>
              <w:pStyle w:val="Compact"/>
              <w:jc w:val="left"/>
            </w:pPr>
            <w:r>
              <w:t xml:space="preserve">16sf</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R-1</w:t>
            </w:r>
          </w:p>
        </w:tc>
        <w:tc>
          <w:tcPr/>
          <w:p>
            <w:pPr>
              <w:pStyle w:val="Compact"/>
              <w:jc w:val="left"/>
            </w:pPr>
            <w:r>
              <w:t xml:space="preserve">Permitted for institutional uses only</w:t>
            </w:r>
          </w:p>
        </w:tc>
        <w:tc>
          <w:tcPr/>
          <w:p>
            <w:pPr>
              <w:pStyle w:val="Compact"/>
              <w:jc w:val="left"/>
            </w:pPr>
            <w:r>
              <w:t xml:space="preserve">16sf</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R-3</w:t>
            </w:r>
          </w:p>
        </w:tc>
        <w:tc>
          <w:tcPr/>
          <w:p>
            <w:pPr>
              <w:pStyle w:val="Compact"/>
              <w:jc w:val="left"/>
            </w:pPr>
            <w:r>
              <w:t xml:space="preserve">Permitted for institutional uses only</w:t>
            </w:r>
          </w:p>
        </w:tc>
        <w:tc>
          <w:tcPr/>
          <w:p>
            <w:pPr>
              <w:pStyle w:val="Compact"/>
              <w:jc w:val="left"/>
            </w:pPr>
            <w:r>
              <w:t xml:space="preserve">16sf</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R-4</w:t>
            </w:r>
          </w:p>
        </w:tc>
        <w:tc>
          <w:tcPr/>
          <w:p>
            <w:pPr>
              <w:pStyle w:val="Compact"/>
              <w:jc w:val="left"/>
            </w:pPr>
            <w:r>
              <w:t xml:space="preserve">Permitted for multi-family &amp; institutional uses only</w:t>
            </w:r>
          </w:p>
        </w:tc>
        <w:tc>
          <w:tcPr/>
          <w:p>
            <w:pPr>
              <w:pStyle w:val="Compact"/>
              <w:jc w:val="left"/>
            </w:pPr>
            <w:r>
              <w:t xml:space="preserve">16sf</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R-P</w:t>
            </w:r>
          </w:p>
        </w:tc>
        <w:tc>
          <w:tcPr/>
          <w:p>
            <w:pPr>
              <w:pStyle w:val="Compact"/>
            </w:pPr>
          </w:p>
        </w:tc>
        <w:tc>
          <w:tcPr/>
          <w:p>
            <w:pPr>
              <w:pStyle w:val="Compact"/>
              <w:jc w:val="left"/>
            </w:pPr>
            <w:r>
              <w:t xml:space="preserve">16sf</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C-2</w:t>
            </w:r>
          </w:p>
        </w:tc>
        <w:tc>
          <w:tcPr/>
          <w:p>
            <w:pPr>
              <w:pStyle w:val="Compact"/>
            </w:pPr>
          </w:p>
        </w:tc>
        <w:tc>
          <w:tcPr/>
          <w:p>
            <w:pPr>
              <w:pStyle w:val="Compact"/>
              <w:jc w:val="left"/>
            </w:pPr>
            <w:r>
              <w:t xml:space="preserve">20sf</w:t>
            </w:r>
          </w:p>
        </w:tc>
        <w:tc>
          <w:tcPr/>
          <w:p>
            <w:pPr>
              <w:pStyle w:val="Compact"/>
              <w:jc w:val="left"/>
            </w:pPr>
            <w:r>
              <w:t xml:space="preserve">15’</w:t>
            </w:r>
          </w:p>
        </w:tc>
        <w:tc>
          <w:tcPr/>
          <w:p>
            <w:pPr>
              <w:pStyle w:val="Compact"/>
            </w:pPr>
          </w:p>
        </w:tc>
      </w:tr>
      <w:tr>
        <w:tc>
          <w:tcPr/>
          <w:p>
            <w:pPr>
              <w:pStyle w:val="Compact"/>
            </w:pPr>
          </w:p>
        </w:tc>
        <w:tc>
          <w:tcPr/>
          <w:p>
            <w:pPr>
              <w:pStyle w:val="Compact"/>
              <w:jc w:val="left"/>
            </w:pPr>
            <w:r>
              <w:t xml:space="preserve">C-3</w:t>
            </w:r>
          </w:p>
        </w:tc>
        <w:tc>
          <w:tcPr/>
          <w:p>
            <w:pPr>
              <w:pStyle w:val="Compact"/>
            </w:pPr>
          </w:p>
        </w:tc>
        <w:tc>
          <w:tcPr/>
          <w:p>
            <w:pPr>
              <w:pStyle w:val="Compact"/>
              <w:jc w:val="left"/>
            </w:pPr>
            <w:r>
              <w:t xml:space="preserve">60sf</w:t>
            </w:r>
          </w:p>
        </w:tc>
        <w:tc>
          <w:tcPr/>
          <w:p>
            <w:pPr>
              <w:pStyle w:val="Compact"/>
              <w:jc w:val="left"/>
            </w:pPr>
            <w:r>
              <w:t xml:space="preserve">20’</w:t>
            </w:r>
          </w:p>
        </w:tc>
        <w:tc>
          <w:tcPr/>
          <w:p>
            <w:pPr>
              <w:pStyle w:val="Compact"/>
            </w:pPr>
          </w:p>
        </w:tc>
      </w:tr>
      <w:tr>
        <w:tc>
          <w:tcPr/>
          <w:p>
            <w:pPr>
              <w:pStyle w:val="Compact"/>
            </w:pPr>
          </w:p>
        </w:tc>
        <w:tc>
          <w:tcPr/>
          <w:p>
            <w:pPr>
              <w:pStyle w:val="Compact"/>
              <w:jc w:val="left"/>
            </w:pPr>
            <w:r>
              <w:t xml:space="preserve">D-1</w:t>
            </w:r>
          </w:p>
        </w:tc>
        <w:tc>
          <w:tcPr/>
          <w:p>
            <w:pPr>
              <w:pStyle w:val="Compact"/>
            </w:pPr>
          </w:p>
        </w:tc>
        <w:tc>
          <w:tcPr/>
          <w:p>
            <w:pPr>
              <w:pStyle w:val="Compact"/>
              <w:jc w:val="left"/>
            </w:pPr>
            <w:r>
              <w:t xml:space="preserve">Prohibited</w:t>
            </w:r>
          </w:p>
        </w:tc>
        <w:tc>
          <w:tcPr/>
          <w:p>
            <w:pPr>
              <w:pStyle w:val="Compact"/>
            </w:pPr>
          </w:p>
        </w:tc>
        <w:tc>
          <w:tcPr/>
          <w:p>
            <w:pPr>
              <w:pStyle w:val="Compact"/>
            </w:pPr>
          </w:p>
        </w:tc>
      </w:tr>
      <w:tr>
        <w:tc>
          <w:tcPr/>
          <w:p>
            <w:pPr>
              <w:pStyle w:val="Compact"/>
            </w:pPr>
          </w:p>
        </w:tc>
        <w:tc>
          <w:tcPr/>
          <w:p>
            <w:pPr>
              <w:pStyle w:val="Compact"/>
              <w:jc w:val="left"/>
            </w:pPr>
            <w:r>
              <w:t xml:space="preserve">M-MU</w:t>
            </w:r>
          </w:p>
        </w:tc>
        <w:tc>
          <w:tcPr/>
          <w:p>
            <w:pPr>
              <w:pStyle w:val="Compact"/>
            </w:pPr>
          </w:p>
        </w:tc>
        <w:tc>
          <w:tcPr/>
          <w:p>
            <w:pPr>
              <w:pStyle w:val="Compact"/>
              <w:jc w:val="left"/>
            </w:pPr>
            <w:r>
              <w:t xml:space="preserve">60sf</w:t>
            </w:r>
          </w:p>
        </w:tc>
        <w:tc>
          <w:tcPr/>
          <w:p>
            <w:pPr>
              <w:pStyle w:val="Compact"/>
              <w:jc w:val="left"/>
            </w:pPr>
            <w:r>
              <w:t xml:space="preserve">20’</w:t>
            </w:r>
          </w:p>
        </w:tc>
        <w:tc>
          <w:tcPr/>
          <w:p>
            <w:pPr>
              <w:pStyle w:val="Compact"/>
            </w:pPr>
          </w:p>
        </w:tc>
      </w:tr>
      <w:tr>
        <w:tc>
          <w:tcPr/>
          <w:p>
            <w:pPr>
              <w:pStyle w:val="Compact"/>
            </w:pPr>
          </w:p>
        </w:tc>
        <w:tc>
          <w:tcPr/>
          <w:p>
            <w:pPr>
              <w:pStyle w:val="Compact"/>
              <w:jc w:val="left"/>
            </w:pPr>
            <w:r>
              <w:t xml:space="preserve">M-1</w:t>
            </w:r>
          </w:p>
        </w:tc>
        <w:tc>
          <w:tcPr/>
          <w:p>
            <w:pPr>
              <w:pStyle w:val="Compact"/>
            </w:pPr>
          </w:p>
        </w:tc>
        <w:tc>
          <w:tcPr/>
          <w:p>
            <w:pPr>
              <w:pStyle w:val="Compact"/>
              <w:jc w:val="left"/>
            </w:pPr>
            <w:r>
              <w:t xml:space="preserve">60sf</w:t>
            </w:r>
          </w:p>
        </w:tc>
        <w:tc>
          <w:tcPr/>
          <w:p>
            <w:pPr>
              <w:pStyle w:val="Compact"/>
              <w:jc w:val="left"/>
            </w:pPr>
            <w:r>
              <w:t xml:space="preserve">20’</w:t>
            </w:r>
          </w:p>
        </w:tc>
        <w:tc>
          <w:tcPr/>
          <w:p>
            <w:pPr>
              <w:pStyle w:val="Compact"/>
            </w:pPr>
          </w:p>
        </w:tc>
      </w:tr>
      <w:tr>
        <w:tc>
          <w:tcPr/>
          <w:p>
            <w:pPr>
              <w:pStyle w:val="Compact"/>
            </w:pPr>
          </w:p>
        </w:tc>
        <w:tc>
          <w:tcPr/>
          <w:p>
            <w:pPr>
              <w:pStyle w:val="Compact"/>
              <w:jc w:val="left"/>
            </w:pPr>
            <w:r>
              <w:t xml:space="preserve">M-2</w:t>
            </w:r>
          </w:p>
        </w:tc>
        <w:tc>
          <w:tcPr/>
          <w:p>
            <w:pPr>
              <w:pStyle w:val="Compact"/>
            </w:pPr>
          </w:p>
        </w:tc>
        <w:tc>
          <w:tcPr/>
          <w:p>
            <w:pPr>
              <w:pStyle w:val="Compact"/>
              <w:jc w:val="left"/>
            </w:pPr>
            <w:r>
              <w:t xml:space="preserve">60sf</w:t>
            </w:r>
          </w:p>
        </w:tc>
        <w:tc>
          <w:tcPr/>
          <w:p>
            <w:pPr>
              <w:pStyle w:val="Compact"/>
              <w:jc w:val="left"/>
            </w:pPr>
            <w:r>
              <w:t xml:space="preserve">20’</w:t>
            </w:r>
          </w:p>
        </w:tc>
        <w:tc>
          <w:tcPr/>
          <w:p>
            <w:pPr>
              <w:pStyle w:val="Compact"/>
            </w:pPr>
          </w:p>
        </w:tc>
      </w:tr>
      <w:tr>
        <w:tc>
          <w:tcPr/>
          <w:p>
            <w:pPr>
              <w:pStyle w:val="Compact"/>
            </w:pPr>
          </w:p>
        </w:tc>
        <w:tc>
          <w:tcPr/>
          <w:p>
            <w:pPr>
              <w:pStyle w:val="Compact"/>
              <w:jc w:val="left"/>
            </w:pPr>
            <w:r>
              <w:t xml:space="preserve">I-1</w:t>
            </w:r>
          </w:p>
        </w:tc>
        <w:tc>
          <w:tcPr/>
          <w:p>
            <w:pPr>
              <w:pStyle w:val="Compact"/>
            </w:pPr>
          </w:p>
        </w:tc>
        <w:tc>
          <w:tcPr/>
          <w:p>
            <w:pPr>
              <w:pStyle w:val="Compact"/>
              <w:jc w:val="left"/>
            </w:pPr>
            <w:r>
              <w:t xml:space="preserve">20sf</w:t>
            </w:r>
          </w:p>
        </w:tc>
        <w:tc>
          <w:tcPr/>
          <w:p>
            <w:pPr>
              <w:pStyle w:val="Compact"/>
              <w:jc w:val="left"/>
            </w:pPr>
            <w:r>
              <w:t xml:space="preserve">15’</w:t>
            </w:r>
          </w:p>
        </w:tc>
        <w:tc>
          <w:tcPr/>
          <w:p>
            <w:pPr>
              <w:pStyle w:val="Compact"/>
            </w:pPr>
          </w:p>
        </w:tc>
      </w:tr>
      <w:tr>
        <w:tc>
          <w:tcPr/>
          <w:p>
            <w:pPr>
              <w:pStyle w:val="Compact"/>
            </w:pPr>
          </w:p>
        </w:tc>
        <w:tc>
          <w:tcPr/>
          <w:p>
            <w:pPr>
              <w:pStyle w:val="Compact"/>
              <w:jc w:val="left"/>
            </w:pPr>
            <w:r>
              <w:t xml:space="preserve">I-2</w:t>
            </w:r>
          </w:p>
        </w:tc>
        <w:tc>
          <w:tcPr/>
          <w:p>
            <w:pPr>
              <w:pStyle w:val="Compact"/>
            </w:pPr>
          </w:p>
        </w:tc>
        <w:tc>
          <w:tcPr/>
          <w:p>
            <w:pPr>
              <w:pStyle w:val="Compact"/>
              <w:jc w:val="left"/>
            </w:pPr>
            <w:r>
              <w:t xml:space="preserve">20sf</w:t>
            </w:r>
          </w:p>
        </w:tc>
        <w:tc>
          <w:tcPr/>
          <w:p>
            <w:pPr>
              <w:pStyle w:val="Compact"/>
              <w:jc w:val="left"/>
            </w:pPr>
            <w:r>
              <w:t xml:space="preserve">15’</w:t>
            </w:r>
          </w:p>
        </w:tc>
        <w:tc>
          <w:tcPr/>
          <w:p>
            <w:pPr>
              <w:pStyle w:val="Compact"/>
            </w:pPr>
          </w:p>
        </w:tc>
      </w:tr>
      <w:tr>
        <w:tc>
          <w:tcPr/>
          <w:p>
            <w:pPr>
              <w:pStyle w:val="Compact"/>
            </w:pPr>
          </w:p>
        </w:tc>
        <w:tc>
          <w:tcPr/>
          <w:p>
            <w:pPr>
              <w:pStyle w:val="Compact"/>
              <w:jc w:val="left"/>
            </w:pPr>
            <w:r>
              <w:t xml:space="preserve">W-2</w:t>
            </w:r>
          </w:p>
        </w:tc>
        <w:tc>
          <w:tcPr/>
          <w:p>
            <w:pPr>
              <w:pStyle w:val="Compact"/>
            </w:pPr>
          </w:p>
        </w:tc>
        <w:tc>
          <w:tcPr/>
          <w:p>
            <w:pPr>
              <w:pStyle w:val="Compact"/>
              <w:jc w:val="left"/>
            </w:pPr>
            <w:r>
              <w:t xml:space="preserve">60sf</w:t>
            </w:r>
          </w:p>
        </w:tc>
        <w:tc>
          <w:tcPr/>
          <w:p>
            <w:pPr>
              <w:pStyle w:val="Compact"/>
              <w:jc w:val="left"/>
            </w:pPr>
            <w:r>
              <w:t xml:space="preserve">20’</w:t>
            </w:r>
          </w:p>
        </w:tc>
        <w:tc>
          <w:tcPr/>
          <w:p>
            <w:pPr>
              <w:pStyle w:val="Compact"/>
            </w:pPr>
          </w:p>
        </w:tc>
      </w:tr>
      <w:tr>
        <w:tc>
          <w:tcPr/>
          <w:p>
            <w:pPr>
              <w:pStyle w:val="Compact"/>
            </w:pPr>
          </w:p>
        </w:tc>
        <w:tc>
          <w:tcPr/>
          <w:p>
            <w:pPr>
              <w:pStyle w:val="Compact"/>
              <w:jc w:val="left"/>
            </w:pPr>
            <w:r>
              <w:t xml:space="preserve">W-3</w:t>
            </w:r>
          </w:p>
        </w:tc>
        <w:tc>
          <w:tcPr/>
          <w:p>
            <w:pPr>
              <w:pStyle w:val="Compact"/>
            </w:pPr>
          </w:p>
        </w:tc>
        <w:tc>
          <w:tcPr/>
          <w:p>
            <w:pPr>
              <w:pStyle w:val="Compact"/>
              <w:jc w:val="left"/>
            </w:pPr>
            <w:r>
              <w:t xml:space="preserve">60sf</w:t>
            </w:r>
          </w:p>
        </w:tc>
        <w:tc>
          <w:tcPr/>
          <w:p>
            <w:pPr>
              <w:pStyle w:val="Compact"/>
              <w:jc w:val="left"/>
            </w:pPr>
            <w:r>
              <w:t xml:space="preserve">20’</w:t>
            </w:r>
          </w:p>
        </w:tc>
        <w:tc>
          <w:tcPr/>
          <w:p>
            <w:pPr>
              <w:pStyle w:val="Compact"/>
            </w:pPr>
          </w:p>
        </w:tc>
      </w:tr>
      <w:tr>
        <w:tc>
          <w:tcPr/>
          <w:p>
            <w:pPr>
              <w:pStyle w:val="Compact"/>
            </w:pPr>
          </w:p>
        </w:tc>
        <w:tc>
          <w:tcPr/>
          <w:p>
            <w:pPr>
              <w:pStyle w:val="Compact"/>
              <w:jc w:val="left"/>
            </w:pPr>
            <w:r>
              <w:t xml:space="preserve">OS</w:t>
            </w:r>
          </w:p>
        </w:tc>
        <w:tc>
          <w:tcPr/>
          <w:p>
            <w:pPr>
              <w:pStyle w:val="Compact"/>
            </w:pPr>
          </w:p>
        </w:tc>
        <w:tc>
          <w:tcPr/>
          <w:p>
            <w:pPr>
              <w:pStyle w:val="Compact"/>
              <w:jc w:val="left"/>
            </w:pPr>
            <w:r>
              <w:t xml:space="preserve">16sf</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PS</w:t>
            </w:r>
          </w:p>
        </w:tc>
        <w:tc>
          <w:tcPr/>
          <w:p>
            <w:pPr>
              <w:pStyle w:val="Compact"/>
            </w:pPr>
          </w:p>
        </w:tc>
        <w:tc>
          <w:tcPr/>
          <w:p>
            <w:pPr>
              <w:pStyle w:val="Compact"/>
              <w:jc w:val="left"/>
            </w:pPr>
            <w:r>
              <w:t xml:space="preserve">16sf</w:t>
            </w:r>
          </w:p>
        </w:tc>
        <w:tc>
          <w:tcPr/>
          <w:p>
            <w:pPr>
              <w:pStyle w:val="Compact"/>
              <w:jc w:val="left"/>
            </w:pPr>
            <w:r>
              <w:t xml:space="preserve">6’</w:t>
            </w:r>
          </w:p>
        </w:tc>
        <w:tc>
          <w:tcPr/>
          <w:p>
            <w:pPr>
              <w:pStyle w:val="Compact"/>
            </w:pPr>
          </w:p>
        </w:tc>
      </w:tr>
      <w:tr>
        <w:tc>
          <w:tcPr/>
          <w:p>
            <w:pPr>
              <w:pStyle w:val="Compact"/>
            </w:pPr>
          </w:p>
        </w:tc>
        <w:tc>
          <w:tcPr/>
          <w:p>
            <w:pPr>
              <w:pStyle w:val="Compact"/>
              <w:jc w:val="left"/>
            </w:pPr>
            <w:r>
              <w:t xml:space="preserve">CD</w:t>
            </w:r>
          </w:p>
        </w:tc>
        <w:tc>
          <w:tcPr/>
          <w:p>
            <w:pPr>
              <w:pStyle w:val="Compact"/>
            </w:pPr>
          </w:p>
        </w:tc>
        <w:tc>
          <w:tcPr/>
          <w:p>
            <w:pPr>
              <w:pStyle w:val="Compact"/>
              <w:jc w:val="left"/>
            </w:pPr>
            <w:r>
              <w:t xml:space="preserve">16sf</w:t>
            </w:r>
          </w:p>
        </w:tc>
        <w:tc>
          <w:tcPr/>
          <w:p>
            <w:pPr>
              <w:pStyle w:val="Compact"/>
              <w:jc w:val="left"/>
            </w:pPr>
            <w:r>
              <w:t xml:space="preserve">6’</w:t>
            </w:r>
          </w:p>
        </w:tc>
        <w:tc>
          <w:tcPr/>
          <w:p>
            <w:pPr>
              <w:pStyle w:val="Compact"/>
            </w:pPr>
          </w:p>
        </w:tc>
      </w:tr>
    </w:tbl>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pPr>
          </w:p>
        </w:tc>
        <w:tc>
          <w:tcPr/>
          <w:p>
            <w:pPr>
              <w:pStyle w:val="Compact"/>
              <w:jc w:val="left"/>
            </w:pPr>
            <w:r>
              <w:t xml:space="preserve">TABLE 16-2: PROJECTING</w:t>
            </w:r>
          </w:p>
        </w:tc>
        <w:tc>
          <w:tcPr/>
          <w:p>
            <w:pPr>
              <w:pStyle w:val="Compact"/>
              <w:jc w:val="left"/>
            </w:pPr>
            <w:r>
              <w:t xml:space="preserve">SIGN REGULATIONS</w:t>
            </w:r>
          </w:p>
        </w:tc>
        <w:tc>
          <w:tcPr/>
          <w:p>
            <w:pPr>
              <w:pStyle w:val="Compact"/>
            </w:pPr>
          </w:p>
        </w:tc>
      </w:tr>
      <w:tr>
        <w:tc>
          <w:tcPr/>
          <w:p>
            <w:pPr>
              <w:pStyle w:val="Compact"/>
            </w:pPr>
          </w:p>
        </w:tc>
        <w:tc>
          <w:tcPr/>
          <w:p>
            <w:pPr>
              <w:pStyle w:val="Compact"/>
              <w:jc w:val="left"/>
            </w:pPr>
            <w:r>
              <w:t xml:space="preserve">District</w:t>
            </w:r>
          </w:p>
        </w:tc>
        <w:tc>
          <w:tcPr/>
          <w:p>
            <w:pPr>
              <w:pStyle w:val="Compact"/>
              <w:jc w:val="left"/>
            </w:pPr>
            <w:r>
              <w:t xml:space="preserve">Maximum Sign Area Per Sign</w:t>
            </w:r>
          </w:p>
        </w:tc>
        <w:tc>
          <w:tcPr/>
          <w:p>
            <w:pPr>
              <w:pStyle w:val="Compact"/>
            </w:pPr>
          </w:p>
        </w:tc>
      </w:tr>
      <w:tr>
        <w:tc>
          <w:tcPr/>
          <w:p>
            <w:pPr>
              <w:pStyle w:val="Compact"/>
            </w:pPr>
          </w:p>
        </w:tc>
        <w:tc>
          <w:tcPr/>
          <w:p>
            <w:pPr>
              <w:pStyle w:val="Compact"/>
              <w:jc w:val="left"/>
            </w:pPr>
            <w:r>
              <w:t xml:space="preserve">R-1A</w:t>
            </w:r>
          </w:p>
        </w:tc>
        <w:tc>
          <w:tcPr/>
          <w:p>
            <w:pPr>
              <w:pStyle w:val="Compact"/>
              <w:jc w:val="left"/>
            </w:pPr>
            <w:r>
              <w:t xml:space="preserve">Prohibited</w:t>
            </w:r>
          </w:p>
        </w:tc>
        <w:tc>
          <w:tcPr/>
          <w:p>
            <w:pPr>
              <w:pStyle w:val="Compact"/>
            </w:pPr>
          </w:p>
        </w:tc>
      </w:tr>
      <w:tr>
        <w:tc>
          <w:tcPr/>
          <w:p>
            <w:pPr>
              <w:pStyle w:val="Compact"/>
            </w:pPr>
          </w:p>
        </w:tc>
        <w:tc>
          <w:tcPr/>
          <w:p>
            <w:pPr>
              <w:pStyle w:val="Compact"/>
              <w:jc w:val="left"/>
            </w:pPr>
            <w:r>
              <w:t xml:space="preserve">R-1</w:t>
            </w:r>
          </w:p>
        </w:tc>
        <w:tc>
          <w:tcPr/>
          <w:p>
            <w:pPr>
              <w:pStyle w:val="Compact"/>
              <w:jc w:val="left"/>
            </w:pPr>
            <w:r>
              <w:t xml:space="preserve">Prohibited</w:t>
            </w:r>
          </w:p>
        </w:tc>
        <w:tc>
          <w:tcPr/>
          <w:p>
            <w:pPr>
              <w:pStyle w:val="Compact"/>
            </w:pPr>
          </w:p>
        </w:tc>
      </w:tr>
      <w:tr>
        <w:tc>
          <w:tcPr/>
          <w:p>
            <w:pPr>
              <w:pStyle w:val="Compact"/>
            </w:pPr>
          </w:p>
        </w:tc>
        <w:tc>
          <w:tcPr/>
          <w:p>
            <w:pPr>
              <w:pStyle w:val="Compact"/>
              <w:jc w:val="left"/>
            </w:pPr>
            <w:r>
              <w:t xml:space="preserve">R-3</w:t>
            </w:r>
          </w:p>
        </w:tc>
        <w:tc>
          <w:tcPr/>
          <w:p>
            <w:pPr>
              <w:pStyle w:val="Compact"/>
              <w:jc w:val="left"/>
            </w:pPr>
            <w:r>
              <w:t xml:space="preserve">Prohibited</w:t>
            </w:r>
          </w:p>
        </w:tc>
        <w:tc>
          <w:tcPr/>
          <w:p>
            <w:pPr>
              <w:pStyle w:val="Compact"/>
            </w:pPr>
          </w:p>
        </w:tc>
      </w:tr>
      <w:tr>
        <w:tc>
          <w:tcPr/>
          <w:p>
            <w:pPr>
              <w:pStyle w:val="Compact"/>
            </w:pPr>
          </w:p>
        </w:tc>
        <w:tc>
          <w:tcPr/>
          <w:p>
            <w:pPr>
              <w:pStyle w:val="Compact"/>
              <w:jc w:val="left"/>
            </w:pPr>
            <w:r>
              <w:t xml:space="preserve">R-4</w:t>
            </w:r>
          </w:p>
        </w:tc>
        <w:tc>
          <w:tcPr/>
          <w:p>
            <w:pPr>
              <w:pStyle w:val="Compact"/>
              <w:jc w:val="left"/>
            </w:pPr>
            <w:r>
              <w:t xml:space="preserve">Prohibited</w:t>
            </w:r>
          </w:p>
        </w:tc>
        <w:tc>
          <w:tcPr/>
          <w:p>
            <w:pPr>
              <w:pStyle w:val="Compact"/>
            </w:pPr>
          </w:p>
        </w:tc>
      </w:tr>
      <w:tr>
        <w:tc>
          <w:tcPr/>
          <w:p>
            <w:pPr>
              <w:pStyle w:val="Compact"/>
            </w:pPr>
          </w:p>
        </w:tc>
        <w:tc>
          <w:tcPr/>
          <w:p>
            <w:pPr>
              <w:pStyle w:val="Compact"/>
              <w:jc w:val="left"/>
            </w:pPr>
            <w:r>
              <w:t xml:space="preserve">R-P</w:t>
            </w:r>
          </w:p>
        </w:tc>
        <w:tc>
          <w:tcPr/>
          <w:p>
            <w:pPr>
              <w:pStyle w:val="Compact"/>
              <w:jc w:val="left"/>
            </w:pPr>
            <w:r>
              <w:t xml:space="preserve">12sf</w:t>
            </w:r>
          </w:p>
        </w:tc>
        <w:tc>
          <w:tcPr/>
          <w:p>
            <w:pPr>
              <w:pStyle w:val="Compact"/>
            </w:pPr>
          </w:p>
        </w:tc>
      </w:tr>
      <w:tr>
        <w:tc>
          <w:tcPr/>
          <w:p>
            <w:pPr>
              <w:pStyle w:val="Compact"/>
            </w:pPr>
          </w:p>
        </w:tc>
        <w:tc>
          <w:tcPr/>
          <w:p>
            <w:pPr>
              <w:pStyle w:val="Compact"/>
              <w:jc w:val="left"/>
            </w:pPr>
            <w:r>
              <w:t xml:space="preserve">C-2</w:t>
            </w:r>
          </w:p>
        </w:tc>
        <w:tc>
          <w:tcPr/>
          <w:p>
            <w:pPr>
              <w:pStyle w:val="Compact"/>
              <w:jc w:val="left"/>
            </w:pPr>
            <w:r>
              <w:t xml:space="preserve">20sf</w:t>
            </w:r>
          </w:p>
        </w:tc>
        <w:tc>
          <w:tcPr/>
          <w:p>
            <w:pPr>
              <w:pStyle w:val="Compact"/>
            </w:pPr>
          </w:p>
        </w:tc>
      </w:tr>
      <w:tr>
        <w:tc>
          <w:tcPr/>
          <w:p>
            <w:pPr>
              <w:pStyle w:val="Compact"/>
            </w:pPr>
          </w:p>
        </w:tc>
        <w:tc>
          <w:tcPr/>
          <w:p>
            <w:pPr>
              <w:pStyle w:val="Compact"/>
              <w:jc w:val="left"/>
            </w:pPr>
            <w:r>
              <w:t xml:space="preserve">C-3</w:t>
            </w:r>
          </w:p>
        </w:tc>
        <w:tc>
          <w:tcPr/>
          <w:p>
            <w:pPr>
              <w:pStyle w:val="Compact"/>
              <w:jc w:val="left"/>
            </w:pPr>
            <w:r>
              <w:t xml:space="preserve">32sf</w:t>
            </w:r>
          </w:p>
        </w:tc>
        <w:tc>
          <w:tcPr/>
          <w:p>
            <w:pPr>
              <w:pStyle w:val="Compact"/>
            </w:pPr>
          </w:p>
        </w:tc>
      </w:tr>
      <w:tr>
        <w:tc>
          <w:tcPr/>
          <w:p>
            <w:pPr>
              <w:pStyle w:val="Compact"/>
            </w:pPr>
          </w:p>
        </w:tc>
        <w:tc>
          <w:tcPr/>
          <w:p>
            <w:pPr>
              <w:pStyle w:val="Compact"/>
              <w:jc w:val="left"/>
            </w:pPr>
            <w:r>
              <w:t xml:space="preserve">D-1</w:t>
            </w:r>
          </w:p>
        </w:tc>
        <w:tc>
          <w:tcPr/>
          <w:p>
            <w:pPr>
              <w:pStyle w:val="Compact"/>
              <w:jc w:val="left"/>
            </w:pPr>
            <w:r>
              <w:t xml:space="preserve">48sf</w:t>
            </w:r>
          </w:p>
        </w:tc>
        <w:tc>
          <w:tcPr/>
          <w:p>
            <w:pPr>
              <w:pStyle w:val="Compact"/>
            </w:pPr>
          </w:p>
        </w:tc>
      </w:tr>
      <w:tr>
        <w:tc>
          <w:tcPr/>
          <w:p>
            <w:pPr>
              <w:pStyle w:val="Compact"/>
            </w:pPr>
          </w:p>
        </w:tc>
        <w:tc>
          <w:tcPr/>
          <w:p>
            <w:pPr>
              <w:pStyle w:val="Compact"/>
              <w:jc w:val="left"/>
            </w:pPr>
            <w:r>
              <w:t xml:space="preserve">M-MU</w:t>
            </w:r>
          </w:p>
        </w:tc>
        <w:tc>
          <w:tcPr/>
          <w:p>
            <w:pPr>
              <w:pStyle w:val="Compact"/>
              <w:jc w:val="left"/>
            </w:pPr>
            <w:r>
              <w:t xml:space="preserve">48sf</w:t>
            </w:r>
          </w:p>
        </w:tc>
        <w:tc>
          <w:tcPr/>
          <w:p>
            <w:pPr>
              <w:pStyle w:val="Compact"/>
            </w:pPr>
          </w:p>
        </w:tc>
      </w:tr>
      <w:tr>
        <w:tc>
          <w:tcPr/>
          <w:p>
            <w:pPr>
              <w:pStyle w:val="Compact"/>
            </w:pPr>
          </w:p>
        </w:tc>
        <w:tc>
          <w:tcPr/>
          <w:p>
            <w:pPr>
              <w:pStyle w:val="Compact"/>
              <w:jc w:val="left"/>
            </w:pPr>
            <w:r>
              <w:t xml:space="preserve">M-1</w:t>
            </w:r>
          </w:p>
        </w:tc>
        <w:tc>
          <w:tcPr/>
          <w:p>
            <w:pPr>
              <w:pStyle w:val="Compact"/>
              <w:jc w:val="left"/>
            </w:pPr>
            <w:r>
              <w:t xml:space="preserve">48sf</w:t>
            </w:r>
          </w:p>
        </w:tc>
        <w:tc>
          <w:tcPr/>
          <w:p>
            <w:pPr>
              <w:pStyle w:val="Compact"/>
            </w:pPr>
          </w:p>
        </w:tc>
      </w:tr>
      <w:tr>
        <w:tc>
          <w:tcPr/>
          <w:p>
            <w:pPr>
              <w:pStyle w:val="Compact"/>
            </w:pPr>
          </w:p>
        </w:tc>
        <w:tc>
          <w:tcPr/>
          <w:p>
            <w:pPr>
              <w:pStyle w:val="Compact"/>
              <w:jc w:val="left"/>
            </w:pPr>
            <w:r>
              <w:t xml:space="preserve">M-2</w:t>
            </w:r>
          </w:p>
        </w:tc>
        <w:tc>
          <w:tcPr/>
          <w:p>
            <w:pPr>
              <w:pStyle w:val="Compact"/>
              <w:jc w:val="left"/>
            </w:pPr>
            <w:r>
              <w:t xml:space="preserve">48sf</w:t>
            </w:r>
          </w:p>
        </w:tc>
        <w:tc>
          <w:tcPr/>
          <w:p>
            <w:pPr>
              <w:pStyle w:val="Compact"/>
            </w:pPr>
          </w:p>
        </w:tc>
      </w:tr>
      <w:tr>
        <w:tc>
          <w:tcPr/>
          <w:p>
            <w:pPr>
              <w:pStyle w:val="Compact"/>
            </w:pPr>
          </w:p>
        </w:tc>
        <w:tc>
          <w:tcPr/>
          <w:p>
            <w:pPr>
              <w:pStyle w:val="Compact"/>
              <w:jc w:val="left"/>
            </w:pPr>
            <w:r>
              <w:t xml:space="preserve">I-1</w:t>
            </w:r>
          </w:p>
        </w:tc>
        <w:tc>
          <w:tcPr/>
          <w:p>
            <w:pPr>
              <w:pStyle w:val="Compact"/>
              <w:jc w:val="left"/>
            </w:pPr>
            <w:r>
              <w:t xml:space="preserve">32sf</w:t>
            </w:r>
          </w:p>
        </w:tc>
        <w:tc>
          <w:tcPr/>
          <w:p>
            <w:pPr>
              <w:pStyle w:val="Compact"/>
            </w:pPr>
          </w:p>
        </w:tc>
      </w:tr>
      <w:tr>
        <w:tc>
          <w:tcPr/>
          <w:p>
            <w:pPr>
              <w:pStyle w:val="Compact"/>
            </w:pPr>
          </w:p>
        </w:tc>
        <w:tc>
          <w:tcPr/>
          <w:p>
            <w:pPr>
              <w:pStyle w:val="Compact"/>
              <w:jc w:val="left"/>
            </w:pPr>
            <w:r>
              <w:t xml:space="preserve">I-2</w:t>
            </w:r>
          </w:p>
        </w:tc>
        <w:tc>
          <w:tcPr/>
          <w:p>
            <w:pPr>
              <w:pStyle w:val="Compact"/>
              <w:jc w:val="left"/>
            </w:pPr>
            <w:r>
              <w:t xml:space="preserve">32sf</w:t>
            </w:r>
          </w:p>
        </w:tc>
        <w:tc>
          <w:tcPr/>
          <w:p>
            <w:pPr>
              <w:pStyle w:val="Compact"/>
            </w:pPr>
          </w:p>
        </w:tc>
      </w:tr>
      <w:tr>
        <w:tc>
          <w:tcPr/>
          <w:p>
            <w:pPr>
              <w:pStyle w:val="Compact"/>
            </w:pPr>
          </w:p>
        </w:tc>
        <w:tc>
          <w:tcPr/>
          <w:p>
            <w:pPr>
              <w:pStyle w:val="Compact"/>
              <w:jc w:val="left"/>
            </w:pPr>
            <w:r>
              <w:t xml:space="preserve">W-2</w:t>
            </w:r>
          </w:p>
        </w:tc>
        <w:tc>
          <w:tcPr/>
          <w:p>
            <w:pPr>
              <w:pStyle w:val="Compact"/>
              <w:jc w:val="left"/>
            </w:pPr>
            <w:r>
              <w:t xml:space="preserve">32sf</w:t>
            </w:r>
          </w:p>
        </w:tc>
        <w:tc>
          <w:tcPr/>
          <w:p>
            <w:pPr>
              <w:pStyle w:val="Compact"/>
            </w:pPr>
          </w:p>
        </w:tc>
      </w:tr>
      <w:tr>
        <w:tc>
          <w:tcPr/>
          <w:p>
            <w:pPr>
              <w:pStyle w:val="Compact"/>
            </w:pPr>
          </w:p>
        </w:tc>
        <w:tc>
          <w:tcPr/>
          <w:p>
            <w:pPr>
              <w:pStyle w:val="Compact"/>
              <w:jc w:val="left"/>
            </w:pPr>
            <w:r>
              <w:t xml:space="preserve">W-3</w:t>
            </w:r>
          </w:p>
        </w:tc>
        <w:tc>
          <w:tcPr/>
          <w:p>
            <w:pPr>
              <w:pStyle w:val="Compact"/>
              <w:jc w:val="left"/>
            </w:pPr>
            <w:r>
              <w:t xml:space="preserve">48sf</w:t>
            </w:r>
          </w:p>
        </w:tc>
        <w:tc>
          <w:tcPr/>
          <w:p>
            <w:pPr>
              <w:pStyle w:val="Compact"/>
            </w:pPr>
          </w:p>
        </w:tc>
      </w:tr>
      <w:tr>
        <w:tc>
          <w:tcPr/>
          <w:p>
            <w:pPr>
              <w:pStyle w:val="Compact"/>
            </w:pPr>
          </w:p>
        </w:tc>
        <w:tc>
          <w:tcPr/>
          <w:p>
            <w:pPr>
              <w:pStyle w:val="Compact"/>
              <w:jc w:val="left"/>
            </w:pPr>
            <w:r>
              <w:t xml:space="preserve">OS</w:t>
            </w:r>
          </w:p>
        </w:tc>
        <w:tc>
          <w:tcPr/>
          <w:p>
            <w:pPr>
              <w:pStyle w:val="Compact"/>
              <w:jc w:val="left"/>
            </w:pPr>
            <w:r>
              <w:t xml:space="preserve">12sf</w:t>
            </w:r>
          </w:p>
        </w:tc>
        <w:tc>
          <w:tcPr/>
          <w:p>
            <w:pPr>
              <w:pStyle w:val="Compact"/>
            </w:pPr>
          </w:p>
        </w:tc>
      </w:tr>
      <w:tr>
        <w:tc>
          <w:tcPr/>
          <w:p>
            <w:pPr>
              <w:pStyle w:val="Compact"/>
            </w:pPr>
          </w:p>
        </w:tc>
        <w:tc>
          <w:tcPr/>
          <w:p>
            <w:pPr>
              <w:pStyle w:val="Compact"/>
              <w:jc w:val="left"/>
            </w:pPr>
            <w:r>
              <w:t xml:space="preserve">PS</w:t>
            </w:r>
          </w:p>
        </w:tc>
        <w:tc>
          <w:tcPr/>
          <w:p>
            <w:pPr>
              <w:pStyle w:val="Compact"/>
              <w:jc w:val="left"/>
            </w:pPr>
            <w:r>
              <w:t xml:space="preserve">12sf</w:t>
            </w:r>
          </w:p>
        </w:tc>
        <w:tc>
          <w:tcPr/>
          <w:p>
            <w:pPr>
              <w:pStyle w:val="Compact"/>
            </w:pPr>
          </w:p>
        </w:tc>
      </w:tr>
      <w:tr>
        <w:tc>
          <w:tcPr/>
          <w:p>
            <w:pPr>
              <w:pStyle w:val="Compact"/>
            </w:pPr>
          </w:p>
        </w:tc>
        <w:tc>
          <w:tcPr/>
          <w:p>
            <w:pPr>
              <w:pStyle w:val="Compact"/>
              <w:jc w:val="left"/>
            </w:pPr>
            <w:r>
              <w:t xml:space="preserve">CD</w:t>
            </w:r>
          </w:p>
        </w:tc>
        <w:tc>
          <w:tcPr/>
          <w:p>
            <w:pPr>
              <w:pStyle w:val="Compact"/>
              <w:jc w:val="left"/>
            </w:pPr>
            <w:r>
              <w:t xml:space="preserve">12sf</w:t>
            </w:r>
          </w:p>
        </w:tc>
        <w:tc>
          <w:tcPr/>
          <w:p>
            <w:pPr>
              <w:pStyle w:val="Compact"/>
            </w:pPr>
          </w:p>
        </w:tc>
      </w:tr>
      <w:tr>
        <w:tc>
          <w:tcPr/>
          <w:p>
            <w:pPr>
              <w:pStyle w:val="Compact"/>
            </w:pPr>
          </w:p>
        </w:tc>
        <w:tc>
          <w:tcPr/>
          <w:p>
            <w:pPr>
              <w:pStyle w:val="Compact"/>
            </w:pPr>
          </w:p>
        </w:tc>
        <w:tc>
          <w:tcPr/>
          <w:p>
            <w:pPr>
              <w:pStyle w:val="Compact"/>
              <w:jc w:val="left"/>
            </w:pPr>
            <w:r>
              <w:t xml:space="preserve">FIGURE 16-7</w:t>
            </w:r>
          </w:p>
        </w:tc>
        <w:tc>
          <w:tcPr/>
          <w:p>
            <w:pPr>
              <w:pStyle w:val="Compact"/>
            </w:pPr>
          </w:p>
        </w:tc>
      </w:tr>
    </w:tbl>
    <w:p>
      <w:pPr>
        <w:numPr>
          <w:ilvl w:val="0"/>
          <w:numId w:val="2963"/>
        </w:numPr>
      </w:pPr>
      <w:r>
        <w:t xml:space="preserve">R-P 16sf 6’ C-2 20sf 15’ C-3 60sf 20’ D-1 Prohibited M-MU 60sf 20’ M-1 60sf 20’ M-2 60sf 20’ I-1 20sf 15’ I-2 20sf 15’ W-2 60sf 20’ W-3 60sf 20’ OS 16sf 6’ PS 16sf 6’ CD 16sf 6’</w:t>
      </w:r>
    </w:p>
    <w:p>
      <w:pPr>
        <w:pStyle w:val="Compact"/>
        <w:numPr>
          <w:ilvl w:val="0"/>
          <w:numId w:val="2964"/>
        </w:numPr>
      </w:pPr>
    </w:p>
    <w:p>
      <w:pPr>
        <w:numPr>
          <w:ilvl w:val="1"/>
          <w:numId w:val="2965"/>
        </w:numPr>
      </w:pPr>
      <w:r>
        <w:t xml:space="preserve">F. Marquee Signs</w:t>
      </w:r>
    </w:p>
    <w:p>
      <w:pPr>
        <w:numPr>
          <w:ilvl w:val="1"/>
          <w:numId w:val="1000"/>
        </w:numPr>
      </w:pPr>
      <w:r>
        <w:t xml:space="preserve">1. Marquees are permitted for non-residential uses in the C-2, C-3, D-1, M-MU, and W-2 Districts.</w:t>
      </w:r>
    </w:p>
    <w:p>
      <w:pPr>
        <w:numPr>
          <w:ilvl w:val="0"/>
          <w:numId w:val="2966"/>
        </w:numPr>
      </w:pPr>
      <w:r>
        <w:t xml:space="preserve">2. Marquees shall be supported solely by the building to which they are attached. No exterior columns or posts are permitted as supports.</w:t>
      </w:r>
    </w:p>
    <w:p>
      <w:pPr>
        <w:numPr>
          <w:ilvl w:val="0"/>
          <w:numId w:val="2967"/>
        </w:numPr>
      </w:pPr>
      <w:r>
        <w:t xml:space="preserve">3. The roof of a marquee shall not be used for any purpose other than to form and constitute a roof and shall be constructed of noncombustible material.</w:t>
      </w:r>
    </w:p>
    <w:p>
      <w:pPr>
        <w:numPr>
          <w:ilvl w:val="0"/>
          <w:numId w:val="2968"/>
        </w:numPr>
      </w:pPr>
      <w:r>
        <w:t xml:space="preserve">4. Water from the roofs of a marquee shall not drain, drip or flow onto the surface of a public right-ofway. Sufficient downspouts, drains and gutters shall be installed as part of each marquee to prevent water from the roof of the marquee from flowing onto the surface of a public right-of-way.</w:t>
      </w:r>
    </w:p>
    <w:p>
      <w:pPr>
        <w:numPr>
          <w:ilvl w:val="0"/>
          <w:numId w:val="2969"/>
        </w:numPr>
      </w:pPr>
      <w:r>
        <w:t xml:space="preserve">5. Marquees shall be erected over a building entrance and are limited to the width of the building entrance. An additional five feet on each side of the entrance doors covered by the marquee is permitted.</w:t>
      </w:r>
    </w:p>
    <w:p>
      <w:pPr>
        <w:numPr>
          <w:ilvl w:val="0"/>
          <w:numId w:val="2970"/>
        </w:numPr>
      </w:pPr>
      <w:r>
        <w:t xml:space="preserve">6. All marquees shall maintain a minimum vertical clearance of eight feet and the roof of the marquee structure shall be erected below the second floor window sill.</w:t>
      </w:r>
    </w:p>
    <w:p>
      <w:pPr>
        <w:numPr>
          <w:ilvl w:val="0"/>
          <w:numId w:val="2971"/>
        </w:numPr>
      </w:pPr>
      <w:r>
        <w:t xml:space="preserve">7. Marquees may encroach into the public right-of-way but shall be located at least two feet from the curb line.</w:t>
      </w:r>
    </w:p>
    <w:p>
      <w:pPr>
        <w:numPr>
          <w:ilvl w:val="0"/>
          <w:numId w:val="2972"/>
        </w:numPr>
      </w:pPr>
      <w:r>
        <w:t xml:space="preserve">8. Marquees are permitted lettering attached to and located above the roof of a marquee to a maximum height of 36 inches.</w:t>
      </w:r>
    </w:p>
    <w:p>
      <w:pPr>
        <w:numPr>
          <w:ilvl w:val="0"/>
          <w:numId w:val="2973"/>
        </w:numPr>
      </w:pPr>
      <w:r>
        <w:t xml:space="preserve">9. Marquees may be internally illuminated.</w:t>
      </w:r>
    </w:p>
    <w:p>
      <w:pPr>
        <w:pStyle w:val="Compact"/>
        <w:numPr>
          <w:ilvl w:val="0"/>
          <w:numId w:val="2974"/>
        </w:numPr>
      </w:pPr>
    </w:p>
    <w:p>
      <w:pPr>
        <w:numPr>
          <w:ilvl w:val="1"/>
          <w:numId w:val="2975"/>
        </w:numPr>
      </w:pPr>
      <w:r>
        <w:t xml:space="preserve">G. Menuboard Signs</w:t>
      </w:r>
    </w:p>
    <w:p>
      <w:pPr>
        <w:numPr>
          <w:ilvl w:val="1"/>
          <w:numId w:val="1000"/>
        </w:numPr>
      </w:pPr>
      <w:r>
        <w:t xml:space="preserve">1. Drive-through establishments are permitted one menuboard per drive-through lane.</w:t>
      </w:r>
    </w:p>
    <w:p>
      <w:pPr>
        <w:numPr>
          <w:ilvl w:val="0"/>
          <w:numId w:val="2976"/>
        </w:numPr>
      </w:pPr>
      <w:r>
        <w:t xml:space="preserve">2. Menuboards shall be constructed as freestanding sign. Menuboards are limited to 40 square feet in sign area and seven feet in height.</w:t>
      </w:r>
    </w:p>
    <w:p>
      <w:pPr>
        <w:numPr>
          <w:ilvl w:val="0"/>
          <w:numId w:val="2977"/>
        </w:numPr>
      </w:pPr>
      <w:r>
        <w:t xml:space="preserve">3. Menuboards shall be located a minimum of 15 feet from any lot line.</w:t>
      </w:r>
    </w:p>
    <w:p>
      <w:pPr>
        <w:numPr>
          <w:ilvl w:val="0"/>
          <w:numId w:val="2978"/>
        </w:numPr>
      </w:pPr>
      <w:r>
        <w:t xml:space="preserve">4. Menuboards may be internally illuminated.</w:t>
      </w:r>
    </w:p>
    <w:p>
      <w:pPr>
        <w:pStyle w:val="Compact"/>
        <w:numPr>
          <w:ilvl w:val="0"/>
          <w:numId w:val="2979"/>
        </w:numPr>
      </w:pPr>
    </w:p>
    <w:p>
      <w:pPr>
        <w:numPr>
          <w:ilvl w:val="1"/>
          <w:numId w:val="2980"/>
        </w:numPr>
      </w:pPr>
      <w:r>
        <w:t xml:space="preserve">H. Projecting Signs</w:t>
      </w:r>
    </w:p>
    <w:p>
      <w:pPr>
        <w:numPr>
          <w:ilvl w:val="1"/>
          <w:numId w:val="1000"/>
        </w:numPr>
      </w:pPr>
      <w:r>
        <w:t xml:space="preserve">1. Projecting signs are permitted as indicated in Table 16-2: Projecting Sign Regulations.</w:t>
      </w:r>
    </w:p>
    <w:p>
      <w:pPr>
        <w:numPr>
          <w:ilvl w:val="0"/>
          <w:numId w:val="2981"/>
        </w:numPr>
      </w:pPr>
      <w:r>
        <w:t xml:space="preserve">2. One projecting sign is permitted per each façade of an establishment. Projecting signs shall be above or adjacent to the building entrance.</w:t>
      </w:r>
    </w:p>
    <w:p>
      <w:pPr>
        <w:numPr>
          <w:ilvl w:val="0"/>
          <w:numId w:val="2982"/>
        </w:numPr>
      </w:pPr>
      <w:r>
        <w:t xml:space="preserve">3. Projecting signs may encroach into the public right-of-way but shall be located at least two feet from the curb line.</w:t>
      </w:r>
    </w:p>
    <w:p>
      <w:pPr>
        <w:numPr>
          <w:ilvl w:val="0"/>
          <w:numId w:val="2983"/>
        </w:numPr>
      </w:pPr>
      <w:r>
        <w:t xml:space="preserve">4. Projecting signs shall maintain a minimum vertical clearance of eight feet. No projecting sign affixed to a building may project higher than the building height, including the sign support structure.</w:t>
      </w:r>
    </w:p>
    <w:p>
      <w:pPr>
        <w:numPr>
          <w:ilvl w:val="0"/>
          <w:numId w:val="2984"/>
        </w:numPr>
      </w:pPr>
      <w:r>
        <w:t xml:space="preserve">5. No projecting sign may be secured or hung to any other sign.</w:t>
      </w:r>
    </w:p>
    <w:p>
      <w:pPr>
        <w:numPr>
          <w:ilvl w:val="0"/>
          <w:numId w:val="2985"/>
        </w:numPr>
      </w:pPr>
      <w:r>
        <w:t xml:space="preserve">6. Projecting signs shall be constructed of wood, metal, durable, weather-resistant material like canvas, canvas-like material, nylon or vinyl-coated fabric, or plastic. Projecting signs constructed of material shall be mounted so that they are held taut between support posts.</w:t>
      </w:r>
    </w:p>
    <w:p>
      <w:pPr>
        <w:numPr>
          <w:ilvl w:val="0"/>
          <w:numId w:val="2986"/>
        </w:numPr>
      </w:pPr>
      <w:r>
        <w:t xml:space="preserve">7. Projecting signs may be internally or externally illuminated. If externally illuminated, all lighting shall be directed onto the sign face from above.</w:t>
      </w:r>
    </w:p>
    <w:p>
      <w:pPr>
        <w:numPr>
          <w:ilvl w:val="0"/>
          <w:numId w:val="2987"/>
        </w:numPr>
      </w:pPr>
      <w:r>
        <w:t xml:space="preserve">R-1A Prohibited R-1 Prohibited R-3 Prohibited R-4 Prohibited R-P 12sf C-2 20sf C-3 32sf D-1 48sf M-MU 48sf M-1 48sf M-2 48sf I-1 32sf I-2 32sf W-2 32sf W-3 48sf OS 12sf PS 12sf CD 12sf</w:t>
      </w:r>
    </w:p>
    <w:p>
      <w:pPr>
        <w:pStyle w:val="Compact"/>
        <w:numPr>
          <w:ilvl w:val="0"/>
          <w:numId w:val="2988"/>
        </w:numPr>
      </w:pPr>
    </w:p>
    <w:p>
      <w:pPr>
        <w:numPr>
          <w:ilvl w:val="1"/>
          <w:numId w:val="2989"/>
        </w:numPr>
      </w:pPr>
      <w:r>
        <w:t xml:space="preserve">I. Roof Signs</w:t>
      </w:r>
    </w:p>
    <w:p>
      <w:pPr>
        <w:numPr>
          <w:ilvl w:val="1"/>
          <w:numId w:val="1000"/>
        </w:numPr>
      </w:pPr>
      <w:r>
        <w:t xml:space="preserve">1. Roof signs are permitted in the following districts: D-1, M-MU, M-1, M-2, and W-3 Districts.</w:t>
      </w:r>
    </w:p>
    <w:p>
      <w:pPr>
        <w:numPr>
          <w:ilvl w:val="0"/>
          <w:numId w:val="2990"/>
        </w:numPr>
      </w:pPr>
      <w:r>
        <w:t xml:space="preserve">2. Roof signs are limited to a maximum sign area of 200 square feet in the M-MU, M-1, M-2, and W-3 Districts, and 128 square feet in the D-1 District. Roof signs are limited to a maximum height of 12 feet, as measured from the roof of the structure to the highest point of the sign, including sign structure.</w:t>
      </w:r>
    </w:p>
    <w:p>
      <w:pPr>
        <w:numPr>
          <w:ilvl w:val="0"/>
          <w:numId w:val="2991"/>
        </w:numPr>
      </w:pPr>
      <w:r>
        <w:t xml:space="preserve">3. A maximum of one roof sign is permitted per building. Only buildings with flat roofs are permitted a roof sign.</w:t>
      </w:r>
    </w:p>
    <w:p>
      <w:pPr>
        <w:numPr>
          <w:ilvl w:val="0"/>
          <w:numId w:val="2992"/>
        </w:numPr>
      </w:pPr>
      <w:r>
        <w:t xml:space="preserve">4. A roof sign shall be set back at least three feet from the outermost walls of the roof.</w:t>
      </w:r>
    </w:p>
    <w:p>
      <w:pPr>
        <w:numPr>
          <w:ilvl w:val="0"/>
          <w:numId w:val="2993"/>
        </w:numPr>
      </w:pPr>
      <w:r>
        <w:t xml:space="preserve">5. Roof signs shall be safely and securely attached to the roof structure and shall not interfere with any roof access points.</w:t>
      </w:r>
    </w:p>
    <w:p>
      <w:pPr>
        <w:numPr>
          <w:ilvl w:val="0"/>
          <w:numId w:val="2994"/>
        </w:numPr>
      </w:pPr>
      <w:r>
        <w:t xml:space="preserve">6. Roof signs may be internally or externally illuminated and include neon or LED components.</w:t>
      </w:r>
    </w:p>
    <w:p>
      <w:pPr>
        <w:pStyle w:val="Compact"/>
        <w:numPr>
          <w:ilvl w:val="0"/>
          <w:numId w:val="2995"/>
        </w:numPr>
      </w:pPr>
    </w:p>
    <w:p>
      <w:pPr>
        <w:numPr>
          <w:ilvl w:val="1"/>
          <w:numId w:val="2996"/>
        </w:numPr>
      </w:pPr>
      <w:r>
        <w:t xml:space="preserve">J. Temporary Pole Signs</w:t>
      </w:r>
    </w:p>
    <w:p>
      <w:pPr>
        <w:numPr>
          <w:ilvl w:val="1"/>
          <w:numId w:val="1000"/>
        </w:numPr>
      </w:pPr>
      <w:r>
        <w:t xml:space="preserve">1. Temporary pole signs are permitted to for all non-residential uses in all districts.</w:t>
      </w:r>
    </w:p>
    <w:p>
      <w:pPr>
        <w:numPr>
          <w:ilvl w:val="0"/>
          <w:numId w:val="2997"/>
        </w:numPr>
      </w:pPr>
      <w:r>
        <w:t xml:space="preserve">2. Temporary pole signs are limited to 24 square feet in area and six feet in height.</w:t>
      </w:r>
    </w:p>
    <w:p>
      <w:pPr>
        <w:numPr>
          <w:ilvl w:val="0"/>
          <w:numId w:val="2998"/>
        </w:numPr>
      </w:pPr>
      <w:r>
        <w:t xml:space="preserve">3. All temporary pole signs shall be set back ten feet from any lot line.</w:t>
      </w:r>
    </w:p>
    <w:p>
      <w:pPr>
        <w:numPr>
          <w:ilvl w:val="0"/>
          <w:numId w:val="2999"/>
        </w:numPr>
      </w:pPr>
      <w:r>
        <w:t xml:space="preserve">4. Temporary pole signs are limited to a display period of 30 days and shall be removed within two days after the event. Temporary pole signs may be erected on a zoning lot no more than three times in a year with a minimum of 30 days between events.</w:t>
      </w:r>
    </w:p>
    <w:p>
      <w:pPr>
        <w:numPr>
          <w:ilvl w:val="0"/>
          <w:numId w:val="3000"/>
        </w:numPr>
      </w:pPr>
      <w:r>
        <w:t xml:space="preserve">5. Only one temporary pole sign may be displayed on a lot at any one time.</w:t>
      </w:r>
    </w:p>
    <w:p>
      <w:pPr>
        <w:pStyle w:val="Compact"/>
        <w:numPr>
          <w:ilvl w:val="0"/>
          <w:numId w:val="3001"/>
        </w:numPr>
      </w:pPr>
    </w:p>
    <w:p>
      <w:pPr>
        <w:numPr>
          <w:ilvl w:val="1"/>
          <w:numId w:val="3002"/>
        </w:numPr>
      </w:pPr>
      <w:r>
        <w:t xml:space="preserve">K. Wall Signs</w:t>
      </w:r>
    </w:p>
    <w:p>
      <w:pPr>
        <w:numPr>
          <w:ilvl w:val="1"/>
          <w:numId w:val="1000"/>
        </w:numPr>
      </w:pPr>
      <w:r>
        <w:t xml:space="preserve">1. Wall signs are permitted for non-residential uses in all districts.</w:t>
      </w:r>
    </w:p>
    <w:p>
      <w:pPr>
        <w:numPr>
          <w:ilvl w:val="0"/>
          <w:numId w:val="3003"/>
        </w:numPr>
      </w:pPr>
      <w:r>
        <w:t xml:space="preserve">2. The maximum size of all wall signs for a building wall is established at two square feet per linear foot of building wall where the wall signs will be mounted. Wall signs for commercial uses in mixed-use structures shall not be mounted on residential portions of the building.</w:t>
      </w:r>
    </w:p>
    <w:p>
      <w:pPr>
        <w:numPr>
          <w:ilvl w:val="0"/>
          <w:numId w:val="3004"/>
        </w:numPr>
      </w:pPr>
      <w:r>
        <w:t xml:space="preserve">3. On buildings of four stories or greater, an additional wall sign to identify the building may be placed within the top 20 feet of the structure. The sign may not cover any fenestration or architectural features. The maximum size is established at three square feet per linear foot of building façade, measured at the roofline where the wall sign will be mounted.</w:t>
      </w:r>
    </w:p>
    <w:p>
      <w:pPr>
        <w:numPr>
          <w:ilvl w:val="0"/>
          <w:numId w:val="3005"/>
        </w:numPr>
      </w:pPr>
      <w:r>
        <w:t xml:space="preserve">4. Wall signs may be internally or externally illuminated. If externally illuminated, all light shall be directed onto the sign face.</w:t>
      </w:r>
    </w:p>
    <w:p>
      <w:pPr>
        <w:numPr>
          <w:ilvl w:val="0"/>
          <w:numId w:val="3006"/>
        </w:numPr>
      </w:pPr>
      <w:r>
        <w:t xml:space="preserve">5. Wall signs shall be safely and securely attached to the building wall. Wall signs shall be affixed flat against the wall and shall not project more than 15 inches from the building wall. Wall signs shall not encroach into the public right-of-way for more than 15 inches.</w:t>
      </w:r>
    </w:p>
    <w:p>
      <w:pPr>
        <w:numPr>
          <w:ilvl w:val="0"/>
          <w:numId w:val="3007"/>
        </w:numPr>
      </w:pPr>
      <w:r>
        <w:t xml:space="preserve">6. No wall sign affixed to a building, including sign support structure, may project beyond the ends or top of the wall or higher than the roofline of the structure to which it is attached.</w:t>
      </w:r>
    </w:p>
    <w:p>
      <w:pPr>
        <w:numPr>
          <w:ilvl w:val="0"/>
          <w:numId w:val="3008"/>
        </w:numPr>
      </w:pPr>
      <w:r>
        <w:t xml:space="preserve">7. Wall signs shall be constructed of wood, brick, metal, or plastic.</w:t>
      </w:r>
    </w:p>
    <w:p>
      <w:pPr>
        <w:numPr>
          <w:ilvl w:val="0"/>
          <w:numId w:val="3009"/>
        </w:numPr>
      </w:pPr>
      <w:r>
        <w:t xml:space="preserve">8. Wall signs are permitted on architectural appurtenances, such as chimneys or penthouses, which are part of the structure.</w:t>
      </w:r>
    </w:p>
    <w:p>
      <w:pPr>
        <w:numPr>
          <w:ilvl w:val="0"/>
          <w:numId w:val="3010"/>
        </w:numPr>
      </w:pPr>
      <w:r>
        <w:t xml:space="preserve">9. Ghost signs are considered wall signs. Existing ghost signs are exempt from these requirements and deemed conforming, including prohibitions on illegally affixed and snipe signs in Section 1605. Ghost signs may be maintained and repainted but no new information or images may be added to the existing sign.</w:t>
      </w:r>
    </w:p>
    <w:p>
      <w:pPr>
        <w:pStyle w:val="Compact"/>
        <w:numPr>
          <w:ilvl w:val="0"/>
          <w:numId w:val="3011"/>
        </w:numPr>
      </w:pPr>
    </w:p>
    <w:p>
      <w:pPr>
        <w:numPr>
          <w:ilvl w:val="1"/>
          <w:numId w:val="3012"/>
        </w:numPr>
      </w:pPr>
      <w:r>
        <w:t xml:space="preserve">L. Window Signs</w:t>
      </w:r>
    </w:p>
    <w:p>
      <w:pPr>
        <w:numPr>
          <w:ilvl w:val="1"/>
          <w:numId w:val="1000"/>
        </w:numPr>
      </w:pPr>
      <w:r>
        <w:t xml:space="preserve">1. Window signs are permitted for all non-residential uses in all districts.</w:t>
      </w:r>
    </w:p>
    <w:p>
      <w:pPr>
        <w:numPr>
          <w:ilvl w:val="0"/>
          <w:numId w:val="3013"/>
        </w:numPr>
      </w:pPr>
      <w:r>
        <w:t xml:space="preserve">2. All window signs, whether temporary or permanent, are limited to no more than 25% of the surface of each window area. Window area is counted as a continuous surface until divided by an architectural or structural element. Mullions are not considered an element that divides window area.</w:t>
      </w:r>
    </w:p>
    <w:p>
      <w:pPr>
        <w:numPr>
          <w:ilvl w:val="0"/>
          <w:numId w:val="3014"/>
        </w:numPr>
      </w:pPr>
      <w:r>
        <w:t xml:space="preserve">3. Window signs that are internally or externally illuminated require a permit. Neon and LED window signs are permitted only in the commercial, waterfront, and downtown districts.</w:t>
      </w:r>
    </w:p>
    <w:p>
      <w:pPr>
        <w:pStyle w:val="Compact"/>
        <w:numPr>
          <w:ilvl w:val="0"/>
          <w:numId w:val="3015"/>
        </w:numPr>
      </w:pPr>
    </w:p>
    <w:p>
      <w:pPr>
        <w:numPr>
          <w:ilvl w:val="1"/>
          <w:numId w:val="3016"/>
        </w:numPr>
      </w:pPr>
      <w:r>
        <w:t xml:space="preserve">M. Scoreboards Scoreboards, which record and display the score of a game, and may include such information as the name of the field or home team and advertising, are permitted for all recreational fields. The scoreboard may be an electronic message sign and may convey video. The scoreboard shall be oriented toward the field of play.</w:t>
      </w:r>
    </w:p>
    <w:bookmarkEnd w:id="130"/>
    <w:bookmarkStart w:id="131" w:name="ordinance-administrators"/>
    <w:p>
      <w:pPr>
        <w:pStyle w:val="Heading1"/>
      </w:pPr>
      <w:r>
        <w:t xml:space="preserve">§ 17. ORDINANCE ADMINISTRATORS</w:t>
      </w:r>
    </w:p>
    <w:p>
      <w:pPr>
        <w:pStyle w:val="FirstParagraph"/>
      </w:pPr>
      <w:r>
        <w:t xml:space="preserve">ARTICLE 17. ORDINANCE ADMINISTRATORS 1700 DESIGNEES 1701 CITY COUNCIL 1702 CITY PLAN COMMISSION 1703 ZONING BOARD OF REVIEW 1704 DOWNTOWN DESIGN REVIEW COMMITTEE 1705 I-195 REDEVELOPMENT DISTRICT COMMISSION 1706 RESERVED 1707 HISTORIC DISTRICT COMMISSION 1708 ADMINISTRATIVE OFFICERS 1709 DIRECTOR OF THE DEPARTMENT OF INSPECTION AND STANDARDS 1710 DIRECTOR OF THE DEPARTMENT OF PUBLIC WORKS 1711 CITY FORESTER 1712 CITY CLERK 1713 DIRECTOR OF THE DEPARTMENT OF PLANNING AND DEVELOPMENT 1714 ZONING BOARD OF REVIEW ORGANIZATION AND PROCEDURES 1715 DOWNTOWN DESIGN REVIEW COMMITTEE ORGANIZATION AND PROCEDURES 1716 I-195 REDEVELOPMENT DISTRICT COMMISSION ORGANIZATION AND PROCEDURES 1717 RESERVED 1718 HISTORIC DISTRICT COMMISSION ORGANIZATION AND PROCEDURES 1719 ADMINISTRATIVE OFFICERS APPOINTMENT AND PROCEDURES</w:t>
      </w:r>
    </w:p>
    <w:bookmarkEnd w:id="131"/>
    <w:bookmarkStart w:id="132" w:name="designees"/>
    <w:p>
      <w:pPr>
        <w:pStyle w:val="Heading2"/>
      </w:pPr>
      <w:r>
        <w:t xml:space="preserve">§ 1700. DESIGNEES</w:t>
      </w:r>
    </w:p>
    <w:p>
      <w:pPr>
        <w:pStyle w:val="FirstParagraph"/>
      </w:pPr>
      <w:r>
        <w:t xml:space="preserve">1700 DESIGNEES Certain officials within this section are cited as having powers that may also be administered by a designee, indicated in this section by the language “designee.” The ability to direct powers to a designee applies to the actions of such officials throughout this Ordinance.</w:t>
      </w:r>
    </w:p>
    <w:bookmarkEnd w:id="132"/>
    <w:bookmarkStart w:id="133" w:name="city-council"/>
    <w:p>
      <w:pPr>
        <w:pStyle w:val="Heading2"/>
      </w:pPr>
      <w:r>
        <w:t xml:space="preserve">§ 1701. CITY COUNCIL</w:t>
      </w:r>
    </w:p>
    <w:p>
      <w:pPr>
        <w:pStyle w:val="FirstParagraph"/>
      </w:pPr>
      <w:r>
        <w:t xml:space="preserve">1701 CITY COUNCIL The City Council has the following specific powers, pursuant to this Ordinance:</w:t>
      </w:r>
    </w:p>
    <w:p>
      <w:pPr>
        <w:numPr>
          <w:ilvl w:val="0"/>
          <w:numId w:val="3017"/>
        </w:numPr>
      </w:pPr>
      <w:r>
        <w:t xml:space="preserve">A. To make final decisions on zoning map and text amendment petitions or proposals.</w:t>
      </w:r>
    </w:p>
    <w:bookmarkEnd w:id="133"/>
    <w:bookmarkStart w:id="134" w:name="city-plan-commission"/>
    <w:p>
      <w:pPr>
        <w:pStyle w:val="Heading2"/>
      </w:pPr>
      <w:r>
        <w:t xml:space="preserve">§ 1702. CITY PLAN COMMISSION</w:t>
      </w:r>
    </w:p>
    <w:p>
      <w:pPr>
        <w:pStyle w:val="FirstParagraph"/>
      </w:pPr>
      <w:r>
        <w:t xml:space="preserve">1702 CITY PLAN COMMISSION The City Plan Commission has the following powers, pursuant to this Ordinance:</w:t>
      </w:r>
    </w:p>
    <w:p>
      <w:pPr>
        <w:numPr>
          <w:ilvl w:val="0"/>
          <w:numId w:val="3018"/>
        </w:numPr>
      </w:pPr>
      <w:r>
        <w:t xml:space="preserve">A. To make recommendations to the City Council on zoning map and text amendment petitions or proposals.</w:t>
      </w:r>
    </w:p>
    <w:p>
      <w:pPr>
        <w:numPr>
          <w:ilvl w:val="0"/>
          <w:numId w:val="3019"/>
        </w:numPr>
      </w:pPr>
      <w:r>
        <w:t xml:space="preserve">B. To make final decisions on land development project applications.</w:t>
      </w:r>
    </w:p>
    <w:p>
      <w:pPr>
        <w:numPr>
          <w:ilvl w:val="0"/>
          <w:numId w:val="3020"/>
        </w:numPr>
      </w:pPr>
      <w:r>
        <w:t xml:space="preserve">C. To make final decisions on certain development plan review applications.</w:t>
      </w:r>
    </w:p>
    <w:p>
      <w:pPr>
        <w:numPr>
          <w:ilvl w:val="0"/>
          <w:numId w:val="3021"/>
        </w:numPr>
      </w:pPr>
      <w:r>
        <w:t xml:space="preserve">D. To periodically review this Ordinance to ensure that it is carrying out the goals as set forth in the City's Comprehensive Plan, and to recommend changes to the City Council.</w:t>
      </w:r>
    </w:p>
    <w:p>
      <w:pPr>
        <w:numPr>
          <w:ilvl w:val="0"/>
          <w:numId w:val="3022"/>
        </w:numPr>
      </w:pPr>
      <w:r>
        <w:t xml:space="preserve">E. To make final decisions on unified development review applications.</w:t>
      </w:r>
    </w:p>
    <w:bookmarkEnd w:id="134"/>
    <w:bookmarkStart w:id="135" w:name="zoning-board-of-review"/>
    <w:p>
      <w:pPr>
        <w:pStyle w:val="Heading2"/>
      </w:pPr>
      <w:r>
        <w:t xml:space="preserve">§ 1703. ZONING BOARD OF REVIEW</w:t>
      </w:r>
    </w:p>
    <w:p>
      <w:pPr>
        <w:pStyle w:val="FirstParagraph"/>
      </w:pPr>
      <w:r>
        <w:t xml:space="preserve">1703 ZONING BOARD OF REVIEW The organization and procedures of the Zoning Board of Review are delineated in Section 1714 below. The Zoning Board of Review has the following powers, pursuant to this Ordinance:</w:t>
      </w:r>
    </w:p>
    <w:p>
      <w:pPr>
        <w:numPr>
          <w:ilvl w:val="0"/>
          <w:numId w:val="3023"/>
        </w:numPr>
      </w:pPr>
      <w:r>
        <w:t xml:space="preserve">A. To make final decisions on special use permit applications.</w:t>
      </w:r>
    </w:p>
    <w:p>
      <w:pPr>
        <w:numPr>
          <w:ilvl w:val="0"/>
          <w:numId w:val="3024"/>
        </w:numPr>
      </w:pPr>
      <w:r>
        <w:t xml:space="preserve">B. To make final decisions on variance applications.</w:t>
      </w:r>
    </w:p>
    <w:p>
      <w:pPr>
        <w:numPr>
          <w:ilvl w:val="0"/>
          <w:numId w:val="3025"/>
        </w:numPr>
      </w:pPr>
      <w:r>
        <w:t xml:space="preserve">C. To make final decisions on appeals from the Historic District Commission and appeals of any order, requirement, decision, or determination made by the Director of the Department of Inspection and Standards or other authorized agent in the enforcement or interpretation of this Ordinance.</w:t>
      </w:r>
    </w:p>
    <w:p>
      <w:pPr>
        <w:numPr>
          <w:ilvl w:val="0"/>
          <w:numId w:val="3026"/>
        </w:numPr>
      </w:pPr>
      <w:r>
        <w:t xml:space="preserve">D. Any additional powers provided to zoning boards of review pursuant to the Rhode Island General Laws.</w:t>
      </w:r>
    </w:p>
    <w:bookmarkEnd w:id="135"/>
    <w:bookmarkStart w:id="136" w:name="downtown-design-review-committee"/>
    <w:p>
      <w:pPr>
        <w:pStyle w:val="Heading2"/>
      </w:pPr>
      <w:r>
        <w:t xml:space="preserve">§ 1704. DOWNTOWN DESIGN REVIEW COMMITTEE</w:t>
      </w:r>
    </w:p>
    <w:p>
      <w:pPr>
        <w:pStyle w:val="FirstParagraph"/>
      </w:pPr>
      <w:r>
        <w:t xml:space="preserve">1704 DOWNTOWN DESIGN REVIEW COMMITTEE The organization and procedures of the Downtown Design Review Committee are delineated in Section 1715 below. The Downtown Design Review Committee have the following powers, pursuant to this Ordinance:</w:t>
      </w:r>
    </w:p>
    <w:p>
      <w:pPr>
        <w:numPr>
          <w:ilvl w:val="0"/>
          <w:numId w:val="3027"/>
        </w:numPr>
      </w:pPr>
      <w:r>
        <w:t xml:space="preserve">A. To make final decisions on development plan review applications where required by this Ordinance.</w:t>
      </w:r>
    </w:p>
    <w:p>
      <w:pPr>
        <w:numPr>
          <w:ilvl w:val="0"/>
          <w:numId w:val="3028"/>
        </w:numPr>
      </w:pPr>
      <w:r>
        <w:t xml:space="preserve">B. To make final decisions on applications for waivers and incentives in the D-1 District, as applicable.</w:t>
      </w:r>
    </w:p>
    <w:bookmarkEnd w:id="136"/>
    <w:bookmarkStart w:id="137" w:name="i-195-redevelopment-district-commission"/>
    <w:p>
      <w:pPr>
        <w:pStyle w:val="Heading2"/>
      </w:pPr>
      <w:r>
        <w:t xml:space="preserve">§ 1705. I-195 REDEVELOPMENT DISTRICT COMMISSION</w:t>
      </w:r>
    </w:p>
    <w:p>
      <w:pPr>
        <w:pStyle w:val="FirstParagraph"/>
      </w:pPr>
      <w:r>
        <w:t xml:space="preserve">1705 I-195 REDEVELOPMENT DISTRICT COMMISSION The organization and procedures of the I-195 Redevelopment District Commission are delineated in Section 1716 below. The I-195 Redevelopment District Commission has the following powers, pursuant to this Ordinance:</w:t>
      </w:r>
    </w:p>
    <w:p>
      <w:pPr>
        <w:numPr>
          <w:ilvl w:val="0"/>
          <w:numId w:val="3029"/>
        </w:numPr>
      </w:pPr>
      <w:r>
        <w:t xml:space="preserve">A. To conduct development plan review where required by this Ordinance.</w:t>
      </w:r>
    </w:p>
    <w:p>
      <w:pPr>
        <w:numPr>
          <w:ilvl w:val="0"/>
          <w:numId w:val="3030"/>
        </w:numPr>
      </w:pPr>
      <w:r>
        <w:t xml:space="preserve">B. To make final decisions on applications for waivers and incentives in the D-1 District and ES Overlay District, as applicable.</w:t>
      </w:r>
    </w:p>
    <w:p>
      <w:pPr>
        <w:numPr>
          <w:ilvl w:val="0"/>
          <w:numId w:val="3031"/>
        </w:numPr>
      </w:pPr>
      <w:r>
        <w:t xml:space="preserve">C. To make final decisions on temporary use permit applications in the in the D-1 District and ES Overlay District, as applicable. When the I-195 Redevelopment District Commission dissolves, in accordance with Rhode Island General Laws §42-64.14-21, the Downtown Design Review Committee and its staff assume jurisdiction over the area of applicability.</w:t>
      </w:r>
    </w:p>
    <w:bookmarkEnd w:id="137"/>
    <w:bookmarkStart w:id="138" w:name="reserved-1"/>
    <w:p>
      <w:pPr>
        <w:pStyle w:val="Heading2"/>
      </w:pPr>
      <w:r>
        <w:t xml:space="preserve">§ 1706. RESERVED</w:t>
      </w:r>
    </w:p>
    <w:p>
      <w:pPr>
        <w:pStyle w:val="FirstParagraph"/>
      </w:pPr>
      <w:r>
        <w:t xml:space="preserve">1706 RESERVED</w:t>
      </w:r>
    </w:p>
    <w:bookmarkEnd w:id="138"/>
    <w:bookmarkStart w:id="139" w:name="historic-district-commission"/>
    <w:p>
      <w:pPr>
        <w:pStyle w:val="Heading2"/>
      </w:pPr>
      <w:r>
        <w:t xml:space="preserve">§ 1707. HISTORIC DISTRICT COMMISSION</w:t>
      </w:r>
    </w:p>
    <w:p>
      <w:pPr>
        <w:pStyle w:val="FirstParagraph"/>
      </w:pPr>
      <w:r>
        <w:t xml:space="preserve">1707 HISTORIC DISTRICT COMMISSION The organization and procedures of the Historic District Commission are delineated in Section 1718 below.</w:t>
      </w:r>
    </w:p>
    <w:p>
      <w:pPr>
        <w:pStyle w:val="BodyText"/>
      </w:pPr>
      <w:r>
        <w:t xml:space="preserve">The Historic District Commission has the following powers, pursuant to this Ordinance:</w:t>
      </w:r>
    </w:p>
    <w:p>
      <w:pPr>
        <w:numPr>
          <w:ilvl w:val="0"/>
          <w:numId w:val="3032"/>
        </w:numPr>
      </w:pPr>
      <w:r>
        <w:t xml:space="preserve">A. To make final decisions on certificate of appropriateness applications.</w:t>
      </w:r>
    </w:p>
    <w:p>
      <w:pPr>
        <w:numPr>
          <w:ilvl w:val="0"/>
          <w:numId w:val="3033"/>
        </w:numPr>
      </w:pPr>
      <w:r>
        <w:t xml:space="preserve">B. To provide advice to other agencies regarding historic resources.</w:t>
      </w:r>
    </w:p>
    <w:bookmarkEnd w:id="139"/>
    <w:bookmarkStart w:id="140" w:name="administrative-officers"/>
    <w:p>
      <w:pPr>
        <w:pStyle w:val="Heading2"/>
      </w:pPr>
      <w:r>
        <w:t xml:space="preserve">§ 1708. ADMINISTRATIVE OFFICERS</w:t>
      </w:r>
    </w:p>
    <w:p>
      <w:pPr>
        <w:pStyle w:val="FirstParagraph"/>
      </w:pPr>
      <w:r>
        <w:t xml:space="preserve">1708 ADMINISTRATIVE OFFICERS The administrative officers the following powers, pursuant to this Ordinance:</w:t>
      </w:r>
    </w:p>
    <w:p>
      <w:pPr>
        <w:numPr>
          <w:ilvl w:val="0"/>
          <w:numId w:val="3034"/>
        </w:numPr>
      </w:pPr>
      <w:r>
        <w:t xml:space="preserve">A. To make final decisions on development plan review applications where required by this Ordinance.</w:t>
      </w:r>
    </w:p>
    <w:bookmarkEnd w:id="140"/>
    <w:bookmarkStart w:id="141" w:name="X473193f13d29248b617194e00e4bbe57c61c413"/>
    <w:p>
      <w:pPr>
        <w:pStyle w:val="Heading2"/>
      </w:pPr>
      <w:r>
        <w:t xml:space="preserve">§ 1709. DIRECTOR OF THE DEPARTMENT OF INSPECTION AND STANDARDS</w:t>
      </w:r>
    </w:p>
    <w:p>
      <w:pPr>
        <w:pStyle w:val="FirstParagraph"/>
      </w:pPr>
      <w:r>
        <w:t xml:space="preserve">1709 DIRECTOR OF THE DEPARTMENT OF INSPECTION AND STANDARDS The Director of the Department of Inspection and Standards, or his/her designee, is the zoning enforcement officer and has the following powers, pursuant to this Ordinance:</w:t>
      </w:r>
    </w:p>
    <w:p>
      <w:pPr>
        <w:numPr>
          <w:ilvl w:val="0"/>
          <w:numId w:val="3035"/>
        </w:numPr>
      </w:pPr>
      <w:r>
        <w:t xml:space="preserve">A. To make final decisions on administrative modification applications.</w:t>
      </w:r>
    </w:p>
    <w:p>
      <w:pPr>
        <w:numPr>
          <w:ilvl w:val="0"/>
          <w:numId w:val="3036"/>
        </w:numPr>
      </w:pPr>
      <w:r>
        <w:t xml:space="preserve">B. To make final decisions on certain temporary use permit applications.</w:t>
      </w:r>
    </w:p>
    <w:p>
      <w:pPr>
        <w:numPr>
          <w:ilvl w:val="0"/>
          <w:numId w:val="3037"/>
        </w:numPr>
      </w:pPr>
      <w:r>
        <w:t xml:space="preserve">C. To make final decisions on zoning interpretation applications.</w:t>
      </w:r>
    </w:p>
    <w:p>
      <w:pPr>
        <w:numPr>
          <w:ilvl w:val="0"/>
          <w:numId w:val="3038"/>
        </w:numPr>
      </w:pPr>
      <w:r>
        <w:t xml:space="preserve">D. To conduct inspections of structures or the use of land to determine whether there is compliance with this Ordinance and, in case of any violation, order corrective action.</w:t>
      </w:r>
    </w:p>
    <w:bookmarkEnd w:id="141"/>
    <w:bookmarkStart w:id="142" w:name="X70d46b43bb9c2966e08e5f6cc30cd225a8702db"/>
    <w:p>
      <w:pPr>
        <w:pStyle w:val="Heading2"/>
      </w:pPr>
      <w:r>
        <w:t xml:space="preserve">§ 1710. DIRECTOR OF THE DEPARTMENT OF PUBLIC WORKS</w:t>
      </w:r>
    </w:p>
    <w:p>
      <w:pPr>
        <w:pStyle w:val="FirstParagraph"/>
      </w:pPr>
      <w:r>
        <w:t xml:space="preserve">1710 DIRECTOR OF THE DEPARTMENT OF PUBLIC WORKS The Director of the Department of Public Works, or his/her designee, has the following powers, pursuant to this Ordinance:</w:t>
      </w:r>
    </w:p>
    <w:p>
      <w:pPr>
        <w:numPr>
          <w:ilvl w:val="0"/>
          <w:numId w:val="3039"/>
        </w:numPr>
      </w:pPr>
      <w:r>
        <w:t xml:space="preserve">A. To make final decisions on right-of-way encroachment permit applications.</w:t>
      </w:r>
    </w:p>
    <w:p>
      <w:pPr>
        <w:numPr>
          <w:ilvl w:val="0"/>
          <w:numId w:val="3040"/>
        </w:numPr>
      </w:pPr>
      <w:r>
        <w:t xml:space="preserve">B. To make final decisions on curb cut applications.</w:t>
      </w:r>
    </w:p>
    <w:bookmarkEnd w:id="142"/>
    <w:bookmarkStart w:id="143" w:name="city-forester"/>
    <w:p>
      <w:pPr>
        <w:pStyle w:val="Heading2"/>
      </w:pPr>
      <w:r>
        <w:t xml:space="preserve">§ 1711. CITY FORESTER</w:t>
      </w:r>
    </w:p>
    <w:p>
      <w:pPr>
        <w:pStyle w:val="FirstParagraph"/>
      </w:pPr>
      <w:r>
        <w:t xml:space="preserve">1711 CITY FORESTER The City Forester, or his/her designee, has the following powers, pursuant to this Ordinance:</w:t>
      </w:r>
    </w:p>
    <w:p>
      <w:pPr>
        <w:numPr>
          <w:ilvl w:val="0"/>
          <w:numId w:val="3041"/>
        </w:numPr>
      </w:pPr>
      <w:r>
        <w:t xml:space="preserve">A. To make final decisions on the removal of a significant tree</w:t>
      </w:r>
    </w:p>
    <w:p>
      <w:pPr>
        <w:numPr>
          <w:ilvl w:val="0"/>
          <w:numId w:val="3042"/>
        </w:numPr>
      </w:pPr>
      <w:r>
        <w:t xml:space="preserve">B. To make final decisions on additional credit for canopy coverage to be granted for the retention of healthy trees.</w:t>
      </w:r>
    </w:p>
    <w:p>
      <w:pPr>
        <w:numPr>
          <w:ilvl w:val="0"/>
          <w:numId w:val="3043"/>
        </w:numPr>
      </w:pPr>
      <w:r>
        <w:t xml:space="preserve">C. To approve a modification to required site landscaping.</w:t>
      </w:r>
    </w:p>
    <w:bookmarkEnd w:id="143"/>
    <w:bookmarkStart w:id="144" w:name="city-clerk"/>
    <w:p>
      <w:pPr>
        <w:pStyle w:val="Heading2"/>
      </w:pPr>
      <w:r>
        <w:t xml:space="preserve">§ 1712. CITY CLERK</w:t>
      </w:r>
    </w:p>
    <w:p>
      <w:pPr>
        <w:pStyle w:val="FirstParagraph"/>
      </w:pPr>
      <w:r>
        <w:t xml:space="preserve">1712 CITY CLERK The City Clerk, or his/her designee, has the following powers, pursuant to this Ordinance:</w:t>
      </w:r>
    </w:p>
    <w:p>
      <w:pPr>
        <w:numPr>
          <w:ilvl w:val="0"/>
          <w:numId w:val="3044"/>
        </w:numPr>
      </w:pPr>
      <w:r>
        <w:t xml:space="preserve">A. To accept and process zoning map and text amendment petitions or proposals.</w:t>
      </w:r>
    </w:p>
    <w:p>
      <w:pPr>
        <w:numPr>
          <w:ilvl w:val="0"/>
          <w:numId w:val="3045"/>
        </w:numPr>
      </w:pPr>
      <w:r>
        <w:t xml:space="preserve">B. To be the custodian of the Zoning Ordinance and Zoning Map.</w:t>
      </w:r>
    </w:p>
    <w:bookmarkEnd w:id="144"/>
    <w:bookmarkStart w:id="145" w:name="Xf782d5d0c992719592134bb829724722c36619d"/>
    <w:p>
      <w:pPr>
        <w:pStyle w:val="Heading2"/>
      </w:pPr>
      <w:r>
        <w:t xml:space="preserve">§ 1713. DIRECTOR OF THE DEPARTMENT OF PLANNING AND DEVELOPMENT</w:t>
      </w:r>
    </w:p>
    <w:p>
      <w:pPr>
        <w:pStyle w:val="FirstParagraph"/>
      </w:pPr>
      <w:r>
        <w:t xml:space="preserve">1713 DIRECTOR OF THE DEPARTMENT OF PLANNING AND DEVELOPMENT The Director of the Department of Planning and Development, or his/her designee, has the following powers, pursuant to this Ordinance:</w:t>
      </w:r>
    </w:p>
    <w:p>
      <w:pPr>
        <w:numPr>
          <w:ilvl w:val="0"/>
          <w:numId w:val="3046"/>
        </w:numPr>
      </w:pPr>
      <w:r>
        <w:t xml:space="preserve">A. To maintain and update the text and map of this Zoning Ordinance, and to make the Ordinance available to the general public.</w:t>
      </w:r>
    </w:p>
    <w:bookmarkEnd w:id="145"/>
    <w:bookmarkStart w:id="146" w:name="Xb3758cbab331398221c7ec26ca5391b11f6f68a"/>
    <w:p>
      <w:pPr>
        <w:pStyle w:val="Heading2"/>
      </w:pPr>
      <w:r>
        <w:t xml:space="preserve">§ 1714. ZONING BOARD OF REVIEW ORGANIZATION AND PROCEDURES</w:t>
      </w:r>
    </w:p>
    <w:p>
      <w:pPr>
        <w:pStyle w:val="FirstParagraph"/>
      </w:pPr>
      <w:r>
        <w:t xml:space="preserve">1714 ZONING BOARD OF REVIEW ORGANIZATION AND PROCEDURES</w:t>
      </w:r>
    </w:p>
    <w:p>
      <w:pPr>
        <w:numPr>
          <w:ilvl w:val="0"/>
          <w:numId w:val="3047"/>
        </w:numPr>
      </w:pPr>
      <w:r>
        <w:t xml:space="preserve">A. Organization</w:t>
      </w:r>
    </w:p>
    <w:p>
      <w:pPr>
        <w:numPr>
          <w:ilvl w:val="0"/>
          <w:numId w:val="1000"/>
        </w:numPr>
      </w:pPr>
      <w:r>
        <w:t xml:space="preserve">1. Membership and Appointment The Zoning Board of Review shall consist of five regular members and two alternate members to be designated as the first and second alternate members. The Zoning Board of Review, as constituted at the time of the effective date of this Ordinance, and the terms of office of the members thereof will be continued. Zoning Board of Review members and the alternate members are appointed by the Mayor, subject to the approval of the City Council.</w:t>
      </w:r>
    </w:p>
    <w:p>
      <w:pPr>
        <w:numPr>
          <w:ilvl w:val="0"/>
          <w:numId w:val="3048"/>
        </w:numPr>
      </w:pPr>
      <w:r>
        <w:t xml:space="preserve">2. Term All regular members and the alternate members of the Zoning Board of Review are appointed for a five year term. No member or alternate member of the Board may continue in office after his/her term expires without being reappointed.</w:t>
      </w:r>
    </w:p>
    <w:p>
      <w:pPr>
        <w:numPr>
          <w:ilvl w:val="0"/>
          <w:numId w:val="3049"/>
        </w:numPr>
      </w:pPr>
      <w:r>
        <w:t xml:space="preserve">3. Alternate Members The alternate members of the Zoning Board of Review sit as active members. The first alternate will vote if a member of the Zoning Board of Review is unable to serve at a hearing and the second will also vote if two members of the Zoning Board of Review are unable to serve at a hearing. In the absence of the first alternate member, the second alternate member will serve in the position of the first alternate.</w:t>
      </w:r>
    </w:p>
    <w:p>
      <w:pPr>
        <w:numPr>
          <w:ilvl w:val="0"/>
          <w:numId w:val="3050"/>
        </w:numPr>
      </w:pPr>
      <w:r>
        <w:t xml:space="preserve">4. Vacancy If during a term of office, a Zoning Board of Review member or alternate member dies, resigns, is convicted of a felony or crime of moral turpitude, or a violation of official duties, or is absent from five consecutive regular meetings of the Zoning Board of Review without the consent of the Mayor, the office is declared vacant by the Mayor and the vacancy will be filled for the remainder of the unexpired term in the same manner as the original appointment.</w:t>
      </w:r>
    </w:p>
    <w:p>
      <w:pPr>
        <w:numPr>
          <w:ilvl w:val="0"/>
          <w:numId w:val="3051"/>
        </w:numPr>
      </w:pPr>
      <w:r>
        <w:t xml:space="preserve">5. Officers The Mayor, with the approval of the City Council, will designate a member of the Zoning Board of Review to be its Chair and a member to be its Vice Chair. The Vice Chair will serve as acting Chair in the Chair's absence.</w:t>
      </w:r>
    </w:p>
    <w:p>
      <w:pPr>
        <w:pStyle w:val="Compact"/>
        <w:numPr>
          <w:ilvl w:val="0"/>
          <w:numId w:val="3052"/>
        </w:numPr>
      </w:pPr>
    </w:p>
    <w:p>
      <w:pPr>
        <w:numPr>
          <w:ilvl w:val="1"/>
          <w:numId w:val="3053"/>
        </w:numPr>
      </w:pPr>
      <w:r>
        <w:t xml:space="preserve">B. Procedures</w:t>
      </w:r>
    </w:p>
    <w:p>
      <w:pPr>
        <w:numPr>
          <w:ilvl w:val="1"/>
          <w:numId w:val="1000"/>
        </w:numPr>
      </w:pPr>
      <w:r>
        <w:t xml:space="preserve">1. Meetings and Hearings Meetings of the Zoning Board of Review are held at the call of the Chair and at such other times as the Zoning Board of Review may determine. The Chair may administer oaths and compel the attendance of witnesses. Applications for appeals, variances, and for special use permits, as authorized in this Ordinance, may be addressed to the Board. Prior to decision on such petitions and appeals, the Board shall hold a public hearing on any application for appeal, variance or special use permit in an expeditious manner, after receipt, in proper form, of an application, and give public notice in accordance with Section 1801.</w:t>
      </w:r>
    </w:p>
    <w:p>
      <w:pPr>
        <w:numPr>
          <w:ilvl w:val="0"/>
          <w:numId w:val="3054"/>
        </w:numPr>
      </w:pPr>
      <w:r>
        <w:t xml:space="preserve">2. Required Vote No member or alternate member may vote on any matter before the Zoning Board of Review unless they have attended all hearings concerning that matter. The concurring vote of three members of the Zoning Board of Review is necessary to reverse or modify any order, requirement, decision, or determination of the Director or other duly authorized administrative officer, to decide an appeal from the Historic District Commission or other duly authorized body, or to decide in favor of the applicant on the matter of a special use permit or a variance or any other matter upon which the Zoning Board of Review is authorized to pass. A minimum of four and a maximum of five active members of the Zoning Board of Review, which may include the alternate member(s), shall conduct a hearing and vote on each petition or appeal.</w:t>
      </w:r>
    </w:p>
    <w:p>
      <w:pPr>
        <w:numPr>
          <w:ilvl w:val="0"/>
          <w:numId w:val="3055"/>
        </w:numPr>
      </w:pPr>
      <w:r>
        <w:t xml:space="preserve">3. Decision The decision of the Zoning Board of Review on every application or appeal shall be in written form and include the reasons for the decision, findings of fact, and any special conditions attached thereto. The decision shall be filed in the office of the Zoning Board of Review and of the Director within 45 days of the vote, and shall be open to public inspection. Notice of such decision shall be mailed to each party in interest, including the applicant. Any decision evidencing the granting of a variance or special use permit shall also be recorded in the Land Evidence Records of the City.</w:t>
      </w:r>
    </w:p>
    <w:p>
      <w:pPr>
        <w:numPr>
          <w:ilvl w:val="0"/>
          <w:numId w:val="3056"/>
        </w:numPr>
      </w:pPr>
      <w:r>
        <w:t xml:space="preserve">4. Record The Zoning Board of Review shall cause to be made a stenographic record of all its proceedings, including the vote of each member participating.</w:t>
      </w:r>
    </w:p>
    <w:bookmarkEnd w:id="146"/>
    <w:bookmarkStart w:id="147" w:name="Xa37e44532d98bb072f2dc1c66068132c294452a"/>
    <w:p>
      <w:pPr>
        <w:pStyle w:val="Heading2"/>
      </w:pPr>
      <w:r>
        <w:t xml:space="preserve">§ 1715. DOWNTOWN DESIGN REVIEW COMMITTEE ORGANIZATION AND PROCEDURES</w:t>
      </w:r>
    </w:p>
    <w:p>
      <w:pPr>
        <w:pStyle w:val="FirstParagraph"/>
      </w:pPr>
      <w:r>
        <w:t xml:space="preserve">1715 DOWNTOWN DESIGN REVIEW COMMITTEE ORGANIZATION AND PROCEDURES</w:t>
      </w:r>
    </w:p>
    <w:p>
      <w:pPr>
        <w:numPr>
          <w:ilvl w:val="0"/>
          <w:numId w:val="3057"/>
        </w:numPr>
      </w:pPr>
      <w:r>
        <w:t xml:space="preserve">A. Organization The Downtown Design Review Committee is established as a technical review committee to conduct development plan review in the D-1 District and ES Overlay District.</w:t>
      </w:r>
    </w:p>
    <w:p>
      <w:pPr>
        <w:numPr>
          <w:ilvl w:val="0"/>
          <w:numId w:val="3058"/>
        </w:numPr>
      </w:pPr>
      <w:r>
        <w:t xml:space="preserve">1. Membership and Appointment Membership of the Downtown Design Review Committee should consist of people who have demonstrated interest and commitment to the vision and historic character of Downtown and to its economic development. The Downtown Design Review Committee consists of five members. Four members are appointed by the Mayor as follows: 1) one registered Rhode Island architect; 2) two property owners in the D-1 District; and 3) one community planner, developer, real estate agent, or builder. For each property owner representative, the Mayor may accept recommendations from any organization with an interest in Downtown development. The chair of the Historic District Commission or a member of the Historic District Commission appointed by the chair is the fifth member of the Downtown Design Review Committee.</w:t>
      </w:r>
    </w:p>
    <w:p>
      <w:pPr>
        <w:numPr>
          <w:ilvl w:val="0"/>
          <w:numId w:val="3059"/>
        </w:numPr>
      </w:pPr>
      <w:r>
        <w:t xml:space="preserve">2. Term Members are appointed for three year terms.</w:t>
      </w:r>
    </w:p>
    <w:p>
      <w:pPr>
        <w:numPr>
          <w:ilvl w:val="0"/>
          <w:numId w:val="3060"/>
        </w:numPr>
      </w:pPr>
      <w:r>
        <w:t xml:space="preserve">3. Alternate Members The Mayor will appoint the two alternate members as follows: 1) one registered Rhode Island architect or landscape architect; and 2) one property owner in the D-1 District. Each is appointed for a three year term, and will sit and may actively participate in hearings. The first alternate will vote if one member is unable to serve and the second alternate will vote if two members of the committee are unable to serve.</w:t>
      </w:r>
    </w:p>
    <w:p>
      <w:pPr>
        <w:numPr>
          <w:ilvl w:val="0"/>
          <w:numId w:val="3061"/>
        </w:numPr>
      </w:pPr>
      <w:r>
        <w:t xml:space="preserve">4. Expired Terms and Vacancy Downtown Design Review Committee members whose terms have expired will continue to serve until they resign in writing or are replaced. In the event of a vacancy, the vacancy shall be filled in accordance with the original appointments to fill the unexpired term(s). Vacancies shall be filled within 90 days.</w:t>
      </w:r>
    </w:p>
    <w:p>
      <w:pPr>
        <w:numPr>
          <w:ilvl w:val="0"/>
          <w:numId w:val="3062"/>
        </w:numPr>
      </w:pPr>
      <w:r>
        <w:t xml:space="preserve">5. Officers The Mayor will appoint a chair. The Downtown Design Review Committee shall elect from its members a vice chair. The Department of Planning and Development shall assign staff to support and work with the Downtown Design Review Committee.</w:t>
      </w:r>
    </w:p>
    <w:p>
      <w:pPr>
        <w:pStyle w:val="Compact"/>
        <w:numPr>
          <w:ilvl w:val="0"/>
          <w:numId w:val="3063"/>
        </w:numPr>
      </w:pPr>
    </w:p>
    <w:p>
      <w:pPr>
        <w:numPr>
          <w:ilvl w:val="1"/>
          <w:numId w:val="3064"/>
        </w:numPr>
      </w:pPr>
      <w:r>
        <w:t xml:space="preserve">B. Procedures</w:t>
      </w:r>
    </w:p>
    <w:p>
      <w:pPr>
        <w:numPr>
          <w:ilvl w:val="1"/>
          <w:numId w:val="1000"/>
        </w:numPr>
      </w:pPr>
      <w:r>
        <w:t xml:space="preserve">1. All procedures of the Downtown Design Review Committee are set forth in the development review regulations adopted by the City Plan Commission pursuant to Rhode Island General Laws §45-23.</w:t>
      </w:r>
    </w:p>
    <w:bookmarkEnd w:id="147"/>
    <w:bookmarkStart w:id="148" w:name="Xd2b704e8ea3c2612215b8b043fb2aeb6af6af6a"/>
    <w:p>
      <w:pPr>
        <w:pStyle w:val="Heading2"/>
      </w:pPr>
      <w:r>
        <w:t xml:space="preserve">§ 1716. I-195 REDEVELOPMENT DISTRICT COMMISSION ORGANIZATION AND PROCEDURES</w:t>
      </w:r>
    </w:p>
    <w:p>
      <w:pPr>
        <w:pStyle w:val="FirstParagraph"/>
      </w:pPr>
      <w:r>
        <w:t xml:space="preserve">1716 I-195 REDEVELOPMENT DISTRICT COMMISSION ORGANIZATION AND PROCEDURES The I-195 Redevelopment District Commission is established in accordance with Rhode Island General Laws 42-64.14-2. For any property located in the D-1 zone or ES Overlay District that is also located in the I-195 Redevelopment District, the I-195 Redevelopment District Commission shall serve as the Downtown Design Review Committee.</w:t>
      </w:r>
    </w:p>
    <w:bookmarkEnd w:id="148"/>
    <w:bookmarkStart w:id="149" w:name="reserved-2"/>
    <w:p>
      <w:pPr>
        <w:pStyle w:val="Heading2"/>
      </w:pPr>
      <w:r>
        <w:t xml:space="preserve">§ 1717. RESERVED</w:t>
      </w:r>
    </w:p>
    <w:p>
      <w:pPr>
        <w:pStyle w:val="FirstParagraph"/>
      </w:pPr>
      <w:r>
        <w:t xml:space="preserve">1717 RESERVED</w:t>
      </w:r>
    </w:p>
    <w:bookmarkEnd w:id="149"/>
    <w:bookmarkStart w:id="150" w:name="X54c640b5f7ce7dfd833a3a262b0e06b142876d6"/>
    <w:p>
      <w:pPr>
        <w:pStyle w:val="Heading2"/>
      </w:pPr>
      <w:r>
        <w:t xml:space="preserve">§ 1718. HISTORIC DISTRICT COMMISSION ORGANIZATION AND PROCEDURES</w:t>
      </w:r>
    </w:p>
    <w:p>
      <w:pPr>
        <w:pStyle w:val="FirstParagraph"/>
      </w:pPr>
      <w:r>
        <w:t xml:space="preserve">1718 HISTORIC DISTRICT COMMISSION ORGANIZATION AND PROCEDURES</w:t>
      </w:r>
    </w:p>
    <w:p>
      <w:pPr>
        <w:numPr>
          <w:ilvl w:val="0"/>
          <w:numId w:val="3065"/>
        </w:numPr>
      </w:pPr>
      <w:r>
        <w:t xml:space="preserve">A. Organization</w:t>
      </w:r>
    </w:p>
    <w:p>
      <w:pPr>
        <w:numPr>
          <w:ilvl w:val="0"/>
          <w:numId w:val="1000"/>
        </w:numPr>
      </w:pPr>
      <w:r>
        <w:t xml:space="preserve">1. Membership and Appointment The Historic District Commission is appointed in accordance with Rhode Island General Laws, Chapter 45-24.1-3, as amended. Members of the Historic District Commission shall have a demonstrated interest in historic preservation. The appointments may be drawn from but not be limited to the following professions and disciplines: American history, architectural history, landscape design, architecture, archaeology, preservation, law, real estate, planning, or historic building contracting. Duly organized and existing preservation societies may present to the Mayor lists of qualified citizens to be considered for appointment.</w:t>
      </w:r>
    </w:p>
    <w:p>
      <w:pPr>
        <w:numPr>
          <w:ilvl w:val="0"/>
          <w:numId w:val="3066"/>
        </w:numPr>
      </w:pPr>
      <w:r>
        <w:t xml:space="preserve">2. Term Each member appointed by the Mayor serves for a three year term in accordance with State law and is eligible for reappointment. Upon expiration, appointed members shall continue to serve until replaced.</w:t>
      </w:r>
    </w:p>
    <w:p>
      <w:pPr>
        <w:numPr>
          <w:ilvl w:val="0"/>
          <w:numId w:val="3067"/>
        </w:numPr>
      </w:pPr>
      <w:r>
        <w:t xml:space="preserve">3. Auxiliary Members The Mayor has the right to name an auxiliary member to the Historic District Commission in addition to the regular members, and such auxiliary member will sit as an active member, upon the request of the Chair when and if a regular member of the Historic District Commission is unable to serve at any meeting of the Historic District Commission.</w:t>
      </w:r>
    </w:p>
    <w:p>
      <w:pPr>
        <w:numPr>
          <w:ilvl w:val="0"/>
          <w:numId w:val="3068"/>
        </w:numPr>
      </w:pPr>
      <w:r>
        <w:t xml:space="preserve">4. Expired Terms and Vacancy In the event of a vacancy on the Historic District Commission, the appointing authority may make an interim appointment to fill the unexpired term(s) of such member(s). Vacancies shall be filled within 90 days.</w:t>
      </w:r>
    </w:p>
    <w:p>
      <w:pPr>
        <w:numPr>
          <w:ilvl w:val="0"/>
          <w:numId w:val="3069"/>
        </w:numPr>
      </w:pPr>
      <w:r>
        <w:t xml:space="preserve">5. Officers The Historic District Commission includes a Chair, appointed by the Mayor; and a Vice-Chair elected from its membership. In its rules and regulations, the Commission may provide for other officers if necessary. The Department of Planning and Development shall assign staff to work with the Historic District Commission.</w:t>
      </w:r>
    </w:p>
    <w:p>
      <w:pPr>
        <w:pStyle w:val="Compact"/>
        <w:numPr>
          <w:ilvl w:val="0"/>
          <w:numId w:val="3070"/>
        </w:numPr>
      </w:pPr>
    </w:p>
    <w:p>
      <w:pPr>
        <w:numPr>
          <w:ilvl w:val="1"/>
          <w:numId w:val="3071"/>
        </w:numPr>
      </w:pPr>
      <w:r>
        <w:t xml:space="preserve">B. Procedures</w:t>
      </w:r>
    </w:p>
    <w:p>
      <w:pPr>
        <w:numPr>
          <w:ilvl w:val="1"/>
          <w:numId w:val="1000"/>
        </w:numPr>
      </w:pPr>
      <w:r>
        <w:t xml:space="preserve">1. Adoption of Rules The Historic District Commission shall adopt and publish all rules and regulations necessary to carry out its functions under the provisions of this Ordinance.</w:t>
      </w:r>
    </w:p>
    <w:p>
      <w:pPr>
        <w:numPr>
          <w:ilvl w:val="0"/>
          <w:numId w:val="3072"/>
        </w:numPr>
      </w:pPr>
      <w:r>
        <w:t xml:space="preserve">2. Adoption of Standards and Guidelines The Historic District Commission shall adopt and publish standards and guidelines as necessary to inform historic district residents, property owners, and the general public of those criteria by which the Historic District Commission will determine whether to issue a Certificate of Appropriateness. The Historic District Commission may adopt different standards and guidelines for each district. The standards and guidelines shall insure that consideration is given to: the historic and architectural significance of the district, the structure, and its appurtenances; the way in which the structure and its appurtenances contribute to the historical and architectural significance of the district; and the appropriateness of the general design, arrangement, texture, materials, and siting proposed in the plans for both new and existing structures and appurtenances. The Historic District Commission may incorporate by reference in its rules and regulations such other standards as are appropriate, including, but not limited to the Standards and Guidelines for Rehabilitation adopted by the United States Secretary of the Interior. The Historic District Commission may from time to time amend its standards as reasonably necessary, and it shall publish all such amendments.</w:t>
      </w:r>
    </w:p>
    <w:p>
      <w:pPr>
        <w:numPr>
          <w:ilvl w:val="0"/>
          <w:numId w:val="3073"/>
        </w:numPr>
      </w:pPr>
      <w:r>
        <w:t xml:space="preserve">3. Conduct of Business The Chair will preside over all Historic District Commission meetings and has the right to vote. The Vice-Chair will, in the case of absence or disability of the Chair, perform the duties of the Chair. All meetings of the Historic District Commission shall be open to the public and any person, organization, or duly authorized representative is entitled to appear and be heard on any matter before the Historic District Commission reaches its decision.</w:t>
      </w:r>
    </w:p>
    <w:p>
      <w:pPr>
        <w:numPr>
          <w:ilvl w:val="0"/>
          <w:numId w:val="3074"/>
        </w:numPr>
      </w:pPr>
      <w:r>
        <w:t xml:space="preserve">4. Quorum A quorum is necessary for business to be conducted before the Historic District Commission. A majority of the number of duly appointed regular members constitutes a quorum.</w:t>
      </w:r>
    </w:p>
    <w:p>
      <w:pPr>
        <w:numPr>
          <w:ilvl w:val="0"/>
          <w:numId w:val="3075"/>
        </w:numPr>
      </w:pPr>
      <w:r>
        <w:t xml:space="preserve">5. Record The Historic District Commission shall keep a record of all resolutions, proceedings, findings, decisions, and actions and such record shall be open to the public.</w:t>
      </w:r>
    </w:p>
    <w:p>
      <w:pPr>
        <w:numPr>
          <w:ilvl w:val="0"/>
          <w:numId w:val="3076"/>
        </w:numPr>
      </w:pPr>
      <w:r>
        <w:t xml:space="preserve">6. Duties In addition to the powers described in Section 1707 above, the Historic District Commission has the following powers and duties: a. The Historic District Commission is authorized to regulate the alteration, repair, construction, demolition, removal of any exterior structure and/or appurtenance within any Historic District identified on the Providence Overlay Zoning District Maps of the Official Zoning Map adopted in accordance with this Ordinance.</w:t>
      </w:r>
    </w:p>
    <w:p>
      <w:pPr>
        <w:pStyle w:val="Compact"/>
        <w:numPr>
          <w:ilvl w:val="0"/>
          <w:numId w:val="3077"/>
        </w:numPr>
      </w:pPr>
    </w:p>
    <w:p>
      <w:pPr>
        <w:numPr>
          <w:ilvl w:val="1"/>
          <w:numId w:val="3078"/>
        </w:numPr>
      </w:pPr>
      <w:r>
        <w:t xml:space="preserve">b. In order to assist the City on matters of historic preservation, the Historic District Commission may provide its expertise and advice to agencies of city government as appropriate.</w:t>
      </w:r>
    </w:p>
    <w:bookmarkEnd w:id="150"/>
    <w:bookmarkStart w:id="151" w:name="X748241cb48b2f90b6b3658c99d40f384f740582"/>
    <w:p>
      <w:pPr>
        <w:pStyle w:val="Heading2"/>
      </w:pPr>
      <w:r>
        <w:t xml:space="preserve">§ 1719. ADMINISTRATIVE OFFICERS APPOINTMENT AND PROCEDURES</w:t>
      </w:r>
    </w:p>
    <w:p>
      <w:pPr>
        <w:pStyle w:val="FirstParagraph"/>
      </w:pPr>
      <w:r>
        <w:t xml:space="preserve">1719 ADMINISTRATIVE OFFICERS APPOINTMENT AND PROCEDURES The administrative officers are appointed by the City Plan Commission pursuant to the development review regulations adopted by the City Plan Commission pursuant to Rhode Island General Laws §45-23. All procedures of the administrative officers are set forth in the development review regulations.</w:t>
      </w:r>
    </w:p>
    <w:bookmarkEnd w:id="151"/>
    <w:bookmarkStart w:id="152" w:name="application-and-notice-procedures"/>
    <w:p>
      <w:pPr>
        <w:pStyle w:val="Heading1"/>
      </w:pPr>
      <w:r>
        <w:t xml:space="preserve">§ 18. APPLICATION AND NOTICE PROCEDURES</w:t>
      </w:r>
    </w:p>
    <w:p>
      <w:pPr>
        <w:pStyle w:val="FirstParagraph"/>
      </w:pPr>
      <w:r>
        <w:t xml:space="preserve">ARTICLE 18. APPLICATION AND NOTICE PROCEDURES 1800 APPLICATION 1801 NOTICE 1802 POST-SUBMITTAL EXAMINATION 1803 CONTINUANCES</w:t>
      </w:r>
    </w:p>
    <w:bookmarkEnd w:id="152"/>
    <w:bookmarkStart w:id="153" w:name="application"/>
    <w:p>
      <w:pPr>
        <w:pStyle w:val="Heading2"/>
      </w:pPr>
      <w:r>
        <w:t xml:space="preserve">§ 1800. APPLICATION</w:t>
      </w:r>
    </w:p>
    <w:p>
      <w:pPr>
        <w:pStyle w:val="FirstParagraph"/>
      </w:pPr>
      <w:r>
        <w:t xml:space="preserve">1800 APPLICATION</w:t>
      </w:r>
    </w:p>
    <w:p>
      <w:pPr>
        <w:numPr>
          <w:ilvl w:val="0"/>
          <w:numId w:val="3079"/>
        </w:numPr>
      </w:pPr>
      <w:r>
        <w:t xml:space="preserve">A. Filing of Applications</w:t>
      </w:r>
    </w:p>
    <w:p>
      <w:pPr>
        <w:numPr>
          <w:ilvl w:val="0"/>
          <w:numId w:val="1000"/>
        </w:numPr>
      </w:pPr>
      <w:r>
        <w:t xml:space="preserve">1. All applications shall be filed with the appropriate official as described in Table 18-1: Filing of Applications:</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pPr>
          </w:p>
        </w:tc>
        <w:tc>
          <w:tcPr/>
          <w:p>
            <w:pPr>
              <w:pStyle w:val="Compact"/>
              <w:jc w:val="left"/>
            </w:pPr>
            <w:r>
              <w:t xml:space="preserve">TABLE 18-1: FILING OF</w:t>
            </w:r>
          </w:p>
        </w:tc>
        <w:tc>
          <w:tcPr/>
          <w:p>
            <w:pPr>
              <w:pStyle w:val="Compact"/>
              <w:jc w:val="left"/>
            </w:pPr>
            <w:r>
              <w:t xml:space="preserve">APPLICATIONS</w:t>
            </w:r>
          </w:p>
        </w:tc>
        <w:tc>
          <w:tcPr/>
          <w:p>
            <w:pPr>
              <w:pStyle w:val="Compact"/>
            </w:pPr>
          </w:p>
        </w:tc>
      </w:tr>
      <w:tr>
        <w:tc>
          <w:tcPr/>
          <w:p>
            <w:pPr>
              <w:pStyle w:val="Compact"/>
            </w:pPr>
          </w:p>
        </w:tc>
        <w:tc>
          <w:tcPr/>
          <w:p>
            <w:pPr>
              <w:pStyle w:val="Compact"/>
              <w:jc w:val="left"/>
            </w:pPr>
            <w:r>
              <w:t xml:space="preserve">APPLICATION</w:t>
            </w:r>
          </w:p>
        </w:tc>
        <w:tc>
          <w:tcPr/>
          <w:p>
            <w:pPr>
              <w:pStyle w:val="Compact"/>
              <w:jc w:val="left"/>
            </w:pPr>
            <w:r>
              <w:t xml:space="preserve">OFFICIAL OR HIS/HER DESIGNEE</w:t>
            </w:r>
          </w:p>
        </w:tc>
        <w:tc>
          <w:tcPr/>
          <w:p>
            <w:pPr>
              <w:pStyle w:val="Compact"/>
            </w:pPr>
          </w:p>
        </w:tc>
      </w:tr>
      <w:tr>
        <w:tc>
          <w:tcPr/>
          <w:p>
            <w:pPr>
              <w:pStyle w:val="Compact"/>
            </w:pPr>
          </w:p>
        </w:tc>
        <w:tc>
          <w:tcPr/>
          <w:p>
            <w:pPr>
              <w:pStyle w:val="Compact"/>
              <w:jc w:val="left"/>
            </w:pPr>
            <w:r>
              <w:t xml:space="preserve">Zoning Text and Map Amendment</w:t>
            </w:r>
          </w:p>
        </w:tc>
        <w:tc>
          <w:tcPr/>
          <w:p>
            <w:pPr>
              <w:pStyle w:val="Compact"/>
              <w:jc w:val="left"/>
            </w:pPr>
            <w:r>
              <w:t xml:space="preserve">City Clerk</w:t>
            </w:r>
          </w:p>
        </w:tc>
        <w:tc>
          <w:tcPr/>
          <w:p>
            <w:pPr>
              <w:pStyle w:val="Compact"/>
            </w:pPr>
          </w:p>
        </w:tc>
      </w:tr>
      <w:tr>
        <w:tc>
          <w:tcPr/>
          <w:p>
            <w:pPr>
              <w:pStyle w:val="Compact"/>
            </w:pPr>
          </w:p>
        </w:tc>
        <w:tc>
          <w:tcPr/>
          <w:p>
            <w:pPr>
              <w:pStyle w:val="Compact"/>
              <w:jc w:val="left"/>
            </w:pPr>
            <w:r>
              <w:t xml:space="preserve">Special Use</w:t>
            </w:r>
          </w:p>
        </w:tc>
        <w:tc>
          <w:tcPr/>
          <w:p>
            <w:pPr>
              <w:pStyle w:val="Compact"/>
              <w:jc w:val="left"/>
            </w:pPr>
            <w:r>
              <w:t xml:space="preserve">Zoning Board of Review Secretary</w:t>
            </w:r>
          </w:p>
        </w:tc>
        <w:tc>
          <w:tcPr/>
          <w:p>
            <w:pPr>
              <w:pStyle w:val="Compact"/>
            </w:pPr>
          </w:p>
        </w:tc>
      </w:tr>
      <w:tr>
        <w:tc>
          <w:tcPr/>
          <w:p>
            <w:pPr>
              <w:pStyle w:val="Compact"/>
            </w:pPr>
          </w:p>
        </w:tc>
        <w:tc>
          <w:tcPr/>
          <w:p>
            <w:pPr>
              <w:pStyle w:val="Compact"/>
              <w:jc w:val="left"/>
            </w:pPr>
            <w:r>
              <w:t xml:space="preserve">Variance</w:t>
            </w:r>
          </w:p>
        </w:tc>
        <w:tc>
          <w:tcPr/>
          <w:p>
            <w:pPr>
              <w:pStyle w:val="Compact"/>
              <w:jc w:val="left"/>
            </w:pPr>
            <w:r>
              <w:t xml:space="preserve">Zoning Board of Review Secretary</w:t>
            </w:r>
          </w:p>
        </w:tc>
        <w:tc>
          <w:tcPr/>
          <w:p>
            <w:pPr>
              <w:pStyle w:val="Compact"/>
            </w:pPr>
          </w:p>
        </w:tc>
      </w:tr>
      <w:tr>
        <w:tc>
          <w:tcPr/>
          <w:p>
            <w:pPr>
              <w:pStyle w:val="Compact"/>
            </w:pPr>
          </w:p>
        </w:tc>
        <w:tc>
          <w:tcPr/>
          <w:p>
            <w:pPr>
              <w:pStyle w:val="Compact"/>
              <w:jc w:val="left"/>
            </w:pPr>
            <w:r>
              <w:t xml:space="preserve">Administrative Modification</w:t>
            </w:r>
          </w:p>
        </w:tc>
        <w:tc>
          <w:tcPr/>
          <w:p>
            <w:pPr>
              <w:pStyle w:val="Compact"/>
              <w:jc w:val="left"/>
            </w:pPr>
            <w:r>
              <w:t xml:space="preserve">Director of Department of Inspection and Standards</w:t>
            </w:r>
          </w:p>
        </w:tc>
        <w:tc>
          <w:tcPr/>
          <w:p>
            <w:pPr>
              <w:pStyle w:val="Compact"/>
            </w:pPr>
          </w:p>
        </w:tc>
      </w:tr>
      <w:tr>
        <w:tc>
          <w:tcPr/>
          <w:p>
            <w:pPr>
              <w:pStyle w:val="Compact"/>
            </w:pPr>
          </w:p>
        </w:tc>
        <w:tc>
          <w:tcPr/>
          <w:p>
            <w:pPr>
              <w:pStyle w:val="Compact"/>
              <w:jc w:val="left"/>
            </w:pPr>
            <w:r>
              <w:t xml:space="preserve">Land Development Project</w:t>
            </w:r>
          </w:p>
        </w:tc>
        <w:tc>
          <w:tcPr/>
          <w:p>
            <w:pPr>
              <w:pStyle w:val="Compact"/>
              <w:jc w:val="left"/>
            </w:pPr>
            <w:r>
              <w:t xml:space="preserve">Director of Department of Planning and Development</w:t>
            </w:r>
          </w:p>
        </w:tc>
        <w:tc>
          <w:tcPr/>
          <w:p>
            <w:pPr>
              <w:pStyle w:val="Compact"/>
            </w:pPr>
          </w:p>
        </w:tc>
      </w:tr>
      <w:tr>
        <w:tc>
          <w:tcPr/>
          <w:p>
            <w:pPr>
              <w:pStyle w:val="Compact"/>
            </w:pPr>
          </w:p>
        </w:tc>
        <w:tc>
          <w:tcPr/>
          <w:p>
            <w:pPr>
              <w:pStyle w:val="Compact"/>
              <w:jc w:val="left"/>
            </w:pPr>
            <w:r>
              <w:t xml:space="preserve">Administrative Development Plan Review</w:t>
            </w:r>
          </w:p>
        </w:tc>
        <w:tc>
          <w:tcPr/>
          <w:p>
            <w:pPr>
              <w:pStyle w:val="Compact"/>
              <w:jc w:val="left"/>
            </w:pPr>
            <w:r>
              <w:t xml:space="preserve">Director of Department of Planning and Development</w:t>
            </w:r>
          </w:p>
        </w:tc>
        <w:tc>
          <w:tcPr/>
          <w:p>
            <w:pPr>
              <w:pStyle w:val="Compact"/>
            </w:pPr>
          </w:p>
        </w:tc>
      </w:tr>
      <w:tr>
        <w:tc>
          <w:tcPr/>
          <w:p>
            <w:pPr>
              <w:pStyle w:val="Compact"/>
            </w:pPr>
          </w:p>
        </w:tc>
        <w:tc>
          <w:tcPr/>
          <w:p>
            <w:pPr>
              <w:pStyle w:val="Compact"/>
              <w:jc w:val="left"/>
            </w:pPr>
            <w:r>
              <w:t xml:space="preserve">City Plan Commission Formal Development Plan Review</w:t>
            </w:r>
          </w:p>
        </w:tc>
        <w:tc>
          <w:tcPr/>
          <w:p>
            <w:pPr>
              <w:pStyle w:val="Compact"/>
              <w:jc w:val="left"/>
            </w:pPr>
            <w:r>
              <w:t xml:space="preserve">Director of Department of Planning and Development</w:t>
            </w:r>
          </w:p>
        </w:tc>
        <w:tc>
          <w:tcPr/>
          <w:p>
            <w:pPr>
              <w:pStyle w:val="Compact"/>
            </w:pPr>
          </w:p>
        </w:tc>
      </w:tr>
      <w:tr>
        <w:tc>
          <w:tcPr/>
          <w:p>
            <w:pPr>
              <w:pStyle w:val="Compact"/>
            </w:pPr>
          </w:p>
        </w:tc>
        <w:tc>
          <w:tcPr/>
          <w:p>
            <w:pPr>
              <w:pStyle w:val="Compact"/>
              <w:jc w:val="left"/>
            </w:pPr>
            <w:r>
              <w:t xml:space="preserve">D-1 District Formal and Administrative Development Plan Review</w:t>
            </w:r>
          </w:p>
        </w:tc>
        <w:tc>
          <w:tcPr/>
          <w:p>
            <w:pPr>
              <w:pStyle w:val="Compact"/>
              <w:jc w:val="left"/>
            </w:pPr>
            <w:r>
              <w:t xml:space="preserve">Director of Department of Planning and Development</w:t>
            </w:r>
          </w:p>
        </w:tc>
        <w:tc>
          <w:tcPr/>
          <w:p>
            <w:pPr>
              <w:pStyle w:val="Compact"/>
            </w:pPr>
          </w:p>
        </w:tc>
      </w:tr>
      <w:tr>
        <w:tc>
          <w:tcPr/>
          <w:p>
            <w:pPr>
              <w:pStyle w:val="Compact"/>
            </w:pPr>
          </w:p>
        </w:tc>
        <w:tc>
          <w:tcPr/>
          <w:p>
            <w:pPr>
              <w:pStyle w:val="Compact"/>
              <w:jc w:val="left"/>
            </w:pPr>
            <w:r>
              <w:t xml:space="preserve">I-195 Redevelopment Commission Development Plan Review</w:t>
            </w:r>
          </w:p>
        </w:tc>
        <w:tc>
          <w:tcPr/>
          <w:p>
            <w:pPr>
              <w:pStyle w:val="Compact"/>
              <w:jc w:val="left"/>
            </w:pPr>
            <w:r>
              <w:t xml:space="preserve">I-195 Redevelopment District Commission Staff</w:t>
            </w:r>
          </w:p>
        </w:tc>
        <w:tc>
          <w:tcPr/>
          <w:p>
            <w:pPr>
              <w:pStyle w:val="Compact"/>
            </w:pPr>
          </w:p>
        </w:tc>
      </w:tr>
      <w:tr>
        <w:tc>
          <w:tcPr/>
          <w:p>
            <w:pPr>
              <w:pStyle w:val="Compact"/>
            </w:pPr>
          </w:p>
        </w:tc>
        <w:tc>
          <w:tcPr/>
          <w:p>
            <w:pPr>
              <w:pStyle w:val="Compact"/>
              <w:jc w:val="left"/>
            </w:pPr>
            <w:r>
              <w:t xml:space="preserve">Institutional Master Plan Formal Development Plan Review</w:t>
            </w:r>
          </w:p>
        </w:tc>
        <w:tc>
          <w:tcPr/>
          <w:p>
            <w:pPr>
              <w:pStyle w:val="Compact"/>
              <w:jc w:val="left"/>
            </w:pPr>
            <w:r>
              <w:t xml:space="preserve">Director of Department of Planning and Development</w:t>
            </w:r>
          </w:p>
        </w:tc>
        <w:tc>
          <w:tcPr/>
          <w:p>
            <w:pPr>
              <w:pStyle w:val="Compact"/>
            </w:pPr>
          </w:p>
        </w:tc>
      </w:tr>
      <w:tr>
        <w:tc>
          <w:tcPr/>
          <w:p>
            <w:pPr>
              <w:pStyle w:val="Compact"/>
            </w:pPr>
          </w:p>
        </w:tc>
        <w:tc>
          <w:tcPr/>
          <w:p>
            <w:pPr>
              <w:pStyle w:val="Compact"/>
              <w:jc w:val="left"/>
            </w:pPr>
            <w:r>
              <w:t xml:space="preserve">Certificate of Appropriateness</w:t>
            </w:r>
          </w:p>
        </w:tc>
        <w:tc>
          <w:tcPr/>
          <w:p>
            <w:pPr>
              <w:pStyle w:val="Compact"/>
              <w:jc w:val="left"/>
            </w:pPr>
            <w:r>
              <w:t xml:space="preserve">Director of Department of Planning and Development</w:t>
            </w:r>
          </w:p>
        </w:tc>
        <w:tc>
          <w:tcPr/>
          <w:p>
            <w:pPr>
              <w:pStyle w:val="Compact"/>
            </w:pPr>
          </w:p>
        </w:tc>
      </w:tr>
      <w:tr>
        <w:tc>
          <w:tcPr/>
          <w:p>
            <w:pPr>
              <w:pStyle w:val="Compact"/>
            </w:pPr>
          </w:p>
        </w:tc>
        <w:tc>
          <w:tcPr/>
          <w:p>
            <w:pPr>
              <w:pStyle w:val="Compact"/>
              <w:jc w:val="left"/>
            </w:pPr>
            <w:r>
              <w:t xml:space="preserve">Temporary Use Permit</w:t>
            </w:r>
          </w:p>
        </w:tc>
        <w:tc>
          <w:tcPr/>
          <w:p>
            <w:pPr>
              <w:pStyle w:val="Compact"/>
              <w:jc w:val="left"/>
            </w:pPr>
            <w:r>
              <w:t xml:space="preserve">Director of Department of Inspection and Standards</w:t>
            </w:r>
          </w:p>
        </w:tc>
        <w:tc>
          <w:tcPr/>
          <w:p>
            <w:pPr>
              <w:pStyle w:val="Compact"/>
            </w:pPr>
          </w:p>
        </w:tc>
      </w:tr>
      <w:tr>
        <w:tc>
          <w:tcPr/>
          <w:p>
            <w:pPr>
              <w:pStyle w:val="Compact"/>
            </w:pPr>
          </w:p>
        </w:tc>
        <w:tc>
          <w:tcPr/>
          <w:p>
            <w:pPr>
              <w:pStyle w:val="Compact"/>
              <w:jc w:val="left"/>
            </w:pPr>
            <w:r>
              <w:t xml:space="preserve">Zoning Interpretation</w:t>
            </w:r>
          </w:p>
        </w:tc>
        <w:tc>
          <w:tcPr/>
          <w:p>
            <w:pPr>
              <w:pStyle w:val="Compact"/>
              <w:jc w:val="left"/>
            </w:pPr>
            <w:r>
              <w:t xml:space="preserve">Director of Department of Inspection and Standards</w:t>
            </w:r>
          </w:p>
        </w:tc>
        <w:tc>
          <w:tcPr/>
          <w:p>
            <w:pPr>
              <w:pStyle w:val="Compact"/>
            </w:pPr>
          </w:p>
        </w:tc>
      </w:tr>
      <w:tr>
        <w:tc>
          <w:tcPr/>
          <w:p>
            <w:pPr>
              <w:pStyle w:val="Compact"/>
            </w:pPr>
          </w:p>
        </w:tc>
        <w:tc>
          <w:tcPr/>
          <w:p>
            <w:pPr>
              <w:pStyle w:val="Compact"/>
              <w:jc w:val="left"/>
            </w:pPr>
            <w:r>
              <w:t xml:space="preserve">Public Right-of-Way Encroachment Permit</w:t>
            </w:r>
          </w:p>
        </w:tc>
        <w:tc>
          <w:tcPr/>
          <w:p>
            <w:pPr>
              <w:pStyle w:val="Compact"/>
              <w:jc w:val="left"/>
            </w:pPr>
            <w:r>
              <w:t xml:space="preserve">Director of Department of Public Works</w:t>
            </w:r>
          </w:p>
        </w:tc>
        <w:tc>
          <w:tcPr/>
          <w:p>
            <w:pPr>
              <w:pStyle w:val="Compact"/>
            </w:pPr>
          </w:p>
        </w:tc>
      </w:tr>
      <w:tr>
        <w:tc>
          <w:tcPr/>
          <w:p>
            <w:pPr>
              <w:pStyle w:val="Compact"/>
            </w:pPr>
          </w:p>
        </w:tc>
        <w:tc>
          <w:tcPr/>
          <w:p>
            <w:pPr>
              <w:pStyle w:val="Compact"/>
              <w:jc w:val="left"/>
            </w:pPr>
            <w:r>
              <w:t xml:space="preserve">Building Permit</w:t>
            </w:r>
          </w:p>
        </w:tc>
        <w:tc>
          <w:tcPr/>
          <w:p>
            <w:pPr>
              <w:pStyle w:val="Compact"/>
              <w:jc w:val="left"/>
            </w:pPr>
            <w:r>
              <w:t xml:space="preserve">Director of Department of Inspection and Standards</w:t>
            </w:r>
          </w:p>
        </w:tc>
        <w:tc>
          <w:tcPr/>
          <w:p>
            <w:pPr>
              <w:pStyle w:val="Compact"/>
            </w:pPr>
          </w:p>
        </w:tc>
      </w:tr>
      <w:tr>
        <w:tc>
          <w:tcPr/>
          <w:p>
            <w:pPr>
              <w:pStyle w:val="Compact"/>
            </w:pPr>
          </w:p>
        </w:tc>
        <w:tc>
          <w:tcPr/>
          <w:p>
            <w:pPr>
              <w:pStyle w:val="Compact"/>
              <w:jc w:val="left"/>
            </w:pPr>
            <w:r>
              <w:t xml:space="preserve">Zoning Certificate and Zoning Certificate for Compliance</w:t>
            </w:r>
          </w:p>
        </w:tc>
        <w:tc>
          <w:tcPr/>
          <w:p>
            <w:pPr>
              <w:pStyle w:val="Compact"/>
              <w:jc w:val="left"/>
            </w:pPr>
            <w:r>
              <w:t xml:space="preserve">Director of Department of Inspection and Standards</w:t>
            </w:r>
          </w:p>
        </w:tc>
        <w:tc>
          <w:tcPr/>
          <w:p>
            <w:pPr>
              <w:pStyle w:val="Compact"/>
            </w:pPr>
          </w:p>
        </w:tc>
      </w:tr>
      <w:tr>
        <w:tc>
          <w:tcPr/>
          <w:p>
            <w:pPr>
              <w:pStyle w:val="Compact"/>
            </w:pPr>
          </w:p>
        </w:tc>
        <w:tc>
          <w:tcPr/>
          <w:p>
            <w:pPr>
              <w:pStyle w:val="Compact"/>
              <w:jc w:val="left"/>
            </w:pPr>
            <w:r>
              <w:t xml:space="preserve">Certificate Of Occupancy</w:t>
            </w:r>
          </w:p>
        </w:tc>
        <w:tc>
          <w:tcPr/>
          <w:p>
            <w:pPr>
              <w:pStyle w:val="Compact"/>
              <w:jc w:val="left"/>
            </w:pPr>
            <w:r>
              <w:t xml:space="preserve">Director of Department of Inspection and Standards</w:t>
            </w:r>
          </w:p>
        </w:tc>
        <w:tc>
          <w:tcPr/>
          <w:p>
            <w:pPr>
              <w:pStyle w:val="Compact"/>
            </w:pPr>
          </w:p>
        </w:tc>
      </w:tr>
      <w:tr>
        <w:tc>
          <w:tcPr/>
          <w:p>
            <w:pPr>
              <w:pStyle w:val="Compact"/>
            </w:pPr>
          </w:p>
        </w:tc>
        <w:tc>
          <w:tcPr/>
          <w:p>
            <w:pPr>
              <w:pStyle w:val="Compact"/>
              <w:jc w:val="left"/>
            </w:pPr>
            <w:r>
              <w:t xml:space="preserve">Zoning Appeals</w:t>
            </w:r>
          </w:p>
        </w:tc>
        <w:tc>
          <w:tcPr/>
          <w:p>
            <w:pPr>
              <w:pStyle w:val="Compact"/>
              <w:jc w:val="left"/>
            </w:pPr>
            <w:r>
              <w:t xml:space="preserve">Zoning Board of Review Secretary</w:t>
            </w:r>
          </w:p>
        </w:tc>
        <w:tc>
          <w:tcPr/>
          <w:p>
            <w:pPr>
              <w:pStyle w:val="Compact"/>
            </w:pPr>
          </w:p>
        </w:tc>
      </w:tr>
      <w:tr>
        <w:tc>
          <w:tcPr/>
          <w:p>
            <w:pPr>
              <w:pStyle w:val="Compact"/>
            </w:pPr>
          </w:p>
        </w:tc>
        <w:tc>
          <w:tcPr/>
          <w:p>
            <w:pPr>
              <w:pStyle w:val="Compact"/>
              <w:jc w:val="left"/>
            </w:pPr>
            <w:r>
              <w:t xml:space="preserve">All applications shall be on forms provided 2. required by the instructions on those forms. plans, and data specified in Article 19. B. Pre-Application Conference Prior to formal submittal of an application, the the Department of Planning and Development the pre-application conference, which does not informal advice and assistance to the applicant. respect to any official action that may be taken for all land development projects and development for changes to the zoning ordinance or maps. C. Completeness The application shall include all information, 1. requirements. Any required plans shall be understanding of the proposal, unless representations and notes shall be consistentset shall be submitted to the official(s) who The official designated for receipt of an 2. application for completeness. If the application the application, the official will reject the</w:t>
            </w:r>
          </w:p>
        </w:tc>
        <w:tc>
          <w:tcPr/>
          <w:p>
            <w:pPr>
              <w:pStyle w:val="Compact"/>
              <w:jc w:val="left"/>
            </w:pPr>
            <w:r>
              <w:t xml:space="preserve">by the City and in the format and number of copies The application shall include any additional information, applicant may request a pre-application conference and/or applicable review body or official. The purpose require a formal application or fees, is to provide Any opinions or advice provided are not binding on the application. This process is strongly encouraged plan review. This process is required for all petitions plans, and data as specified in the application at a scale sufficient to permit a clear and precise specifically required to be at a set scale. All graphic with each other. Any deviation from an approved reviewed the plan for further review. application, or his/her designee, will examine does not include all the submittal requirements application and provide the applicant with the reasons</w:t>
            </w:r>
          </w:p>
        </w:tc>
        <w:tc>
          <w:tcPr/>
          <w:p>
            <w:pPr>
              <w:pStyle w:val="Compact"/>
              <w:jc w:val="left"/>
            </w:pPr>
            <w:r>
              <w:t xml:space="preserve">as with of with plan the for for</w:t>
            </w:r>
          </w:p>
        </w:tc>
      </w:tr>
    </w:tbl>
    <w:p>
      <w:pPr>
        <w:numPr>
          <w:ilvl w:val="0"/>
          <w:numId w:val="3080"/>
        </w:numPr>
      </w:pPr>
      <w:r>
        <w:t xml:space="preserve">Zoning Text and Map Amendment City Clerk Special Use Zoning Board of Review Secretary Variance Zoning Board of Review Secretary Administrative Modification Director of Department of Inspection and Standards Land Development Project Director of Department of Planning and Development Administrative Development Plan Review Director of Department of Planning and Development City Plan Commission Formal Development Plan Review Director of Department of Planning and Development D-1 District Formal and Administrative Development Plan Review Director of Department of Planning and Development I-195 Redevelopment Commission Development Plan Review I-195 Redevelopment District Commission Staff Institutional Master Plan Formal Development Plan Review Director of Department of Planning and Development Certificate of Appropriateness Director of Department of Planning and Development Temporary Use Permit Director of Department of Inspection and Standards Zoning Interpretation Director of Department of Inspection and Standards Public Right-of-Way Encroachment Permit Director of Department of Public Works Building Permit Director of Department of Inspection and Standards Zoning Certificate and Zoning Certificate for Compliance Director of Department of Inspection and Standards Certificate Of Occupancy Director of Department of Inspection and Standards Zoning Appeals Zoning Board of Review Secretary 2. All applications shall be on forms provided by the City and in the format and number of copies as required by the instructions on those forms. The application shall include any additional information, plans, and data specified in Article 19.</w:t>
      </w:r>
    </w:p>
    <w:p>
      <w:pPr>
        <w:numPr>
          <w:ilvl w:val="0"/>
          <w:numId w:val="3081"/>
        </w:numPr>
      </w:pPr>
      <w:r>
        <w:t xml:space="preserve">B. Pre-Application Conference Prior to formal submittal of an application, the applicant may request a pre-application conference with the Department of Planning and Development and/or applicable review body or official. The purpose of the pre-application conference, which does not require a formal application or fees, is to provide informal advice and assistance to the applicant. Any opinions or advice provided are not binding with respect to any official action that may be taken on the application. This process is strongly encouraged for all land development projects and development plan review. This process is required for all petitions for changes to the zoning ordinance or maps.</w:t>
      </w:r>
    </w:p>
    <w:p>
      <w:pPr>
        <w:numPr>
          <w:ilvl w:val="0"/>
          <w:numId w:val="3082"/>
        </w:numPr>
      </w:pPr>
      <w:r>
        <w:t xml:space="preserve">C. Completeness</w:t>
      </w:r>
    </w:p>
    <w:p>
      <w:pPr>
        <w:numPr>
          <w:ilvl w:val="0"/>
          <w:numId w:val="1000"/>
        </w:numPr>
      </w:pPr>
      <w:r>
        <w:t xml:space="preserve">1. The application shall include all information, plans, and data as specified in the application requirements. Any required plans shall be at a scale sufficient to permit a clear and precise understanding of the proposal, unless specifically required to be at a set scale. All graphic representations and notes shall be consistent with each other. Any deviation from an approved plan set shall be submitted to the official(s) who reviewed the plan for further review.</w:t>
      </w:r>
    </w:p>
    <w:p>
      <w:pPr>
        <w:numPr>
          <w:ilvl w:val="0"/>
          <w:numId w:val="3083"/>
        </w:numPr>
      </w:pPr>
      <w:r>
        <w:t xml:space="preserve">2. The official designated for receipt of an application, or his/her designee, will examine the application for completeness. If the application does not include all the submittal requirements for the application, the official will reject the application and provide the applicant with the reasons for the rejection. The official will take no further steps to process the application until all deficiencies are remedied.</w:t>
      </w:r>
    </w:p>
    <w:p>
      <w:pPr>
        <w:numPr>
          <w:ilvl w:val="0"/>
          <w:numId w:val="3084"/>
        </w:numPr>
      </w:pPr>
      <w:r>
        <w:t xml:space="preserve">3. After an application is determined to be complete, any substantive change made by the applicant to the application requires resubmittal of the entire application and a new completeness review. However, such revisions do not require an additional payment of fees.</w:t>
      </w:r>
    </w:p>
    <w:p>
      <w:pPr>
        <w:numPr>
          <w:ilvl w:val="0"/>
          <w:numId w:val="3085"/>
        </w:numPr>
      </w:pPr>
      <w:r>
        <w:t xml:space="preserve">4. Once the application is under consideration by the appropriate body, additional information or revisions requested during review do not constitute a substantive change to the application.</w:t>
      </w:r>
    </w:p>
    <w:p>
      <w:pPr>
        <w:pStyle w:val="Compact"/>
        <w:numPr>
          <w:ilvl w:val="0"/>
          <w:numId w:val="3086"/>
        </w:numPr>
      </w:pPr>
    </w:p>
    <w:p>
      <w:pPr>
        <w:numPr>
          <w:ilvl w:val="1"/>
          <w:numId w:val="3087"/>
        </w:numPr>
      </w:pPr>
      <w:r>
        <w:t xml:space="preserve">D. Concurrent Applications When a development or proposal requires review by a board or commission and requires a variance or special use permit, the applications will be reviewed first by the board or commission, which shall make a preliminary determination and a recommendation to the Zoning Board of Review, then by the Zoning Board of Review, and then again by the board or commission.</w:t>
      </w:r>
    </w:p>
    <w:p>
      <w:pPr>
        <w:pStyle w:val="Compact"/>
        <w:numPr>
          <w:ilvl w:val="0"/>
          <w:numId w:val="3088"/>
        </w:numPr>
      </w:pPr>
    </w:p>
    <w:p>
      <w:pPr>
        <w:numPr>
          <w:ilvl w:val="1"/>
          <w:numId w:val="3089"/>
        </w:numPr>
      </w:pPr>
      <w:r>
        <w:t xml:space="preserve">E. Withdrawal of Application An applicant has the right to withdraw an application at any time prior to the final decision on the application by a board or official, including the ability to withdraw the application if it has been tabled by the review body. The applicant shall submit a request for withdrawl in writing. There will be no refund of fees.</w:t>
      </w:r>
    </w:p>
    <w:p>
      <w:pPr>
        <w:pStyle w:val="Compact"/>
        <w:numPr>
          <w:ilvl w:val="0"/>
          <w:numId w:val="3090"/>
        </w:numPr>
      </w:pPr>
    </w:p>
    <w:p>
      <w:pPr>
        <w:numPr>
          <w:ilvl w:val="1"/>
          <w:numId w:val="3091"/>
        </w:numPr>
      </w:pPr>
      <w:r>
        <w:t xml:space="preserve">F. Consideration of Denied Petitions or Applications</w:t>
      </w:r>
    </w:p>
    <w:p>
      <w:pPr>
        <w:numPr>
          <w:ilvl w:val="1"/>
          <w:numId w:val="1000"/>
        </w:numPr>
      </w:pPr>
      <w:r>
        <w:t xml:space="preserve">1. No petition for an amendment to the Zoning Ordinance or Zoning Map will be accepted by the City Clerk if a petition for the same amendment has been denied within the preceding 12 months, provided that such a petition or application may be accepted at any time with the consent of the Committee on Ordinances if it includes an affidavit which, in the opinion of said Committee on Ordinances, evidences facts that a substantial change of circumstances justify a hearing on the petition.</w:t>
      </w:r>
    </w:p>
    <w:p>
      <w:pPr>
        <w:numPr>
          <w:ilvl w:val="0"/>
          <w:numId w:val="3092"/>
        </w:numPr>
      </w:pPr>
      <w:r>
        <w:t xml:space="preserve">2. No application for a variance or special use permit will be accepted by the Secretary of the Zoning Board of Review if an application for the variance or special use permit has been denied within the preceding 12 months, provided that such a petition or application may be accepted at any time with the consent of the majority of the members of the Zoning Board of Review if it includes an affidavit which, in the opinion of the Zoning Board of Review, evidences facts that a substantial change of circumstances justify a new hearing on the application for a variance or special use permit. A change of ownership does not constitute a substantial change of circumstances.</w:t>
      </w:r>
    </w:p>
    <w:p>
      <w:pPr>
        <w:numPr>
          <w:ilvl w:val="0"/>
          <w:numId w:val="3093"/>
        </w:numPr>
      </w:pPr>
      <w:r>
        <w:t xml:space="preserve">3. An application for an administrative modification of five percent or less may not be granted administratively if within the preceding 12 months a substantially similar application for administrative modification for greater than five percent has been denied pursuant to Section 1903.C.4 and must proceed as a variance before the Zoning Board of Review.</w:t>
      </w:r>
    </w:p>
    <w:p>
      <w:pPr>
        <w:numPr>
          <w:ilvl w:val="0"/>
          <w:numId w:val="3094"/>
        </w:numPr>
      </w:pPr>
      <w:r>
        <w:t xml:space="preserve">4. An application for the same petition will not be heard by the Historic District Commission for the period of 12 months from the date the original petition was denied. The Historic District Commission has the right to waive this requirement for any petition if a majority of the Historic District Commission present at a meeting agree.</w:t>
      </w:r>
    </w:p>
    <w:p>
      <w:pPr>
        <w:pStyle w:val="Compact"/>
        <w:numPr>
          <w:ilvl w:val="0"/>
          <w:numId w:val="3095"/>
        </w:numPr>
      </w:pPr>
    </w:p>
    <w:p>
      <w:pPr>
        <w:numPr>
          <w:ilvl w:val="1"/>
          <w:numId w:val="3096"/>
        </w:numPr>
      </w:pPr>
      <w:r>
        <w:t xml:space="preserve">G. Fees Each application shall be accompanied by the required filing fee. The failure to pay such fee when due is grounds for refusing to process the application and renders the application incomplete. No part of the fee is returnable to the applicant. If an application is submitted by the City, then all fee requirements are waived. The filing fee is as established below:</w:t>
      </w:r>
    </w:p>
    <w:p>
      <w:pPr>
        <w:numPr>
          <w:ilvl w:val="0"/>
          <w:numId w:val="3097"/>
        </w:numPr>
      </w:pPr>
      <w:r>
        <w:t xml:space="preserve">1. A petition or proposed ordinance for an amendment to this Ordinance, including the Zoning Map, will not be accepted by the City Clerk unless accompanied by a filing fee which shall be deposited with the City Clerk, no part of which is returnable to the petitioner. The filing fee is a $150 processing fee plus an advertising fee, which is the actual cost of advertising, as determined by the City Clerk when the advertisement is prepared and delivered to the newspaper, plus a mailing fee, which is the actual cost of mailing the required notice to abutters, as determined by the City Clerk when the mailing is prepared.</w:t>
      </w:r>
    </w:p>
    <w:p>
      <w:pPr>
        <w:numPr>
          <w:ilvl w:val="0"/>
          <w:numId w:val="3098"/>
        </w:numPr>
      </w:pPr>
      <w:r>
        <w:t xml:space="preserve">2. The fee for a zoning certificate and for a zoning certificate for compliance is $25.00.</w:t>
      </w:r>
    </w:p>
    <w:p>
      <w:pPr>
        <w:numPr>
          <w:ilvl w:val="0"/>
          <w:numId w:val="3099"/>
        </w:numPr>
      </w:pPr>
      <w:r>
        <w:t xml:space="preserve">3. The fee for an application to the Zoning Board of Review for an appeal, variance, or special use permit is set by the City Council under a separate ordinance.</w:t>
      </w:r>
    </w:p>
    <w:p>
      <w:pPr>
        <w:numPr>
          <w:ilvl w:val="0"/>
          <w:numId w:val="3100"/>
        </w:numPr>
      </w:pPr>
      <w:r>
        <w:t xml:space="preserve">4. The fee for an application for a Certificate of Appropriateness from the Historic District Commission is as follows: i. New Construction and Demolition: $400</w:t>
      </w:r>
    </w:p>
    <w:p>
      <w:pPr>
        <w:pStyle w:val="Compact"/>
        <w:numPr>
          <w:ilvl w:val="0"/>
          <w:numId w:val="3101"/>
        </w:numPr>
      </w:pPr>
    </w:p>
    <w:p>
      <w:pPr>
        <w:numPr>
          <w:ilvl w:val="1"/>
          <w:numId w:val="3102"/>
        </w:numPr>
      </w:pPr>
      <w:r>
        <w:t xml:space="preserve">ii. Major Alterations: $100</w:t>
      </w:r>
    </w:p>
    <w:p>
      <w:pPr>
        <w:pStyle w:val="Compact"/>
        <w:numPr>
          <w:ilvl w:val="0"/>
          <w:numId w:val="3103"/>
        </w:numPr>
      </w:pPr>
    </w:p>
    <w:p>
      <w:pPr>
        <w:numPr>
          <w:ilvl w:val="1"/>
          <w:numId w:val="3104"/>
        </w:numPr>
      </w:pPr>
      <w:r>
        <w:t xml:space="preserve">iii. Minor Alterations: $50 5. The application fees for land development projects and development plan review are established by the development review regulations adopted by the City Plan Commission pursuant to the Rhode Island General Laws §45-23.</w:t>
      </w:r>
    </w:p>
    <w:p>
      <w:pPr>
        <w:numPr>
          <w:ilvl w:val="0"/>
          <w:numId w:val="3105"/>
        </w:numPr>
      </w:pPr>
      <w:r>
        <w:t xml:space="preserve">6. The fee for a temporary use permit is $50.</w:t>
      </w:r>
    </w:p>
    <w:bookmarkEnd w:id="153"/>
    <w:bookmarkStart w:id="154" w:name="notice"/>
    <w:p>
      <w:pPr>
        <w:pStyle w:val="Heading2"/>
      </w:pPr>
      <w:r>
        <w:t xml:space="preserve">§ 1801. NOTICE</w:t>
      </w:r>
    </w:p>
    <w:p>
      <w:pPr>
        <w:pStyle w:val="FirstParagraph"/>
      </w:pPr>
      <w:r>
        <w:t xml:space="preserve">1801 NOTICE</w:t>
      </w:r>
    </w:p>
    <w:p>
      <w:pPr>
        <w:numPr>
          <w:ilvl w:val="0"/>
          <w:numId w:val="3106"/>
        </w:numPr>
      </w:pPr>
      <w:r>
        <w:t xml:space="preserve">A. Rhode Island State Notice Registry Per State law, all public notices are required to be posted to the website of the Rhode Island Secretary of State. Any person or entity may register with the Secretary of State’s Office to receive notice of any public hearing or meeting posted to the website regarding a zoning application.</w:t>
      </w:r>
    </w:p>
    <w:p>
      <w:pPr>
        <w:numPr>
          <w:ilvl w:val="0"/>
          <w:numId w:val="3107"/>
        </w:numPr>
      </w:pPr>
      <w:r>
        <w:t xml:space="preserve">B. City Council Notice</w:t>
      </w:r>
    </w:p>
    <w:p>
      <w:pPr>
        <w:numPr>
          <w:ilvl w:val="0"/>
          <w:numId w:val="1000"/>
        </w:numPr>
      </w:pPr>
      <w:r>
        <w:t xml:space="preserve">1. No zoning ordinance shall be adopted, repealed, or amended until after a public hearing has been held upon the question before the City Council. The City Council shall give published notice of the public hearing for a change to this Ordinance by publication of notice in a newspaper of local circulation within the City at least once each week for three successive weeks prior to the date of the hearing, which may include the week in which the hearing is to be held, at which hearing opportunity shall be given to all persons interested to be heard upon the matter of the proposed ordinance. The same notice shall be posted in the city clerk’s office and one other municipal building in the City and the City must make the notice accessible on the municipal home page of its website at least 14 days prior to the hearing. The notice shall be mailed, where applicable, to the parties specified in Sections 1801.B.2, 3, 4, and 5, at least 14 days prior to the hearing. The notice shall: a. Specify the place of the hearing and the date and time of its commencement; b. Indicate that adoption, amendment, or repeal of a zoning ordinance is under consideration; c. Contain a statement of the proposed amendments to the ordinance that may be printed once in its entirety, or may summarize or describe the matter under consideration as long as the intent and effect of the proposed regulation is expressly written in that notice; d. Advise those interested where and when a copy of the matter under consideration may be obtained or examined and copied; and e. State that the proposals shown on the ordinance may be altered or amended prior to the close of the public hearing without further advertising, as a result of further study or because of the views expressed at the public hearing. Any alteration or amendment must be presented for comment in the course of the hearing.</w:t>
      </w:r>
    </w:p>
    <w:p>
      <w:pPr>
        <w:numPr>
          <w:ilvl w:val="0"/>
          <w:numId w:val="3108"/>
        </w:numPr>
      </w:pPr>
      <w:r>
        <w:t xml:space="preserve">2. Where a proposed general amendment to an existing ordinance includes changes to an existing zoning map, public notice shall be given as required by Section 1801.B.1.</w:t>
      </w:r>
    </w:p>
    <w:p>
      <w:pPr>
        <w:numPr>
          <w:ilvl w:val="0"/>
          <w:numId w:val="3109"/>
        </w:numPr>
      </w:pPr>
      <w:r>
        <w:t xml:space="preserve">3. Where a proposed amendment to an existing ordinance includes a specific change in a zoning district map but does not affect districts generally, public notice shall be given as required by Section 1801.B.1, with the additional requirements that: a. Notice shall include a map showing the existing and proposed boundaries, zoning district boundaries, and existing streets and roads and their names, and city and town boundaries where appropriate; and b. Written notice of the date, time, and place of the public hearing and the nature and purpose of the hearing shall be sent to all owners of real property whose property is located in or within not less than 200 feet of the perimeter of the area proposed for change, whether within the City or within an adjacent city of town. Notice shall also be sent to any individual or entity holding a recorded conservation or preservation restriction on the property that is the subject of the amendment. The notice shall be sent by first-class mail to the last known address of the owners, as shown on the current real estate tax assessment records of the city or town in which the property is located; provided, for any notice sent by first-class mail, the sender of the notice shall submit a notarized affidavit to attest to such mailing.</w:t>
      </w:r>
    </w:p>
    <w:p>
      <w:pPr>
        <w:numPr>
          <w:ilvl w:val="0"/>
          <w:numId w:val="3110"/>
        </w:numPr>
      </w:pPr>
      <w:r>
        <w:t xml:space="preserve">4. Notice of a public hearing shall be sent by first class mail to the city or town council of any city or town to which one or more of the following pertain: a. Which is located in or within not less than 200 feet of the boundary of the area proposed for change; or b. Where there is a public or quasi-public water source, or private water source that is used or is suitable for use as a public water source, within 2,000 feet of any real property that is the subject of a proposed zoning change, regardless of municipal boundaries.</w:t>
      </w:r>
    </w:p>
    <w:p>
      <w:pPr>
        <w:numPr>
          <w:ilvl w:val="0"/>
          <w:numId w:val="3111"/>
        </w:numPr>
      </w:pPr>
      <w:r>
        <w:t xml:space="preserve">5. Notice of a public hearing shall be sent to the governing body of any state or municipal water department or agency, special water district, or private water company that has riparian rights to a surface water resource and/or surface watershed that is used or is suitable for use as a public water source and that is within 2,000 feet of any real property which is the subject of a proposed zoning change; provided, that the governing body of any state or municipal water department or agency, special water district, or private water company has filed with the building inspector in the city or town a map survey, which shall be kept as a public record, showing areas of surface water resources and/or watersheds and parcels of land within 2,000 feet thereof.</w:t>
      </w:r>
    </w:p>
    <w:p>
      <w:pPr>
        <w:numPr>
          <w:ilvl w:val="0"/>
          <w:numId w:val="3112"/>
        </w:numPr>
      </w:pPr>
      <w:r>
        <w:t xml:space="preserve">6. The City shall establish and maintain a public notice registry allowing any person or entity to register for electronic notice of any changes to this ordinance. The City shall provide public notice annually of the existence of the electronic registry by publication of notice in a newspaper of local circulation within the City. In addition, the City is hereby encouraged to provide public notice of the existence of the public notice registry in all of its current and future communications with the public, including, but not limited to, governmental websites, electronic newsletters, public bulletins, press releases, and all other means the City may use to impart information to the local community. However, notice pursuant to a public notice registry as per this requirement, does not alone qualify a person or entity on the public notice registry as an aggrieved party, per Rhode Island General Laws §45-24-31(4).</w:t>
      </w:r>
    </w:p>
    <w:p>
      <w:pPr>
        <w:numPr>
          <w:ilvl w:val="0"/>
          <w:numId w:val="3113"/>
        </w:numPr>
      </w:pPr>
      <w:r>
        <w:t xml:space="preserve">7. No defect in the form of any notice under this section will render any ordinance or amendment invalid, unless the defect is found to be intentional or misleading.</w:t>
      </w:r>
    </w:p>
    <w:p>
      <w:pPr>
        <w:numPr>
          <w:ilvl w:val="0"/>
          <w:numId w:val="3114"/>
        </w:numPr>
      </w:pPr>
      <w:r>
        <w:t xml:space="preserve">8. The cost of newspaper notice and mailings shall be borne by the applicant.</w:t>
      </w:r>
    </w:p>
    <w:p>
      <w:pPr>
        <w:numPr>
          <w:ilvl w:val="0"/>
          <w:numId w:val="3115"/>
        </w:numPr>
      </w:pPr>
      <w:r>
        <w:t xml:space="preserve">9. Where a proposed text amendment to this ordinance would cause a conforming lot of record to become nonconforming by lot area or frontage, written notice shall be given to all owners of the real property as shown on the current real estate tax assessment records of the city or town. The notice shall be given at least two weeks prior to the hearing at which the text amendment is to be considered, with the content required by this section. Notice shall utilize a United States Postal Service certificate of mailing, and the certificate or an electronic copy thereof shall be retained to demonstrate proof of the mailing.</w:t>
      </w:r>
    </w:p>
    <w:p>
      <w:pPr>
        <w:pStyle w:val="Compact"/>
        <w:numPr>
          <w:ilvl w:val="0"/>
          <w:numId w:val="3116"/>
        </w:numPr>
      </w:pPr>
    </w:p>
    <w:p>
      <w:pPr>
        <w:numPr>
          <w:ilvl w:val="1"/>
          <w:numId w:val="3117"/>
        </w:numPr>
      </w:pPr>
      <w:r>
        <w:t xml:space="preserve">C. City Plan Commission, Downtown Design Review Committee, and Administrative Officer Notice When notice is required for a City Plan Commission, Downtown Design Review Committee, and administrative officer meeting hearing, or development review, such notice will be provided in accordance with the development review regulations adopted by the City Plan Commission pursuant to Rhode Island General Laws §45-23.</w:t>
      </w:r>
    </w:p>
    <w:p>
      <w:pPr>
        <w:pStyle w:val="Compact"/>
        <w:numPr>
          <w:ilvl w:val="0"/>
          <w:numId w:val="3118"/>
        </w:numPr>
      </w:pPr>
    </w:p>
    <w:p>
      <w:pPr>
        <w:numPr>
          <w:ilvl w:val="1"/>
          <w:numId w:val="3119"/>
        </w:numPr>
      </w:pPr>
      <w:r>
        <w:t xml:space="preserve">D. Zoning Board of Review and I-195 Redevelopment District Commission Public Hearing Notice 1. Mailed notice shall be sent by first class mail at least two weeks prior to the hearing to the applicant and to the following: a. All owners of real property as they appear in the current records of the City Assessor, whose property is located in or within not less than 200 feet of the perimeter of the lot(s) proposed for variance, special use permit, or development, whether within the City or within an adjacent city or town.</w:t>
      </w:r>
    </w:p>
    <w:p>
      <w:pPr>
        <w:pStyle w:val="Compact"/>
        <w:numPr>
          <w:ilvl w:val="0"/>
          <w:numId w:val="3120"/>
        </w:numPr>
      </w:pPr>
    </w:p>
    <w:p>
      <w:pPr>
        <w:pStyle w:val="Compact"/>
        <w:numPr>
          <w:ilvl w:val="1"/>
          <w:numId w:val="3121"/>
        </w:numPr>
      </w:pPr>
    </w:p>
    <w:p>
      <w:pPr>
        <w:numPr>
          <w:ilvl w:val="2"/>
          <w:numId w:val="3122"/>
        </w:numPr>
      </w:pPr>
      <w:r>
        <w:t xml:space="preserve">b. The City Council representative of the applicable ward, said notice to be delivered to the City Council representative by the City Sergeant.</w:t>
      </w:r>
    </w:p>
    <w:p>
      <w:pPr>
        <w:pStyle w:val="Compact"/>
        <w:numPr>
          <w:ilvl w:val="0"/>
          <w:numId w:val="3123"/>
        </w:numPr>
      </w:pPr>
    </w:p>
    <w:p>
      <w:pPr>
        <w:pStyle w:val="Compact"/>
        <w:numPr>
          <w:ilvl w:val="1"/>
          <w:numId w:val="3124"/>
        </w:numPr>
      </w:pPr>
    </w:p>
    <w:p>
      <w:pPr>
        <w:numPr>
          <w:ilvl w:val="2"/>
          <w:numId w:val="3125"/>
        </w:numPr>
      </w:pPr>
      <w:r>
        <w:t xml:space="preserve">c. The Office of the Superintendent of Schools.</w:t>
      </w:r>
    </w:p>
    <w:p>
      <w:pPr>
        <w:pStyle w:val="Compact"/>
        <w:numPr>
          <w:ilvl w:val="0"/>
          <w:numId w:val="3126"/>
        </w:numPr>
      </w:pPr>
    </w:p>
    <w:p>
      <w:pPr>
        <w:pStyle w:val="Compact"/>
        <w:numPr>
          <w:ilvl w:val="1"/>
          <w:numId w:val="3127"/>
        </w:numPr>
      </w:pPr>
    </w:p>
    <w:p>
      <w:pPr>
        <w:numPr>
          <w:ilvl w:val="2"/>
          <w:numId w:val="3128"/>
        </w:numPr>
      </w:pPr>
      <w:r>
        <w:t xml:space="preserve">d. The city or town council of any city or town which is located within 200 feet of the boundary of the area proposed for a variance, special use, or development.</w:t>
      </w:r>
    </w:p>
    <w:p>
      <w:pPr>
        <w:pStyle w:val="Compact"/>
        <w:numPr>
          <w:ilvl w:val="0"/>
          <w:numId w:val="3129"/>
        </w:numPr>
      </w:pPr>
    </w:p>
    <w:p>
      <w:pPr>
        <w:pStyle w:val="Compact"/>
        <w:numPr>
          <w:ilvl w:val="1"/>
          <w:numId w:val="3130"/>
        </w:numPr>
      </w:pPr>
    </w:p>
    <w:p>
      <w:pPr>
        <w:numPr>
          <w:ilvl w:val="2"/>
          <w:numId w:val="3131"/>
        </w:numPr>
      </w:pPr>
      <w:r>
        <w:t xml:space="preserve">e. Water authorities or where there is a public or quasi-public water source, or private water source that is used or is suitable for use as a public water source, within 2,000 feet of any real property that is the subject of a proposed variance, special use permit, or development, regardless of municipal boundaries.</w:t>
      </w:r>
    </w:p>
    <w:p>
      <w:pPr>
        <w:pStyle w:val="Compact"/>
        <w:numPr>
          <w:ilvl w:val="0"/>
          <w:numId w:val="3132"/>
        </w:numPr>
      </w:pPr>
    </w:p>
    <w:p>
      <w:pPr>
        <w:pStyle w:val="Compact"/>
        <w:numPr>
          <w:ilvl w:val="1"/>
          <w:numId w:val="3133"/>
        </w:numPr>
      </w:pPr>
    </w:p>
    <w:p>
      <w:pPr>
        <w:numPr>
          <w:ilvl w:val="2"/>
          <w:numId w:val="3134"/>
        </w:numPr>
      </w:pPr>
      <w:r>
        <w:t xml:space="preserve">f. Any neighborhood group that registers the name of the organization, its officers and mailing address with the public body’s staff. Neighborhood group registration shall be renewed every year by July 1st. Failure to renew the registration relieves the staff of the responsibility of mailing out the agenda.</w:t>
      </w:r>
    </w:p>
    <w:p>
      <w:pPr>
        <w:numPr>
          <w:ilvl w:val="0"/>
          <w:numId w:val="3135"/>
        </w:numPr>
      </w:pPr>
      <w:r>
        <w:t xml:space="preserve">2. Public notice of the hearing shall be published at least fourteen days prior to the date of the hearing in a newspaper of local circulation in the city.</w:t>
      </w:r>
    </w:p>
    <w:p>
      <w:pPr>
        <w:numPr>
          <w:ilvl w:val="0"/>
          <w:numId w:val="3136"/>
        </w:numPr>
      </w:pPr>
      <w:r>
        <w:t xml:space="preserve">3. Mailed and newspaper notice shall include: a. The location of the hearing and the date and time of its commencement.</w:t>
      </w:r>
    </w:p>
    <w:p>
      <w:pPr>
        <w:pStyle w:val="Compact"/>
        <w:numPr>
          <w:ilvl w:val="0"/>
          <w:numId w:val="3137"/>
        </w:numPr>
      </w:pPr>
    </w:p>
    <w:p>
      <w:pPr>
        <w:numPr>
          <w:ilvl w:val="1"/>
          <w:numId w:val="3138"/>
        </w:numPr>
      </w:pPr>
      <w:r>
        <w:t xml:space="preserve">b. The street address of the subject property.</w:t>
      </w:r>
    </w:p>
    <w:p>
      <w:pPr>
        <w:pStyle w:val="Compact"/>
        <w:numPr>
          <w:ilvl w:val="0"/>
          <w:numId w:val="3139"/>
        </w:numPr>
      </w:pPr>
    </w:p>
    <w:p>
      <w:pPr>
        <w:numPr>
          <w:ilvl w:val="1"/>
          <w:numId w:val="3140"/>
        </w:numPr>
      </w:pPr>
      <w:r>
        <w:t xml:space="preserve">c. A statement of the proposed variance, special use, or development under consideration.</w:t>
      </w:r>
    </w:p>
    <w:p>
      <w:pPr>
        <w:pStyle w:val="Compact"/>
        <w:numPr>
          <w:ilvl w:val="0"/>
          <w:numId w:val="3141"/>
        </w:numPr>
      </w:pPr>
    </w:p>
    <w:p>
      <w:pPr>
        <w:numPr>
          <w:ilvl w:val="1"/>
          <w:numId w:val="3142"/>
        </w:numPr>
      </w:pPr>
      <w:r>
        <w:t xml:space="preserve">d. Information for those interested where and when a copy of the matter under consideration may be obtained or examined and copied.</w:t>
      </w:r>
    </w:p>
    <w:p>
      <w:pPr>
        <w:pStyle w:val="Compact"/>
        <w:numPr>
          <w:ilvl w:val="0"/>
          <w:numId w:val="3143"/>
        </w:numPr>
      </w:pPr>
    </w:p>
    <w:p>
      <w:pPr>
        <w:numPr>
          <w:ilvl w:val="1"/>
          <w:numId w:val="3144"/>
        </w:numPr>
      </w:pPr>
      <w:r>
        <w:t xml:space="preserve">e. All mailed notice shall be translated in accordance with Section 2-15 of the City Code of Ordinances.</w:t>
      </w:r>
    </w:p>
    <w:p>
      <w:pPr>
        <w:numPr>
          <w:ilvl w:val="0"/>
          <w:numId w:val="3145"/>
        </w:numPr>
      </w:pPr>
      <w:r>
        <w:t xml:space="preserve">4. No defect in the form of any notice under this section will render any application for variance, special use permit, or development approval invalid, unless the defect is found to be intentional or misleading.</w:t>
      </w:r>
    </w:p>
    <w:p>
      <w:pPr>
        <w:numPr>
          <w:ilvl w:val="0"/>
          <w:numId w:val="3146"/>
        </w:numPr>
      </w:pPr>
      <w:r>
        <w:t xml:space="preserve">5. The cost of newspaper and mailing notification shall be borne by the applicant.</w:t>
      </w:r>
    </w:p>
    <w:p>
      <w:pPr>
        <w:numPr>
          <w:ilvl w:val="0"/>
          <w:numId w:val="3147"/>
        </w:numPr>
      </w:pPr>
      <w:r>
        <w:t xml:space="preserve">6. The same notice shall be posted in the City clerk’s office and one other municipal building in the City and the City must make the notice accessible on the municipal home page of its website at least 14 days prior to the hearing.</w:t>
      </w:r>
    </w:p>
    <w:p>
      <w:pPr>
        <w:pStyle w:val="Compact"/>
        <w:numPr>
          <w:ilvl w:val="0"/>
          <w:numId w:val="3148"/>
        </w:numPr>
      </w:pPr>
    </w:p>
    <w:p>
      <w:pPr>
        <w:numPr>
          <w:ilvl w:val="1"/>
          <w:numId w:val="3149"/>
        </w:numPr>
      </w:pPr>
      <w:r>
        <w:t xml:space="preserve">E. Historic District Commission Notice</w:t>
      </w:r>
    </w:p>
    <w:p>
      <w:pPr>
        <w:numPr>
          <w:ilvl w:val="1"/>
          <w:numId w:val="1000"/>
        </w:numPr>
      </w:pPr>
      <w:r>
        <w:t xml:space="preserve">1. Mailed notice for a certificate of appropriateness shall be sent by regular mail to the applicant and to all abutting property owners at least seven days prior to the public meeting. An application for a certificate of appropriateness for demolition of any principal structure within any historic district requires published notice of a public hearing at least 14 days in advance in a newspaper of general circulation in the City.</w:t>
      </w:r>
    </w:p>
    <w:p>
      <w:pPr>
        <w:numPr>
          <w:ilvl w:val="0"/>
          <w:numId w:val="3150"/>
        </w:numPr>
      </w:pPr>
      <w:r>
        <w:t xml:space="preserve">2. The applicant shall supply the Historic District Commission with a list of names and addresses of all abutting property owners from the most current records of the City Tax Assessor. The cost of mailed and published notice is the responsibility of the applicant, and he/she will be billed by the Department of Planning and Development for such costs.</w:t>
      </w:r>
    </w:p>
    <w:p>
      <w:pPr>
        <w:pStyle w:val="Compact"/>
        <w:numPr>
          <w:ilvl w:val="0"/>
          <w:numId w:val="3151"/>
        </w:numPr>
      </w:pPr>
    </w:p>
    <w:p>
      <w:pPr>
        <w:numPr>
          <w:ilvl w:val="1"/>
          <w:numId w:val="3152"/>
        </w:numPr>
      </w:pPr>
      <w:r>
        <w:t xml:space="preserve">F. Reserved</w:t>
      </w:r>
    </w:p>
    <w:p>
      <w:pPr>
        <w:pStyle w:val="Compact"/>
        <w:numPr>
          <w:ilvl w:val="0"/>
          <w:numId w:val="3153"/>
        </w:numPr>
      </w:pPr>
    </w:p>
    <w:p>
      <w:pPr>
        <w:numPr>
          <w:ilvl w:val="1"/>
          <w:numId w:val="3154"/>
        </w:numPr>
      </w:pPr>
      <w:r>
        <w:t xml:space="preserve">G. Administrative Modification Notice</w:t>
      </w:r>
    </w:p>
    <w:p>
      <w:pPr>
        <w:numPr>
          <w:ilvl w:val="1"/>
          <w:numId w:val="1000"/>
        </w:numPr>
      </w:pPr>
      <w:r>
        <w:t xml:space="preserve">1. Upon an affirmative determination of an administrative modification, the Director of the Department of Inspection and Standards will notify, by first class mail, all property owners abutting the property that is the subject of the modification request and publish in a newspaper of local circulation within the City that the modification will be granted unless written objection is received within 14 days of the public notice.</w:t>
      </w:r>
    </w:p>
    <w:p>
      <w:pPr>
        <w:numPr>
          <w:ilvl w:val="0"/>
          <w:numId w:val="3155"/>
        </w:numPr>
      </w:pPr>
      <w:r>
        <w:t xml:space="preserve">2. Mailed and published notice shall indicate the street address of the subject property in the notice.</w:t>
      </w:r>
    </w:p>
    <w:p>
      <w:pPr>
        <w:numPr>
          <w:ilvl w:val="0"/>
          <w:numId w:val="3156"/>
        </w:numPr>
      </w:pPr>
      <w:r>
        <w:t xml:space="preserve">3. Costs of any notice required under this section are borne by the applicant.</w:t>
      </w:r>
    </w:p>
    <w:bookmarkEnd w:id="154"/>
    <w:bookmarkStart w:id="155" w:name="post-submittal-examination"/>
    <w:p>
      <w:pPr>
        <w:pStyle w:val="Heading2"/>
      </w:pPr>
      <w:r>
        <w:t xml:space="preserve">§ 1802. POST-SUBMITTAL EXAMINATION</w:t>
      </w:r>
    </w:p>
    <w:p>
      <w:pPr>
        <w:pStyle w:val="FirstParagraph"/>
      </w:pPr>
      <w:r>
        <w:t xml:space="preserve">1802 POST-SUBMITTAL EXAMINATION Once required notice is given, any person may examine the application and material submitted in support of or in opposition to the application during normal business hours. Upon reasonable request, any person is entitled to copies of the application and related documents. A fee may be charged for such copies, as established and modified in the Providence Code of Ordinances.</w:t>
      </w:r>
    </w:p>
    <w:bookmarkEnd w:id="155"/>
    <w:bookmarkStart w:id="156" w:name="continuances"/>
    <w:p>
      <w:pPr>
        <w:pStyle w:val="Heading2"/>
      </w:pPr>
      <w:r>
        <w:t xml:space="preserve">§ 1803. CONTINUANCES</w:t>
      </w:r>
    </w:p>
    <w:p>
      <w:pPr>
        <w:pStyle w:val="FirstParagraph"/>
      </w:pPr>
      <w:r>
        <w:t xml:space="preserve">1803 CONTINUANCES The body conducting the hearing or meeting for which notice is required may continue a public hearing or meeting. No new notice is required to reopen the public hearing or meeting if it is continued to a specific date, provided that a public announcement of the future date, time, and place of the continued hearing or meeting is made at the prior hearing or meeting and recorded in the minutes. If the hearing or meeting is adjourned, rather than continued to a specific date, in order to reopen the hearing or meeting all notice shall be given that would have been required for the initial public hearing or meeting.</w:t>
      </w:r>
    </w:p>
    <w:bookmarkEnd w:id="156"/>
    <w:bookmarkStart w:id="157" w:name="zoning-applications-and-approvals"/>
    <w:p>
      <w:pPr>
        <w:pStyle w:val="Heading1"/>
      </w:pPr>
      <w:r>
        <w:t xml:space="preserve">§ 19. ZONING APPLICATIONS AND APPROVALS</w:t>
      </w:r>
    </w:p>
    <w:p>
      <w:pPr>
        <w:pStyle w:val="FirstParagraph"/>
      </w:pPr>
      <w:r>
        <w:t xml:space="preserve">ARTICLE 19. ZONING APPLICATIONS AND APPROVALS 1900 ZONING TEXT AND MAP AMENDMENT 1901 SPECIAL USE PERMIT 1902 VARIANCE 1903 ADMINISTRATIVE MODIFICATION 1904 LAND DEVELOPMENT PROJECT 1905 ADMINISTRATIVE DEVELOPMENT PLAN REVIEW 1906 CITY PLAN COMMISSION FORMAL DEVELOPMENT PLAN REVIEW 1907 D-1 DISTRICT FORMAL AND ADMINISTRATIVE DEVELOPMENT PLAN REVIEW 1908 ES OVERLAY DISTRICT FORMAL DEVELOPMENT PLAN REVIEW 1909 RESERVED 1910 INSTITUTIONAL MASTER PLAN FORMAL DEVELOPMENT PLAN REVIEW 1911 CERTIFICATE OF APPROPRIATENESS 1912 TEMPORARY USE PERMIT 1913 ZONING INTERPRETATION 1914 PUBLIC RIGHT-OF-WAY ENCROACHMENT PERMIT 1915 BUILDING PERMIT 1916 ZONING CERTIFICATE FOR COMPLIANCE 1917 CERTIFICATE OF OCCUPANCY 1918 APPEALS</w:t>
      </w:r>
    </w:p>
    <w:bookmarkEnd w:id="157"/>
    <w:bookmarkStart w:id="158" w:name="zoning-text-and-map-amendment"/>
    <w:p>
      <w:pPr>
        <w:pStyle w:val="Heading2"/>
      </w:pPr>
      <w:r>
        <w:t xml:space="preserve">§ 1900. ZONING TEXT AND MAP AMENDMENT</w:t>
      </w:r>
    </w:p>
    <w:p>
      <w:pPr>
        <w:pStyle w:val="FirstParagraph"/>
      </w:pPr>
      <w:r>
        <w:t xml:space="preserve">1900 ZONING TEXT AND MAP AMENDMENT</w:t>
      </w:r>
    </w:p>
    <w:p>
      <w:pPr>
        <w:numPr>
          <w:ilvl w:val="0"/>
          <w:numId w:val="3157"/>
        </w:numPr>
      </w:pPr>
      <w:r>
        <w:t xml:space="preserve">A. Purpose This Ordinance may, from time to time, be amended or repealed as provided in Section 45-24-51 of the General Laws of Rhode Island, as amended.</w:t>
      </w:r>
    </w:p>
    <w:p>
      <w:pPr>
        <w:numPr>
          <w:ilvl w:val="0"/>
          <w:numId w:val="3158"/>
        </w:numPr>
      </w:pPr>
      <w:r>
        <w:t xml:space="preserve">B. Authority The City Council, after receiving a recommendation from the City Plan Commission, will take formal action on requests for zoning text or map amendments.</w:t>
      </w:r>
    </w:p>
    <w:p>
      <w:pPr>
        <w:numPr>
          <w:ilvl w:val="0"/>
          <w:numId w:val="3159"/>
        </w:numPr>
      </w:pPr>
      <w:r>
        <w:t xml:space="preserve">C. Procedure</w:t>
      </w:r>
    </w:p>
    <w:p>
      <w:pPr>
        <w:numPr>
          <w:ilvl w:val="0"/>
          <w:numId w:val="1000"/>
        </w:numPr>
      </w:pPr>
      <w:r>
        <w:t xml:space="preserve">1. Upon receipt of a complete proposal for a zoning text or map amendment, the City Clerk will refer the proposal to the City Council and City Plan Commission for study and recommendation.</w:t>
      </w:r>
    </w:p>
    <w:p>
      <w:pPr>
        <w:numPr>
          <w:ilvl w:val="0"/>
          <w:numId w:val="3160"/>
        </w:numPr>
      </w:pPr>
      <w:r>
        <w:t xml:space="preserve">2. Upon receipt of the proposal, the City Plan Commission will notify and seek the advice of the Department of Planning and Development and report to the City Council within 45 days of receipt of the proposal, giving its findings and recommendations.</w:t>
      </w:r>
    </w:p>
    <w:p>
      <w:pPr>
        <w:numPr>
          <w:ilvl w:val="0"/>
          <w:numId w:val="3161"/>
        </w:numPr>
      </w:pPr>
      <w:r>
        <w:t xml:space="preserve">3. The City Plan Commission recommendation shall include: a. A statement on the general consistency of the proposal with the Comprehensive Plan, including the goals and policies statement, the implementation program, and all other applicable elements of the Comprehensive Plan.</w:t>
      </w:r>
    </w:p>
    <w:p>
      <w:pPr>
        <w:pStyle w:val="Compact"/>
        <w:numPr>
          <w:ilvl w:val="0"/>
          <w:numId w:val="3162"/>
        </w:numPr>
      </w:pPr>
    </w:p>
    <w:p>
      <w:pPr>
        <w:numPr>
          <w:ilvl w:val="1"/>
          <w:numId w:val="3163"/>
        </w:numPr>
      </w:pPr>
      <w:r>
        <w:t xml:space="preserve">b. A demonstration of recognition and consideration of each of the applicable purposes of zoning, as delineated in Section 101.</w:t>
      </w:r>
    </w:p>
    <w:p>
      <w:pPr>
        <w:numPr>
          <w:ilvl w:val="0"/>
          <w:numId w:val="3164"/>
        </w:numPr>
      </w:pPr>
      <w:r>
        <w:t xml:space="preserve">4. When an amendment proposal is made by the City Plan Commission, the requirement for a study is waived, provided that the proposal by the Commission includes its recommendations pursuant to item 3 above.</w:t>
      </w:r>
    </w:p>
    <w:p>
      <w:pPr>
        <w:numPr>
          <w:ilvl w:val="0"/>
          <w:numId w:val="3165"/>
        </w:numPr>
      </w:pPr>
      <w:r>
        <w:t xml:space="preserve">5. The City Council shall hold a public hearing within 65 days of receipt of a proposal, providing notice as required in Section 1801. The City Council shall render a decision on any proposal within 45 days of the close of the public hearing.</w:t>
      </w:r>
    </w:p>
    <w:p>
      <w:pPr>
        <w:numPr>
          <w:ilvl w:val="0"/>
          <w:numId w:val="3166"/>
        </w:numPr>
      </w:pPr>
      <w:r>
        <w:t xml:space="preserve">6. The provisions of this section pertaining to deadlines do not apply to any extension consented to by an applicant.</w:t>
      </w:r>
    </w:p>
    <w:p>
      <w:pPr>
        <w:pStyle w:val="Compact"/>
        <w:numPr>
          <w:ilvl w:val="0"/>
          <w:numId w:val="3167"/>
        </w:numPr>
      </w:pPr>
    </w:p>
    <w:p>
      <w:pPr>
        <w:numPr>
          <w:ilvl w:val="1"/>
          <w:numId w:val="3168"/>
        </w:numPr>
      </w:pPr>
      <w:r>
        <w:t xml:space="preserve">D. Conditions and Restrictions</w:t>
      </w:r>
    </w:p>
    <w:p>
      <w:pPr>
        <w:numPr>
          <w:ilvl w:val="1"/>
          <w:numId w:val="1000"/>
        </w:numPr>
      </w:pPr>
      <w:r>
        <w:t xml:space="preserve">1. In granting a map amendment, the City Council may limit the change to one of the permitted uses in the district to which the subject land is rezoned, and further impose limitations, conditions, and restrictions, including, without limitation: a. Requiring the petitioner to obtain a permit or approval from any and all state or local governmental agencies or instrumentalities having jurisdiction over the land and use that are the subject of the zoning change.</w:t>
      </w:r>
    </w:p>
    <w:p>
      <w:pPr>
        <w:pStyle w:val="Compact"/>
        <w:numPr>
          <w:ilvl w:val="0"/>
          <w:numId w:val="3169"/>
        </w:numPr>
      </w:pPr>
    </w:p>
    <w:p>
      <w:pPr>
        <w:pStyle w:val="Compact"/>
        <w:numPr>
          <w:ilvl w:val="1"/>
          <w:numId w:val="3170"/>
        </w:numPr>
      </w:pPr>
    </w:p>
    <w:p>
      <w:pPr>
        <w:numPr>
          <w:ilvl w:val="2"/>
          <w:numId w:val="3171"/>
        </w:numPr>
      </w:pPr>
      <w:r>
        <w:t xml:space="preserve">b. Those relating to the effectiveness or continued effectiveness of the zoning change.</w:t>
      </w:r>
    </w:p>
    <w:p>
      <w:pPr>
        <w:pStyle w:val="Compact"/>
        <w:numPr>
          <w:ilvl w:val="0"/>
          <w:numId w:val="3172"/>
        </w:numPr>
      </w:pPr>
    </w:p>
    <w:p>
      <w:pPr>
        <w:pStyle w:val="Compact"/>
        <w:numPr>
          <w:ilvl w:val="1"/>
          <w:numId w:val="3173"/>
        </w:numPr>
      </w:pPr>
    </w:p>
    <w:p>
      <w:pPr>
        <w:numPr>
          <w:ilvl w:val="2"/>
          <w:numId w:val="3174"/>
        </w:numPr>
      </w:pPr>
      <w:r>
        <w:t xml:space="preserve">c. Those relating to the use of the land, as it deems necessary.</w:t>
      </w:r>
    </w:p>
    <w:p>
      <w:pPr>
        <w:numPr>
          <w:ilvl w:val="0"/>
          <w:numId w:val="3175"/>
        </w:numPr>
      </w:pPr>
      <w:r>
        <w:t xml:space="preserve">2. The limitations and conditions imposed shall be clearly noted on the Zoning Map and recorded in the land evidence records, provided that in the case of a conditional zone change, the limitations, restrictions, and conditions will not be noted on the Zoning Map until the change has become effective.</w:t>
      </w:r>
    </w:p>
    <w:p>
      <w:pPr>
        <w:numPr>
          <w:ilvl w:val="0"/>
          <w:numId w:val="3176"/>
        </w:numPr>
      </w:pPr>
      <w:r>
        <w:t xml:space="preserve">3. If the permitted use for which the land has been rezoned is abandoned, or if the land is not used for the requested purpose for a period of two years or more after the change becomes effective, the City Council may, after a public hearing, change the land to its original zoning before the petition was filed.</w:t>
      </w:r>
    </w:p>
    <w:p>
      <w:pPr>
        <w:numPr>
          <w:ilvl w:val="0"/>
          <w:numId w:val="3177"/>
        </w:numPr>
      </w:pPr>
      <w:r>
        <w:t xml:space="preserve">4. If any limitation, condition, or restriction in an Ordinance is held to be invalid by a court in any action, that holding shall not cause the remainder of the ordinance to be invalid.</w:t>
      </w:r>
    </w:p>
    <w:p>
      <w:pPr>
        <w:pStyle w:val="Compact"/>
        <w:numPr>
          <w:ilvl w:val="0"/>
          <w:numId w:val="3178"/>
        </w:numPr>
      </w:pPr>
    </w:p>
    <w:p>
      <w:pPr>
        <w:numPr>
          <w:ilvl w:val="1"/>
          <w:numId w:val="3179"/>
        </w:numPr>
      </w:pPr>
      <w:r>
        <w:t xml:space="preserve">E. Appeals An aggrieved party, legal resident or landowner of the municipality, or group of residents or landowners may appeal an amendment to the Rhode Island Superior Court within 30 days after the amendment has become effective.</w:t>
      </w:r>
    </w:p>
    <w:bookmarkEnd w:id="158"/>
    <w:bookmarkStart w:id="159" w:name="special-use-permit"/>
    <w:p>
      <w:pPr>
        <w:pStyle w:val="Heading2"/>
      </w:pPr>
      <w:r>
        <w:t xml:space="preserve">§ 1901. SPECIAL USE PERMIT</w:t>
      </w:r>
    </w:p>
    <w:p>
      <w:pPr>
        <w:pStyle w:val="FirstParagraph"/>
      </w:pPr>
      <w:r>
        <w:t xml:space="preserve">1901 SPECIAL USE PERMIT</w:t>
      </w:r>
    </w:p>
    <w:p>
      <w:pPr>
        <w:numPr>
          <w:ilvl w:val="0"/>
          <w:numId w:val="3180"/>
        </w:numPr>
      </w:pPr>
      <w:r>
        <w:t xml:space="preserve">A. Authority The Zoning Board of Review or the City Plan Commission, as part of unified development review, will take formal action on special use permit applications.</w:t>
      </w:r>
    </w:p>
    <w:p>
      <w:pPr>
        <w:numPr>
          <w:ilvl w:val="0"/>
          <w:numId w:val="3181"/>
        </w:numPr>
      </w:pPr>
      <w:r>
        <w:t xml:space="preserve">B. Procedure</w:t>
      </w:r>
    </w:p>
    <w:p>
      <w:pPr>
        <w:numPr>
          <w:ilvl w:val="0"/>
          <w:numId w:val="1000"/>
        </w:numPr>
      </w:pPr>
      <w:r>
        <w:t xml:space="preserve">1. Upon receipt of a complete application for a special use permit, the Zoning Board of Review, or the City Plan Commission, as part of unified development review, will request that the Department of Planning and Development staff prepare a written report of the staff’s findings and recommendations, which will be submitted to the applicable review body.</w:t>
      </w:r>
    </w:p>
    <w:p>
      <w:pPr>
        <w:numPr>
          <w:ilvl w:val="0"/>
          <w:numId w:val="3182"/>
        </w:numPr>
      </w:pPr>
      <w:r>
        <w:t xml:space="preserve">2. The Zoning Board of Review, or the City Plan Commission, as part of unified development review, will hold a public hearing on the special use permit application in an expeditious manner, after receipt, in proper form, of an application, and shall give notice as required by Section 1801.</w:t>
      </w:r>
    </w:p>
    <w:p>
      <w:pPr>
        <w:numPr>
          <w:ilvl w:val="0"/>
          <w:numId w:val="3183"/>
        </w:numPr>
      </w:pPr>
      <w:r>
        <w:t xml:space="preserve">3. To authorize a special use permit, the Zoning Board of Review, or the City Plan Commission, as part of unified development review, shall: a. Consider the written opinion from the Department of Planning and Development.</w:t>
      </w:r>
    </w:p>
    <w:p>
      <w:pPr>
        <w:pStyle w:val="Compact"/>
        <w:numPr>
          <w:ilvl w:val="0"/>
          <w:numId w:val="3184"/>
        </w:numPr>
      </w:pPr>
    </w:p>
    <w:p>
      <w:pPr>
        <w:numPr>
          <w:ilvl w:val="1"/>
          <w:numId w:val="3185"/>
        </w:numPr>
      </w:pPr>
      <w:r>
        <w:t xml:space="preserve">b. Make specific findings of fact, in writing, with evidence supporting them, that demonstrate that: i. The proposed special use permit is set forth specifically in this Ordinance, and complies with any conditions set forth therein for the authorization of such special use permit, including those listed in Article 12.</w:t>
      </w:r>
    </w:p>
    <w:p>
      <w:pPr>
        <w:pStyle w:val="Compact"/>
        <w:numPr>
          <w:ilvl w:val="0"/>
          <w:numId w:val="3186"/>
        </w:numPr>
      </w:pPr>
    </w:p>
    <w:p>
      <w:pPr>
        <w:numPr>
          <w:ilvl w:val="1"/>
          <w:numId w:val="3187"/>
        </w:numPr>
      </w:pPr>
      <w:r>
        <w:t xml:space="preserve">ii. Granting the proposed special use permit will not substantially injure the use and enjoyment of nor significantly devalue neighboring property.</w:t>
      </w:r>
    </w:p>
    <w:p>
      <w:pPr>
        <w:pStyle w:val="Compact"/>
        <w:numPr>
          <w:ilvl w:val="0"/>
          <w:numId w:val="3188"/>
        </w:numPr>
      </w:pPr>
    </w:p>
    <w:p>
      <w:pPr>
        <w:numPr>
          <w:ilvl w:val="1"/>
          <w:numId w:val="3189"/>
        </w:numPr>
      </w:pPr>
      <w:r>
        <w:t xml:space="preserve">iii. Granting the proposed special use permit will not be detrimental or injurious to the general health or welfare of the community.</w:t>
      </w:r>
    </w:p>
    <w:p>
      <w:pPr>
        <w:pStyle w:val="Compact"/>
        <w:numPr>
          <w:ilvl w:val="0"/>
          <w:numId w:val="3190"/>
        </w:numPr>
      </w:pPr>
    </w:p>
    <w:p>
      <w:pPr>
        <w:numPr>
          <w:ilvl w:val="1"/>
          <w:numId w:val="3191"/>
        </w:numPr>
      </w:pPr>
      <w:r>
        <w:t xml:space="preserve">c. To grant a special use permit for a health care institution or educational facility – college or university in a commercial or downtown district, the Zoning Board of Review, or the City Plan Commission, as part of unified development review, shall find that such uses are essential and desirable to the public convenience and welfare, and that the following criteria have been met: i. The proposed institutional use adheres to all dimensional requirements.</w:t>
      </w:r>
    </w:p>
    <w:p>
      <w:pPr>
        <w:pStyle w:val="Compact"/>
        <w:numPr>
          <w:ilvl w:val="0"/>
          <w:numId w:val="3192"/>
        </w:numPr>
      </w:pPr>
    </w:p>
    <w:p>
      <w:pPr>
        <w:numPr>
          <w:ilvl w:val="1"/>
          <w:numId w:val="3193"/>
        </w:numPr>
      </w:pPr>
      <w:r>
        <w:t xml:space="preserve">ii. The proposed use cannot be reasonably located on any existing property of the institution within an existing institutional district in which the use is permitted.</w:t>
      </w:r>
    </w:p>
    <w:p>
      <w:pPr>
        <w:pStyle w:val="Compact"/>
        <w:numPr>
          <w:ilvl w:val="0"/>
          <w:numId w:val="3194"/>
        </w:numPr>
      </w:pPr>
    </w:p>
    <w:p>
      <w:pPr>
        <w:numPr>
          <w:ilvl w:val="1"/>
          <w:numId w:val="3195"/>
        </w:numPr>
      </w:pPr>
      <w:r>
        <w:t xml:space="preserve">iii. Parking is provided for the proposed use in accordance with this Ordinance.</w:t>
      </w:r>
    </w:p>
    <w:p>
      <w:pPr>
        <w:pStyle w:val="Compact"/>
        <w:numPr>
          <w:ilvl w:val="0"/>
          <w:numId w:val="3196"/>
        </w:numPr>
      </w:pPr>
    </w:p>
    <w:p>
      <w:pPr>
        <w:numPr>
          <w:ilvl w:val="1"/>
          <w:numId w:val="3197"/>
        </w:numPr>
      </w:pPr>
      <w:r>
        <w:t xml:space="preserve">iv. An institutional master plan has been filed and approved, and the proposed use is in conformance with the institution's master plan.</w:t>
      </w:r>
    </w:p>
    <w:p>
      <w:pPr>
        <w:pStyle w:val="Compact"/>
        <w:numPr>
          <w:ilvl w:val="0"/>
          <w:numId w:val="3198"/>
        </w:numPr>
      </w:pPr>
    </w:p>
    <w:p>
      <w:pPr>
        <w:numPr>
          <w:ilvl w:val="1"/>
          <w:numId w:val="3199"/>
        </w:numPr>
      </w:pPr>
      <w:r>
        <w:t xml:space="preserve">C. Special Use Permit and Variance The Zoning Board of Review, or the City Plan Commission, as part of unified development review, may issue a dimensional variance in conjunction with a special use permit. If the special use could not exist without the dimensional variance, the Zoning Board of Review, or the City Plan Commission, as part of unified development review, will consider the special use permit and the dimensional variance together to determine if granting the special use is appropriate based on both the special use criteria and the variance evidentiary standards.</w:t>
      </w:r>
    </w:p>
    <w:p>
      <w:pPr>
        <w:pStyle w:val="Compact"/>
        <w:numPr>
          <w:ilvl w:val="0"/>
          <w:numId w:val="3200"/>
        </w:numPr>
      </w:pPr>
    </w:p>
    <w:p>
      <w:pPr>
        <w:numPr>
          <w:ilvl w:val="1"/>
          <w:numId w:val="3201"/>
        </w:numPr>
      </w:pPr>
      <w:r>
        <w:t xml:space="preserve">D. Expiration Any special use permit granted by the City Plan Commission, in conjunction with a land development project or subdivision as part of unified development review, shall expire when the approval for the associated land development project or subdivision expires. Any special use permit granted by the Zoning Board of Review shall expire six months after the date of the filing of the resolution in the Office of the Board unless the applicant, within the six months:</w:t>
      </w:r>
    </w:p>
    <w:p>
      <w:pPr>
        <w:numPr>
          <w:ilvl w:val="0"/>
          <w:numId w:val="3202"/>
        </w:numPr>
      </w:pPr>
      <w:r>
        <w:t xml:space="preserve">1. Obtains a legal, complete building permit for the project and proceeds with construction of the proposed improvements. For purposes of this section, demolition permits and foundation permits are not construed to be building permits.</w:t>
      </w:r>
    </w:p>
    <w:p>
      <w:pPr>
        <w:numPr>
          <w:ilvl w:val="0"/>
          <w:numId w:val="3203"/>
        </w:numPr>
      </w:pPr>
      <w:r>
        <w:t xml:space="preserve">2. Obtains a legal building permit or a certificate of occupancy when no construction is required.</w:t>
      </w:r>
    </w:p>
    <w:p>
      <w:pPr>
        <w:pStyle w:val="Compact"/>
        <w:numPr>
          <w:ilvl w:val="0"/>
          <w:numId w:val="3204"/>
        </w:numPr>
      </w:pPr>
    </w:p>
    <w:p>
      <w:pPr>
        <w:numPr>
          <w:ilvl w:val="1"/>
          <w:numId w:val="3205"/>
        </w:numPr>
      </w:pPr>
      <w:r>
        <w:t xml:space="preserve">E. Extension of Time</w:t>
      </w:r>
    </w:p>
    <w:p>
      <w:pPr>
        <w:numPr>
          <w:ilvl w:val="1"/>
          <w:numId w:val="1000"/>
        </w:numPr>
      </w:pPr>
      <w:r>
        <w:t xml:space="preserve">1. The Zoning Board of Review may, upon written request and for cause shown prior to the expiration of the initial six month period, renew the special use permit for a second six month period. The request for an extension need not be advertised.</w:t>
      </w:r>
    </w:p>
    <w:p>
      <w:pPr>
        <w:numPr>
          <w:ilvl w:val="0"/>
          <w:numId w:val="3206"/>
        </w:numPr>
      </w:pPr>
      <w:r>
        <w:t xml:space="preserve">2. If an applicant fails to obtain a legal building permit within the second six month period, the Zoning Board of Review may upon written request prior to the end of the second six month period, renew the special use permit for a third six month period provided that the applicant can demonstrate due diligence in proceeding and substantial financial commitment in promoting the subject of the special use permit since the date of the filing of the resolution. The request for the third six month period shall be advertised and notice given in accordance with Section 1801. A hearing will be held on the request.</w:t>
      </w:r>
    </w:p>
    <w:p>
      <w:pPr>
        <w:numPr>
          <w:ilvl w:val="0"/>
          <w:numId w:val="3207"/>
        </w:numPr>
      </w:pPr>
      <w:r>
        <w:t xml:space="preserve">3. No extension may be granted during an appeal to Superior Court.</w:t>
      </w:r>
    </w:p>
    <w:p>
      <w:pPr>
        <w:pStyle w:val="Compact"/>
        <w:numPr>
          <w:ilvl w:val="0"/>
          <w:numId w:val="3208"/>
        </w:numPr>
      </w:pPr>
    </w:p>
    <w:p>
      <w:pPr>
        <w:numPr>
          <w:ilvl w:val="1"/>
          <w:numId w:val="3209"/>
        </w:numPr>
      </w:pPr>
      <w:r>
        <w:t xml:space="preserve">F. Modifications to Approved Special Use Permits Modifications to an approved special use permit shall follow the process for approval of a special use permit.</w:t>
      </w:r>
    </w:p>
    <w:p>
      <w:pPr>
        <w:pStyle w:val="Compact"/>
        <w:numPr>
          <w:ilvl w:val="0"/>
          <w:numId w:val="3210"/>
        </w:numPr>
      </w:pPr>
    </w:p>
    <w:p>
      <w:pPr>
        <w:numPr>
          <w:ilvl w:val="1"/>
          <w:numId w:val="3211"/>
        </w:numPr>
      </w:pPr>
      <w:r>
        <w:t xml:space="preserve">G. Appeals Any aggrieved party may appeal the decision of the Zoning Board of Review to the Rhode Island Superior Court within 20 days after a decision is recorded and posted in the office of the City Clerk. The process for appeals of decisions by the City Plan Commission is outlined in the City Plan Commission’s Development Review Regulations.</w:t>
      </w:r>
    </w:p>
    <w:bookmarkEnd w:id="159"/>
    <w:bookmarkStart w:id="160" w:name="variance"/>
    <w:p>
      <w:pPr>
        <w:pStyle w:val="Heading2"/>
      </w:pPr>
      <w:r>
        <w:t xml:space="preserve">§ 1902. VARIANCE</w:t>
      </w:r>
    </w:p>
    <w:p>
      <w:pPr>
        <w:pStyle w:val="FirstParagraph"/>
      </w:pPr>
      <w:r>
        <w:t xml:space="preserve">1902 VARIANCE</w:t>
      </w:r>
    </w:p>
    <w:p>
      <w:pPr>
        <w:numPr>
          <w:ilvl w:val="0"/>
          <w:numId w:val="3212"/>
        </w:numPr>
      </w:pPr>
      <w:r>
        <w:t xml:space="preserve">A. Authority The Zoning Board of Review, or the City Plan Commission, as part of unified development review, will take formal action on variance applications.</w:t>
      </w:r>
    </w:p>
    <w:p>
      <w:pPr>
        <w:numPr>
          <w:ilvl w:val="0"/>
          <w:numId w:val="3213"/>
        </w:numPr>
      </w:pPr>
      <w:r>
        <w:t xml:space="preserve">B. Procedure</w:t>
      </w:r>
    </w:p>
    <w:p>
      <w:pPr>
        <w:numPr>
          <w:ilvl w:val="0"/>
          <w:numId w:val="1000"/>
        </w:numPr>
      </w:pPr>
      <w:r>
        <w:t xml:space="preserve">1. Upon receipt of a complete application for a variance, the Zoning Board of Review, or the City Plan Commission, as part of unified development review, will request that the Department of Planning and Development staff prepare a written report of the staff’s findings and recommendations, which will be submitted to the applicable review body. The findings and recommendations shall include a statement on the general consistency of the application with the goals and purpose of the Comprehensive Plan.</w:t>
      </w:r>
    </w:p>
    <w:p>
      <w:pPr>
        <w:numPr>
          <w:ilvl w:val="0"/>
          <w:numId w:val="3214"/>
        </w:numPr>
      </w:pPr>
      <w:r>
        <w:t xml:space="preserve">2. The Zoning Board of Review, or the City Plan Commission, as part of unified development review, will hold a public hearing on the variance application in an expeditious manner, after receipt, in proper form, of an application, and shall give notice as required by Section 1801.</w:t>
      </w:r>
    </w:p>
    <w:p>
      <w:pPr>
        <w:numPr>
          <w:ilvl w:val="0"/>
          <w:numId w:val="3215"/>
        </w:numPr>
      </w:pPr>
      <w:r>
        <w:t xml:space="preserve">3. In granting a variance, the Zoning Board of Review, or the City Plan Commission, as part of unified development review, shall require that evidence to the satisfaction of the following standards be entered into the record of the proceedings: a. That the hardship from which the applicant seeks relief is due to the unique characteristics of the subject land or structure and not to the general characteristics of the surrounding area; and is not due to a physical or economic disability of the applicant, excepting those physical disabilities addressed in Rhode Island General Laws §45-24-30(16).</w:t>
      </w:r>
    </w:p>
    <w:p>
      <w:pPr>
        <w:pStyle w:val="Compact"/>
        <w:numPr>
          <w:ilvl w:val="0"/>
          <w:numId w:val="3216"/>
        </w:numPr>
      </w:pPr>
    </w:p>
    <w:p>
      <w:pPr>
        <w:numPr>
          <w:ilvl w:val="1"/>
          <w:numId w:val="3217"/>
        </w:numPr>
      </w:pPr>
      <w:r>
        <w:t xml:space="preserve">b. That the hardship is not the result of any prior action of the applicant. This standard shall not apply to dimensional variance applications for subdivisions under unified development review.</w:t>
      </w:r>
    </w:p>
    <w:p>
      <w:pPr>
        <w:pStyle w:val="Compact"/>
        <w:numPr>
          <w:ilvl w:val="0"/>
          <w:numId w:val="3218"/>
        </w:numPr>
      </w:pPr>
    </w:p>
    <w:p>
      <w:pPr>
        <w:numPr>
          <w:ilvl w:val="1"/>
          <w:numId w:val="3219"/>
        </w:numPr>
      </w:pPr>
      <w:r>
        <w:t xml:space="preserve">c. That the granting of the requested variance will not alter the general character of the surrounding area or impair the intent or purpose of this Ordinance or the Comprehensive Plan.</w:t>
      </w:r>
    </w:p>
    <w:p>
      <w:pPr>
        <w:numPr>
          <w:ilvl w:val="0"/>
          <w:numId w:val="3220"/>
        </w:numPr>
      </w:pPr>
      <w:r>
        <w:t xml:space="preserve">4. In addition, the Zoning Board of Review, or the City Plan Commission, as part of unified development review, requires that evidence be entered into the record of the proceedings showing that: a. In granting a use variance, the subject land or structure cannot yield any beneficial use if it is required to conform to the provisions of this Ordinance. Nonconforming use of neighboring land or structures in the same district and permitted use of lands or structures in an adjacent district are not considered in granting a use variance.</w:t>
      </w:r>
    </w:p>
    <w:p>
      <w:pPr>
        <w:pStyle w:val="Compact"/>
        <w:numPr>
          <w:ilvl w:val="0"/>
          <w:numId w:val="3221"/>
        </w:numPr>
      </w:pPr>
    </w:p>
    <w:p>
      <w:pPr>
        <w:numPr>
          <w:ilvl w:val="1"/>
          <w:numId w:val="3222"/>
        </w:numPr>
      </w:pPr>
      <w:r>
        <w:t xml:space="preserve">b. In granting a dimensional variance, the hardship that will be suffered by the owner of the subject property if the dimensional variance is not granted will amount to more than a mere inconvenience, meaning that the relief sought is minimal to a reasonable enjoyment of the permitted use to which the property is proposed to be devoted. The fact that a use may be more profitable or that a structure may be more valuable after the relief is granted is not grounds for relief.</w:t>
      </w:r>
    </w:p>
    <w:p>
      <w:pPr>
        <w:numPr>
          <w:ilvl w:val="0"/>
          <w:numId w:val="3223"/>
        </w:numPr>
      </w:pPr>
      <w:r>
        <w:t xml:space="preserve">5. In addition to the above, the Zoning Board of Review, or the City Plan Commission, as part of unified development review, will consider the written opinion of the Department of Planning and Development prior to making a decision on a variance petition.</w:t>
      </w:r>
    </w:p>
    <w:p>
      <w:pPr>
        <w:pStyle w:val="Compact"/>
        <w:numPr>
          <w:ilvl w:val="0"/>
          <w:numId w:val="3224"/>
        </w:numPr>
      </w:pPr>
    </w:p>
    <w:p>
      <w:pPr>
        <w:numPr>
          <w:ilvl w:val="1"/>
          <w:numId w:val="3225"/>
        </w:numPr>
      </w:pPr>
      <w:r>
        <w:t xml:space="preserve">C. Conditions The Zoning Board of Review, or the City Plan Commission, as part of unified development review, may impose such conditions regarding the proposed variance as it deems appropriate. Special conditions may be required, in the opinion of the Zoning Board of Review, or the City Plan Commission, as part of unified development review, to promote the intent and purposes of the Comprehensive Plan and the Zoning Ordinance. Failure to abide by any special conditions attached to approval constitutes a zoning violation. Those special conditions shall be based on competent credible evidence on the record, be incorporated into the decision, and may include, but are not limited to, provisions for:</w:t>
      </w:r>
    </w:p>
    <w:p>
      <w:pPr>
        <w:numPr>
          <w:ilvl w:val="0"/>
          <w:numId w:val="3226"/>
        </w:numPr>
      </w:pPr>
      <w:r>
        <w:t xml:space="preserve">1. Minimizing the adverse impact of the development upon other land, including the type, intensity, design, and performance of activities.</w:t>
      </w:r>
    </w:p>
    <w:p>
      <w:pPr>
        <w:numPr>
          <w:ilvl w:val="0"/>
          <w:numId w:val="3227"/>
        </w:numPr>
      </w:pPr>
      <w:r>
        <w:t xml:space="preserve">2. Controlling the sequence of development, including when it shall be commenced and completed.</w:t>
      </w:r>
    </w:p>
    <w:p>
      <w:pPr>
        <w:numPr>
          <w:ilvl w:val="0"/>
          <w:numId w:val="3228"/>
        </w:numPr>
      </w:pPr>
      <w:r>
        <w:t xml:space="preserve">3. Controlling the duration of use or development and the time within which any temporary structure shall be removed.</w:t>
      </w:r>
    </w:p>
    <w:p>
      <w:pPr>
        <w:numPr>
          <w:ilvl w:val="0"/>
          <w:numId w:val="3229"/>
        </w:numPr>
      </w:pPr>
      <w:r>
        <w:t xml:space="preserve">4. Assuring satisfactory installation and maintenance of required public improvements.</w:t>
      </w:r>
    </w:p>
    <w:p>
      <w:pPr>
        <w:numPr>
          <w:ilvl w:val="0"/>
          <w:numId w:val="3230"/>
        </w:numPr>
      </w:pPr>
      <w:r>
        <w:t xml:space="preserve">5. Designating the exact location and nature of development.</w:t>
      </w:r>
    </w:p>
    <w:p>
      <w:pPr>
        <w:numPr>
          <w:ilvl w:val="0"/>
          <w:numId w:val="3231"/>
        </w:numPr>
      </w:pPr>
      <w:r>
        <w:t xml:space="preserve">6. Establishing detailed records by submission of drawings, maps, plats, or specifications.</w:t>
      </w:r>
    </w:p>
    <w:p>
      <w:pPr>
        <w:pStyle w:val="Compact"/>
        <w:numPr>
          <w:ilvl w:val="0"/>
          <w:numId w:val="3232"/>
        </w:numPr>
      </w:pPr>
    </w:p>
    <w:p>
      <w:pPr>
        <w:numPr>
          <w:ilvl w:val="1"/>
          <w:numId w:val="3233"/>
        </w:numPr>
      </w:pPr>
      <w:r>
        <w:t xml:space="preserve">D. Expiration Any variance granted by the City Plan Commission, in conjunction with a land development project or subdivision as part of unified development review, shall expire when the approval for the associated land development project or subdivision expires. Any variance granted by the Zoning Board of Review shall expire six months after the date of the filing of the resolution in the Office of the Board unless the applicant, within the six months:</w:t>
      </w:r>
    </w:p>
    <w:p>
      <w:pPr>
        <w:numPr>
          <w:ilvl w:val="0"/>
          <w:numId w:val="3234"/>
        </w:numPr>
      </w:pPr>
      <w:r>
        <w:t xml:space="preserve">1. Obtains a legal, complete building permit for the project and proceeds with construction of the proposed improvements. For purposes of this section, demolition permits and foundation permits are not construed to be building permits.</w:t>
      </w:r>
    </w:p>
    <w:p>
      <w:pPr>
        <w:numPr>
          <w:ilvl w:val="0"/>
          <w:numId w:val="3235"/>
        </w:numPr>
      </w:pPr>
      <w:r>
        <w:t xml:space="preserve">2. Obtains a legal building permit or a certificate of occupancy when no construction is required.</w:t>
      </w:r>
    </w:p>
    <w:p>
      <w:pPr>
        <w:pStyle w:val="Compact"/>
        <w:numPr>
          <w:ilvl w:val="0"/>
          <w:numId w:val="3236"/>
        </w:numPr>
      </w:pPr>
    </w:p>
    <w:p>
      <w:pPr>
        <w:numPr>
          <w:ilvl w:val="1"/>
          <w:numId w:val="3237"/>
        </w:numPr>
      </w:pPr>
      <w:r>
        <w:t xml:space="preserve">E. Extension of Time</w:t>
      </w:r>
    </w:p>
    <w:p>
      <w:pPr>
        <w:numPr>
          <w:ilvl w:val="1"/>
          <w:numId w:val="1000"/>
        </w:numPr>
      </w:pPr>
      <w:r>
        <w:t xml:space="preserve">1. The Zoning Board of Review may, upon written request and for cause shown prior to the expiration of the initial six month period, renew the variance for a second six month period. The request for an extension need not be advertised.</w:t>
      </w:r>
    </w:p>
    <w:p>
      <w:pPr>
        <w:numPr>
          <w:ilvl w:val="0"/>
          <w:numId w:val="3238"/>
        </w:numPr>
      </w:pPr>
      <w:r>
        <w:t xml:space="preserve">2. If an applicant fails to obtain a legal building permit within the second six month period, the Zoning Board of Review may upon written request prior to the end of the second six month period, renew the variance for a third six month period provided that the applicant can demonstrate due diligence in proceeding and substantial financial commitment in promoting the subject of the variance since the date of the filing of the resolution. The request for the third six month period shall be advertised and notice given in accordance with Section 1801. A hearing will be held on the request.</w:t>
      </w:r>
    </w:p>
    <w:p>
      <w:pPr>
        <w:numPr>
          <w:ilvl w:val="0"/>
          <w:numId w:val="3239"/>
        </w:numPr>
      </w:pPr>
      <w:r>
        <w:t xml:space="preserve">3. No extension may be granted during an appeal to Superior Court.</w:t>
      </w:r>
    </w:p>
    <w:p>
      <w:pPr>
        <w:pStyle w:val="Compact"/>
        <w:numPr>
          <w:ilvl w:val="0"/>
          <w:numId w:val="3240"/>
        </w:numPr>
      </w:pPr>
    </w:p>
    <w:p>
      <w:pPr>
        <w:numPr>
          <w:ilvl w:val="1"/>
          <w:numId w:val="3241"/>
        </w:numPr>
      </w:pPr>
      <w:r>
        <w:t xml:space="preserve">F. Appeals Any aggrieved party may appeal the decision of the Zoning Board of Review to the Rhode Island Superior Court within 20 days after a decision is recorded and posted in the office of the City Clerk. The process for appeals of decisions by the City Plan Commission is outlined in the City Plan Commission’s Development Review Regulations.</w:t>
      </w:r>
    </w:p>
    <w:bookmarkEnd w:id="160"/>
    <w:bookmarkStart w:id="161" w:name="administrative-modification"/>
    <w:p>
      <w:pPr>
        <w:pStyle w:val="Heading2"/>
      </w:pPr>
      <w:r>
        <w:t xml:space="preserve">§ 1903. ADMINISTRATIVE MODIFICATION</w:t>
      </w:r>
    </w:p>
    <w:p>
      <w:pPr>
        <w:pStyle w:val="FirstParagraph"/>
      </w:pPr>
      <w:r>
        <w:t xml:space="preserve">1903 ADMINISTRATIVE MODIFICATION</w:t>
      </w:r>
    </w:p>
    <w:p>
      <w:pPr>
        <w:numPr>
          <w:ilvl w:val="0"/>
          <w:numId w:val="3242"/>
        </w:numPr>
      </w:pPr>
      <w:r>
        <w:t xml:space="preserve">A. Purpose The purpose of the administrative modification is to provide relief from carrying out a requirement of this Ordinance that may cause a minor practical difficulty.</w:t>
      </w:r>
    </w:p>
    <w:p>
      <w:pPr>
        <w:numPr>
          <w:ilvl w:val="0"/>
          <w:numId w:val="3243"/>
        </w:numPr>
      </w:pPr>
      <w:r>
        <w:t xml:space="preserve">B. Authority The Director of the Department of Inspection and Standards is authorized to grant a 15% modification to any literal dimensional requirement of this Ordinance.</w:t>
      </w:r>
    </w:p>
    <w:p>
      <w:pPr>
        <w:numPr>
          <w:ilvl w:val="0"/>
          <w:numId w:val="3244"/>
        </w:numPr>
      </w:pPr>
      <w:r>
        <w:t xml:space="preserve">C. Procedure</w:t>
      </w:r>
    </w:p>
    <w:p>
      <w:pPr>
        <w:numPr>
          <w:ilvl w:val="0"/>
          <w:numId w:val="1000"/>
        </w:numPr>
      </w:pPr>
      <w:r>
        <w:t xml:space="preserve">1. Within 10 days of the receipt of a request for a modification, the Director of the Department of Inspection and Standards will make a decision on the requested modification.</w:t>
      </w:r>
    </w:p>
    <w:p>
      <w:pPr>
        <w:numPr>
          <w:ilvl w:val="0"/>
          <w:numId w:val="3245"/>
        </w:numPr>
      </w:pPr>
      <w:r>
        <w:t xml:space="preserve">2. The decision on the requested modification shall be based on the following determinations: a. The modification requested is minimal to a reasonable enjoyment of the permitted use to which the property is proposed to be devoted.</w:t>
      </w:r>
    </w:p>
    <w:p>
      <w:pPr>
        <w:pStyle w:val="Compact"/>
        <w:numPr>
          <w:ilvl w:val="0"/>
          <w:numId w:val="3246"/>
        </w:numPr>
      </w:pPr>
    </w:p>
    <w:p>
      <w:pPr>
        <w:numPr>
          <w:ilvl w:val="1"/>
          <w:numId w:val="3247"/>
        </w:numPr>
      </w:pPr>
      <w:r>
        <w:t xml:space="preserve">b. If the modification is granted, neighboring property will neither be substantially injured nor its appropriate use substantially impaired.</w:t>
      </w:r>
    </w:p>
    <w:p>
      <w:pPr>
        <w:pStyle w:val="Compact"/>
        <w:numPr>
          <w:ilvl w:val="0"/>
          <w:numId w:val="3248"/>
        </w:numPr>
      </w:pPr>
    </w:p>
    <w:p>
      <w:pPr>
        <w:numPr>
          <w:ilvl w:val="1"/>
          <w:numId w:val="3249"/>
        </w:numPr>
      </w:pPr>
      <w:r>
        <w:t xml:space="preserve">c. The modification requested does not require a variance of a flood hazard requirement, unless the building is built in accordance with applicable regulations.</w:t>
      </w:r>
    </w:p>
    <w:p>
      <w:pPr>
        <w:pStyle w:val="Compact"/>
        <w:numPr>
          <w:ilvl w:val="0"/>
          <w:numId w:val="3250"/>
        </w:numPr>
      </w:pPr>
    </w:p>
    <w:p>
      <w:pPr>
        <w:numPr>
          <w:ilvl w:val="1"/>
          <w:numId w:val="3251"/>
        </w:numPr>
      </w:pPr>
      <w:r>
        <w:t xml:space="preserve">d. The modification requested does not violate any rules or regulations with respect to freshwater or coastal wetlands.</w:t>
      </w:r>
    </w:p>
    <w:p>
      <w:pPr>
        <w:numPr>
          <w:ilvl w:val="0"/>
          <w:numId w:val="3252"/>
        </w:numPr>
      </w:pPr>
      <w:r>
        <w:t xml:space="preserve">3. Upon an affirmative determination, in the case of a modification of five percent or less, the zoning enforcement officer shall have the authority to approve the modification, without any public notice requirements. In the case of a modification of greater than five percent, the zoning enforcement officer will provide notice as required in Section 1801.</w:t>
      </w:r>
    </w:p>
    <w:p>
      <w:pPr>
        <w:numPr>
          <w:ilvl w:val="0"/>
          <w:numId w:val="3253"/>
        </w:numPr>
      </w:pPr>
      <w:r>
        <w:t xml:space="preserve">4. The modification will be granted unless written objection by anyone who is entitled to notice under this section is received within 14 days of the public notice. If written objection is received within 14 days, the request for a modification is denied. In the case of denial, the changes requested will be considered a request for a variance and may only be issued by the Zoning Board of Review following the standard procedures for variances. If no written objections are received within 14 days, the Director of the Department of Inspection and Standards will grant the modification.</w:t>
      </w:r>
    </w:p>
    <w:p>
      <w:pPr>
        <w:pStyle w:val="Compact"/>
        <w:numPr>
          <w:ilvl w:val="0"/>
          <w:numId w:val="3254"/>
        </w:numPr>
      </w:pPr>
    </w:p>
    <w:p>
      <w:pPr>
        <w:numPr>
          <w:ilvl w:val="1"/>
          <w:numId w:val="3255"/>
        </w:numPr>
      </w:pPr>
      <w:r>
        <w:t xml:space="preserve">D. Conditions The Director of the Department of Inspection and Standards may apply any special conditions as may, in the opinion of the Director, be required to conform to the intent and purposes of this Ordinance.</w:t>
      </w:r>
    </w:p>
    <w:p>
      <w:pPr>
        <w:pStyle w:val="Compact"/>
        <w:numPr>
          <w:ilvl w:val="0"/>
          <w:numId w:val="3256"/>
        </w:numPr>
      </w:pPr>
    </w:p>
    <w:p>
      <w:pPr>
        <w:numPr>
          <w:ilvl w:val="1"/>
          <w:numId w:val="3257"/>
        </w:numPr>
      </w:pPr>
      <w:r>
        <w:t xml:space="preserve">E. Maintenance of Records The Director of the Department of Inspection and Standards shall keep public records of all requests for modifications, and of findings, determinations, special conditions, and any objections received. Any decision evidencing the granting of a modification shall also be recorded in the Land Evidence Records of the City.</w:t>
      </w:r>
    </w:p>
    <w:p>
      <w:pPr>
        <w:pStyle w:val="Compact"/>
        <w:numPr>
          <w:ilvl w:val="0"/>
          <w:numId w:val="3258"/>
        </w:numPr>
      </w:pPr>
    </w:p>
    <w:p>
      <w:pPr>
        <w:numPr>
          <w:ilvl w:val="1"/>
          <w:numId w:val="3259"/>
        </w:numPr>
      </w:pPr>
      <w:r>
        <w:t xml:space="preserve">F. Appeals Any aggrieved party may appeal the decision to the Zoning Board of Review within 20 days of the recording of the decision.</w:t>
      </w:r>
    </w:p>
    <w:p>
      <w:pPr>
        <w:pStyle w:val="Compact"/>
        <w:numPr>
          <w:ilvl w:val="0"/>
          <w:numId w:val="3260"/>
        </w:numPr>
      </w:pPr>
    </w:p>
    <w:p>
      <w:pPr>
        <w:numPr>
          <w:ilvl w:val="1"/>
          <w:numId w:val="3261"/>
        </w:numPr>
      </w:pPr>
      <w:r>
        <w:t xml:space="preserve">G. Neighborhood Character-Based Modification (“NCBM”) The zoning enforcement officer is authorized to grant NCBM on any parcel with a public water and sewer connection, and for purposes of residential use, from the literal dimensional requirements of the zoning ordinance in the instance of construction, alteration, creation, or structural modification of a dwelling unit provided that:</w:t>
      </w:r>
    </w:p>
    <w:p>
      <w:pPr>
        <w:numPr>
          <w:ilvl w:val="0"/>
          <w:numId w:val="3262"/>
        </w:numPr>
      </w:pPr>
      <w:r>
        <w:t xml:space="preserve">1. Such modifications shall only be granted for dimensional relief from frontage, lot width, and lot depth, up to the average dimensions of the comparable existing built environment;</w:t>
      </w:r>
    </w:p>
    <w:p>
      <w:pPr>
        <w:numPr>
          <w:ilvl w:val="0"/>
          <w:numId w:val="3263"/>
        </w:numPr>
      </w:pPr>
      <w:r>
        <w:t xml:space="preserve">2. The average dimensions of the comparable built environment shall be calculated as follows: a. Comparable existing parcels shall mean all parcels that are: i. Within 200 feet of the subject property; and ii. In the same base zone; and iii. Used for residential purposes.</w:t>
      </w:r>
    </w:p>
    <w:p>
      <w:pPr>
        <w:pStyle w:val="Compact"/>
        <w:numPr>
          <w:ilvl w:val="0"/>
          <w:numId w:val="3264"/>
        </w:numPr>
      </w:pPr>
    </w:p>
    <w:p>
      <w:pPr>
        <w:numPr>
          <w:ilvl w:val="1"/>
          <w:numId w:val="3265"/>
        </w:numPr>
      </w:pPr>
      <w:r>
        <w:t xml:space="preserve">b. The average dimensions shall be confirmed by a professional land surveyor</w:t>
      </w:r>
    </w:p>
    <w:p>
      <w:pPr>
        <w:numPr>
          <w:ilvl w:val="1"/>
          <w:numId w:val="1000"/>
        </w:numPr>
      </w:pPr>
      <w:r>
        <w:t xml:space="preserve">c. The average dimensions are to be determined without any additional review of zoning or building code analysis of the legality of the existing dimensions of the comparable existing parcels.</w:t>
      </w:r>
    </w:p>
    <w:p>
      <w:pPr>
        <w:numPr>
          <w:ilvl w:val="0"/>
          <w:numId w:val="3266"/>
        </w:numPr>
      </w:pPr>
      <w:r>
        <w:t xml:space="preserve">3. Within 10 days of the receipt of a request for NCBM, the zoning enforcement officer shall make a decision as to the suitability of the requested modification based on the following determinations: a. The modification requested does not require a variance of a flood hazard requirement, unless the building is built in accordance with applicable regulations; and b. The modification requested does not violate any rules or regulations with respect to freshwater or coastal wetlands; and c. The NCBM does not violate and provisions regarding separation included in the state building or fire code. Upon an affirmative determination, in the case of an NCBM modification of equal to or less than 30% of the requirements of the zoning district, the zoning enforcement officer shall have the authority to issue a permit approving the modification, without any public notice requirements. In the case of an NCBM modification of greater than 30%, the zoning enforcement officer shall notify, by first class mail, all property owners abutting the property which is the subject of the NCBM modification request, and shall indicate the street address of the subject property in the notice, and shall publish in a newspaper of local circulation within the city or town that the modification will be granted unless written objection is received within 14 days of the public notice. If written objection is received from any party entitled to notice under this section within 14 days, the request for modification shall be scheduled for the next available hearing before the Zoning Board of Review on application for a dimensional variance following the standard procedures for such variances, including notice requirements provided for under Section 1801. If no written objections are received within 14 days, the zoning enforcement officer will grant the modification. The zoning enforcement officer may apply any special conditions to the permit as may, in the opinion of the officer, be required to conform to the intent and purposes of the zoning ordinance. The zoning enforcement officer shall keep public records of all requests for modifications, and of findings, determinations, special conditions, and any objections received. Costs of any notice required under this subsection shall be borne by the applicant requesting the modification.</w:t>
      </w:r>
    </w:p>
    <w:bookmarkEnd w:id="161"/>
    <w:bookmarkStart w:id="162" w:name="land-development-project"/>
    <w:p>
      <w:pPr>
        <w:pStyle w:val="Heading2"/>
      </w:pPr>
      <w:r>
        <w:t xml:space="preserve">§ 1904. LAND DEVELOPMENT PROJECT</w:t>
      </w:r>
    </w:p>
    <w:p>
      <w:pPr>
        <w:pStyle w:val="FirstParagraph"/>
      </w:pPr>
      <w:r>
        <w:t xml:space="preserve">1904 LAND DEVELOPMENT PROJECT</w:t>
      </w:r>
    </w:p>
    <w:p>
      <w:pPr>
        <w:numPr>
          <w:ilvl w:val="0"/>
          <w:numId w:val="3267"/>
        </w:numPr>
      </w:pPr>
      <w:r>
        <w:t xml:space="preserve">A. Purpose The purpose of the land development project, as established by state statute, is to review proposed developments to determine compliance with the standards and intent of this Ordinance and the development review regulations adopted by the City Plan Commission pursuant to Rhode Island General Laws §45-23.</w:t>
      </w:r>
    </w:p>
    <w:p>
      <w:pPr>
        <w:numPr>
          <w:ilvl w:val="0"/>
          <w:numId w:val="3268"/>
        </w:numPr>
      </w:pPr>
      <w:r>
        <w:t xml:space="preserve">B. Authority Consistent with the development review regulations, the City Plan Commission or administrative officer may approve a land development project. The City Plan Commission may also approve modifications to select dimensional standards as described in item E. The City Plan Commission may also approve variances and special use permits through unified development review. No demolition, foundation, or building permits will be issued, and no site work will be allowed for any development requiring approval of a land development project until the City Plan Commission has approved the final plan.</w:t>
      </w:r>
    </w:p>
    <w:p>
      <w:pPr>
        <w:numPr>
          <w:ilvl w:val="0"/>
          <w:numId w:val="3269"/>
        </w:numPr>
      </w:pPr>
      <w:r>
        <w:t xml:space="preserve">C. Applicability</w:t>
      </w:r>
    </w:p>
    <w:p>
      <w:pPr>
        <w:numPr>
          <w:ilvl w:val="0"/>
          <w:numId w:val="1000"/>
        </w:numPr>
      </w:pPr>
      <w:r>
        <w:t xml:space="preserve">1. Any development that meets one or more of the following criteria is considered a land development project: a. New construction of 10,000 square feet or more in gross floor area.</w:t>
      </w:r>
    </w:p>
    <w:p>
      <w:pPr>
        <w:pStyle w:val="Compact"/>
        <w:numPr>
          <w:ilvl w:val="0"/>
          <w:numId w:val="3270"/>
        </w:numPr>
      </w:pPr>
    </w:p>
    <w:p>
      <w:pPr>
        <w:numPr>
          <w:ilvl w:val="1"/>
          <w:numId w:val="3271"/>
        </w:numPr>
      </w:pPr>
      <w:r>
        <w:t xml:space="preserve">b. Additions or enlargements to structures where the new gross floor area of the addition or enlargement is 10,000 square feet or more.</w:t>
      </w:r>
    </w:p>
    <w:p>
      <w:pPr>
        <w:pStyle w:val="Compact"/>
        <w:numPr>
          <w:ilvl w:val="0"/>
          <w:numId w:val="3272"/>
        </w:numPr>
      </w:pPr>
    </w:p>
    <w:p>
      <w:pPr>
        <w:numPr>
          <w:ilvl w:val="1"/>
          <w:numId w:val="3273"/>
        </w:numPr>
      </w:pPr>
      <w:r>
        <w:t xml:space="preserve">c. Construction of new gross floor area that creates 10 or more dwelling or rooming units.</w:t>
      </w:r>
    </w:p>
    <w:p>
      <w:pPr>
        <w:pStyle w:val="Compact"/>
        <w:numPr>
          <w:ilvl w:val="0"/>
          <w:numId w:val="3274"/>
        </w:numPr>
      </w:pPr>
    </w:p>
    <w:p>
      <w:pPr>
        <w:numPr>
          <w:ilvl w:val="1"/>
          <w:numId w:val="3275"/>
        </w:numPr>
      </w:pPr>
      <w:r>
        <w:t xml:space="preserve">d. Development of 50 or more new parking spaces.</w:t>
      </w:r>
    </w:p>
    <w:p>
      <w:pPr>
        <w:numPr>
          <w:ilvl w:val="0"/>
          <w:numId w:val="3276"/>
        </w:numPr>
      </w:pPr>
      <w:r>
        <w:t xml:space="preserve">2. The following types of development that may meet the above thresholds are not considered land development projects: a. Any development in an institutional district that is part of an institutional master plan.</w:t>
      </w:r>
    </w:p>
    <w:p>
      <w:pPr>
        <w:pStyle w:val="Compact"/>
        <w:numPr>
          <w:ilvl w:val="0"/>
          <w:numId w:val="3277"/>
        </w:numPr>
      </w:pPr>
    </w:p>
    <w:p>
      <w:pPr>
        <w:numPr>
          <w:ilvl w:val="1"/>
          <w:numId w:val="3278"/>
        </w:numPr>
      </w:pPr>
      <w:r>
        <w:t xml:space="preserve">b. Any development subject to review by the Downtown Design Review Committee or the I-195 Redevelopment District Commission.</w:t>
      </w:r>
    </w:p>
    <w:p>
      <w:pPr>
        <w:pStyle w:val="Compact"/>
        <w:numPr>
          <w:ilvl w:val="0"/>
          <w:numId w:val="3279"/>
        </w:numPr>
      </w:pPr>
    </w:p>
    <w:p>
      <w:pPr>
        <w:numPr>
          <w:ilvl w:val="1"/>
          <w:numId w:val="3280"/>
        </w:numPr>
      </w:pPr>
      <w:r>
        <w:t xml:space="preserve">c. Primary and secondary educational facilities in residential zones.</w:t>
      </w:r>
    </w:p>
    <w:p>
      <w:pPr>
        <w:pStyle w:val="Compact"/>
        <w:numPr>
          <w:ilvl w:val="0"/>
          <w:numId w:val="3281"/>
        </w:numPr>
      </w:pPr>
    </w:p>
    <w:p>
      <w:pPr>
        <w:numPr>
          <w:ilvl w:val="1"/>
          <w:numId w:val="3282"/>
        </w:numPr>
      </w:pPr>
      <w:r>
        <w:t xml:space="preserve">D. Procedure All land development projects, including requests for unified development review, shall be reviewed by the applicable permitting authority according to the development review regulations. For all land development projects, the Director of the Department of Planning and Development, or his designee shall conduct a design review session to evaluate compliance with applicable design standards of the Ordinance and suggest improvements that could be made. The Director or designee conducting the review shall file a report with the City Plan Commission.</w:t>
      </w:r>
    </w:p>
    <w:p>
      <w:pPr>
        <w:pStyle w:val="Compact"/>
        <w:numPr>
          <w:ilvl w:val="0"/>
          <w:numId w:val="3283"/>
        </w:numPr>
      </w:pPr>
    </w:p>
    <w:p>
      <w:pPr>
        <w:numPr>
          <w:ilvl w:val="1"/>
          <w:numId w:val="3284"/>
        </w:numPr>
      </w:pPr>
      <w:r>
        <w:t xml:space="preserve">E. Adjustments of Dimensional Regulations</w:t>
      </w:r>
    </w:p>
    <w:p>
      <w:pPr>
        <w:numPr>
          <w:ilvl w:val="1"/>
          <w:numId w:val="1000"/>
        </w:numPr>
      </w:pPr>
      <w:r>
        <w:t xml:space="preserve">1. The City Plan Commission has the authority to make adjustments to certain dimensional and design standards through land development project review when one or more of the following occur: a. Where open space is permanently set aside for public use.</w:t>
      </w:r>
    </w:p>
    <w:p>
      <w:pPr>
        <w:pStyle w:val="Compact"/>
        <w:numPr>
          <w:ilvl w:val="0"/>
          <w:numId w:val="3285"/>
        </w:numPr>
      </w:pPr>
    </w:p>
    <w:p>
      <w:pPr>
        <w:pStyle w:val="Compact"/>
        <w:numPr>
          <w:ilvl w:val="1"/>
          <w:numId w:val="3286"/>
        </w:numPr>
      </w:pPr>
    </w:p>
    <w:p>
      <w:pPr>
        <w:numPr>
          <w:ilvl w:val="2"/>
          <w:numId w:val="3287"/>
        </w:numPr>
      </w:pPr>
      <w:r>
        <w:t xml:space="preserve">b. Where the physical characteristics, location, or size of the site require an adjustment.</w:t>
      </w:r>
    </w:p>
    <w:p>
      <w:pPr>
        <w:pStyle w:val="Compact"/>
        <w:numPr>
          <w:ilvl w:val="0"/>
          <w:numId w:val="3288"/>
        </w:numPr>
      </w:pPr>
    </w:p>
    <w:p>
      <w:pPr>
        <w:pStyle w:val="Compact"/>
        <w:numPr>
          <w:ilvl w:val="1"/>
          <w:numId w:val="3289"/>
        </w:numPr>
      </w:pPr>
    </w:p>
    <w:p>
      <w:pPr>
        <w:numPr>
          <w:ilvl w:val="2"/>
          <w:numId w:val="3290"/>
        </w:numPr>
      </w:pPr>
      <w:r>
        <w:t xml:space="preserve">c. Where the location, size, and type of use require an adjustment.</w:t>
      </w:r>
    </w:p>
    <w:p>
      <w:pPr>
        <w:pStyle w:val="Compact"/>
        <w:numPr>
          <w:ilvl w:val="0"/>
          <w:numId w:val="3291"/>
        </w:numPr>
      </w:pPr>
    </w:p>
    <w:p>
      <w:pPr>
        <w:pStyle w:val="Compact"/>
        <w:numPr>
          <w:ilvl w:val="1"/>
          <w:numId w:val="3292"/>
        </w:numPr>
      </w:pPr>
    </w:p>
    <w:p>
      <w:pPr>
        <w:numPr>
          <w:ilvl w:val="2"/>
          <w:numId w:val="3293"/>
        </w:numPr>
      </w:pPr>
      <w:r>
        <w:t xml:space="preserve">d. Where the required build-to percentage requires an adjustment.</w:t>
      </w:r>
    </w:p>
    <w:p>
      <w:pPr>
        <w:pStyle w:val="Compact"/>
        <w:numPr>
          <w:ilvl w:val="0"/>
          <w:numId w:val="3294"/>
        </w:numPr>
      </w:pPr>
    </w:p>
    <w:p>
      <w:pPr>
        <w:pStyle w:val="Compact"/>
        <w:numPr>
          <w:ilvl w:val="1"/>
          <w:numId w:val="3295"/>
        </w:numPr>
      </w:pPr>
    </w:p>
    <w:p>
      <w:pPr>
        <w:numPr>
          <w:ilvl w:val="2"/>
          <w:numId w:val="3296"/>
        </w:numPr>
      </w:pPr>
      <w:r>
        <w:t xml:space="preserve">e. Where design standards require an adjustment.</w:t>
      </w:r>
    </w:p>
    <w:p>
      <w:pPr>
        <w:pStyle w:val="Compact"/>
        <w:numPr>
          <w:ilvl w:val="0"/>
          <w:numId w:val="3297"/>
        </w:numPr>
      </w:pPr>
    </w:p>
    <w:p>
      <w:pPr>
        <w:pStyle w:val="Compact"/>
        <w:numPr>
          <w:ilvl w:val="1"/>
          <w:numId w:val="3298"/>
        </w:numPr>
      </w:pPr>
    </w:p>
    <w:p>
      <w:pPr>
        <w:numPr>
          <w:ilvl w:val="2"/>
          <w:numId w:val="3299"/>
        </w:numPr>
      </w:pPr>
      <w:r>
        <w:t xml:space="preserve">f. Where housing for low- and moderate-income families is provided.</w:t>
      </w:r>
    </w:p>
    <w:p>
      <w:pPr>
        <w:pStyle w:val="Compact"/>
        <w:numPr>
          <w:ilvl w:val="0"/>
          <w:numId w:val="3300"/>
        </w:numPr>
      </w:pPr>
    </w:p>
    <w:p>
      <w:pPr>
        <w:pStyle w:val="Compact"/>
        <w:numPr>
          <w:ilvl w:val="1"/>
          <w:numId w:val="3301"/>
        </w:numPr>
      </w:pPr>
    </w:p>
    <w:p>
      <w:pPr>
        <w:numPr>
          <w:ilvl w:val="2"/>
          <w:numId w:val="3302"/>
        </w:numPr>
      </w:pPr>
      <w:r>
        <w:t xml:space="preserve">g. Where other amenities not required are provided, as stipulated in this Ordinance.</w:t>
      </w:r>
    </w:p>
    <w:p>
      <w:pPr>
        <w:pStyle w:val="Compact"/>
        <w:numPr>
          <w:ilvl w:val="0"/>
          <w:numId w:val="3303"/>
        </w:numPr>
      </w:pPr>
    </w:p>
    <w:p>
      <w:pPr>
        <w:pStyle w:val="Compact"/>
        <w:numPr>
          <w:ilvl w:val="1"/>
          <w:numId w:val="3304"/>
        </w:numPr>
      </w:pPr>
    </w:p>
    <w:p>
      <w:pPr>
        <w:numPr>
          <w:ilvl w:val="2"/>
          <w:numId w:val="3305"/>
        </w:numPr>
      </w:pPr>
      <w:r>
        <w:t xml:space="preserve">h. Where structured parking is provided.</w:t>
      </w:r>
    </w:p>
    <w:p>
      <w:pPr>
        <w:pStyle w:val="Compact"/>
        <w:numPr>
          <w:ilvl w:val="0"/>
          <w:numId w:val="3306"/>
        </w:numPr>
      </w:pPr>
    </w:p>
    <w:p>
      <w:pPr>
        <w:pStyle w:val="Compact"/>
        <w:numPr>
          <w:ilvl w:val="1"/>
          <w:numId w:val="3307"/>
        </w:numPr>
      </w:pPr>
    </w:p>
    <w:p>
      <w:pPr>
        <w:numPr>
          <w:ilvl w:val="2"/>
          <w:numId w:val="3308"/>
        </w:numPr>
      </w:pPr>
      <w:r>
        <w:t xml:space="preserve">i. Where vertical mixed-use development is provided, of which at least 50% is devoted to residential use.</w:t>
      </w:r>
    </w:p>
    <w:p>
      <w:pPr>
        <w:pStyle w:val="Compact"/>
        <w:numPr>
          <w:ilvl w:val="0"/>
          <w:numId w:val="3309"/>
        </w:numPr>
      </w:pPr>
    </w:p>
    <w:p>
      <w:pPr>
        <w:pStyle w:val="Compact"/>
        <w:numPr>
          <w:ilvl w:val="1"/>
          <w:numId w:val="3310"/>
        </w:numPr>
      </w:pPr>
    </w:p>
    <w:p>
      <w:pPr>
        <w:numPr>
          <w:ilvl w:val="2"/>
          <w:numId w:val="3311"/>
        </w:numPr>
      </w:pPr>
      <w:r>
        <w:t xml:space="preserve">j. Where there is no fossil fuel combustion on the property.</w:t>
      </w:r>
    </w:p>
    <w:p>
      <w:pPr>
        <w:numPr>
          <w:ilvl w:val="0"/>
          <w:numId w:val="3312"/>
        </w:numPr>
      </w:pPr>
      <w:r>
        <w:t xml:space="preserve">2. The City Plan Commission adjustments are limited to the following thresholds: ADJUSTMENT- ADJUSTMENTREGULATION RESIDENTIAL ZONES NON-RESIDENTIAL ZONES Required Setback ±10’ ±10’ Building Height +12’, not to exceed 1 extra story +24’, not to exceed 2 extra stories Dwelling Unit Density +50% +50% Lot Building Coverage +25% Not Applicable Required Parking -50% -50% 3. The City Plan Commission may modify design regulations of the C-2, C-3, M-MU, and W-2 Districts, and the TOD Overlay District.</w:t>
      </w:r>
    </w:p>
    <w:bookmarkEnd w:id="162"/>
    <w:bookmarkStart w:id="163" w:name="administrative-development-plan-review"/>
    <w:p>
      <w:pPr>
        <w:pStyle w:val="Heading2"/>
      </w:pPr>
      <w:r>
        <w:t xml:space="preserve">§ 1905. ADMINISTRATIVE DEVELOPMENT PLAN REVIEW</w:t>
      </w:r>
    </w:p>
    <w:p>
      <w:pPr>
        <w:pStyle w:val="FirstParagraph"/>
      </w:pPr>
      <w:r>
        <w:t xml:space="preserve">1905 ADMINISTRATIVE DEVELOPMENT PLAN REVIEW</w:t>
      </w:r>
    </w:p>
    <w:p>
      <w:pPr>
        <w:numPr>
          <w:ilvl w:val="0"/>
          <w:numId w:val="3313"/>
        </w:numPr>
      </w:pPr>
      <w:r>
        <w:t xml:space="preserve">A. Purpose The purpose of administrative development plan review is to review proposed developments to determine compliance with this Ordinance.</w:t>
      </w:r>
    </w:p>
    <w:p>
      <w:pPr>
        <w:numPr>
          <w:ilvl w:val="0"/>
          <w:numId w:val="3314"/>
        </w:numPr>
      </w:pPr>
      <w:r>
        <w:t xml:space="preserve">B. Authority The administrative officer(s) designated by the City Plan Commission may approve a project subject to development plan review.</w:t>
      </w:r>
    </w:p>
    <w:p>
      <w:pPr>
        <w:numPr>
          <w:ilvl w:val="0"/>
          <w:numId w:val="3315"/>
        </w:numPr>
      </w:pPr>
      <w:r>
        <w:t xml:space="preserve">C. Applicability</w:t>
      </w:r>
    </w:p>
    <w:p>
      <w:pPr>
        <w:numPr>
          <w:ilvl w:val="0"/>
          <w:numId w:val="1000"/>
        </w:numPr>
      </w:pPr>
      <w:r>
        <w:t xml:space="preserve">1. The administrative officer(s) review the following types of development under administrative development plan review: a. Any development or redevelopment on a lot or lots with a total of 40,000 square feet or more that results in a change of use.</w:t>
      </w:r>
    </w:p>
    <w:p>
      <w:pPr>
        <w:pStyle w:val="Compact"/>
        <w:numPr>
          <w:ilvl w:val="0"/>
          <w:numId w:val="3316"/>
        </w:numPr>
      </w:pPr>
    </w:p>
    <w:p>
      <w:pPr>
        <w:numPr>
          <w:ilvl w:val="1"/>
          <w:numId w:val="3317"/>
        </w:numPr>
      </w:pPr>
      <w:r>
        <w:t xml:space="preserve">b. All new construction of more than 2,500 square feet of gross floor area, including additions to existing structures, within the C-2, C-3, M-MU, and W-2 Districts.</w:t>
      </w:r>
    </w:p>
    <w:p>
      <w:pPr>
        <w:pStyle w:val="Compact"/>
        <w:numPr>
          <w:ilvl w:val="0"/>
          <w:numId w:val="3318"/>
        </w:numPr>
      </w:pPr>
    </w:p>
    <w:p>
      <w:pPr>
        <w:numPr>
          <w:ilvl w:val="1"/>
          <w:numId w:val="3319"/>
        </w:numPr>
      </w:pPr>
      <w:r>
        <w:t xml:space="preserve">c. All new construction of rowhouse developments and multi-family dwellings.</w:t>
      </w:r>
    </w:p>
    <w:p>
      <w:pPr>
        <w:pStyle w:val="Compact"/>
        <w:numPr>
          <w:ilvl w:val="0"/>
          <w:numId w:val="3320"/>
        </w:numPr>
      </w:pPr>
    </w:p>
    <w:p>
      <w:pPr>
        <w:numPr>
          <w:ilvl w:val="1"/>
          <w:numId w:val="3321"/>
        </w:numPr>
      </w:pPr>
      <w:r>
        <w:t xml:space="preserve">d. Any new pavement with an area of 10,000 square feet or more.</w:t>
      </w:r>
    </w:p>
    <w:p>
      <w:pPr>
        <w:pStyle w:val="Compact"/>
        <w:numPr>
          <w:ilvl w:val="0"/>
          <w:numId w:val="3322"/>
        </w:numPr>
      </w:pPr>
    </w:p>
    <w:p>
      <w:pPr>
        <w:numPr>
          <w:ilvl w:val="1"/>
          <w:numId w:val="3323"/>
        </w:numPr>
      </w:pPr>
      <w:r>
        <w:t xml:space="preserve">e. Any development that includes a drive-through facility.</w:t>
      </w:r>
    </w:p>
    <w:p>
      <w:pPr>
        <w:pStyle w:val="Compact"/>
        <w:numPr>
          <w:ilvl w:val="0"/>
          <w:numId w:val="3324"/>
        </w:numPr>
      </w:pPr>
    </w:p>
    <w:p>
      <w:pPr>
        <w:numPr>
          <w:ilvl w:val="1"/>
          <w:numId w:val="3325"/>
        </w:numPr>
      </w:pPr>
      <w:r>
        <w:t xml:space="preserve">f. Gas stations.</w:t>
      </w:r>
    </w:p>
    <w:p>
      <w:pPr>
        <w:pStyle w:val="Compact"/>
        <w:numPr>
          <w:ilvl w:val="0"/>
          <w:numId w:val="3326"/>
        </w:numPr>
      </w:pPr>
    </w:p>
    <w:p>
      <w:pPr>
        <w:numPr>
          <w:ilvl w:val="1"/>
          <w:numId w:val="3327"/>
        </w:numPr>
      </w:pPr>
      <w:r>
        <w:t xml:space="preserve">g. Materials Processing.</w:t>
      </w:r>
    </w:p>
    <w:p>
      <w:pPr>
        <w:pStyle w:val="Compact"/>
        <w:numPr>
          <w:ilvl w:val="0"/>
          <w:numId w:val="3328"/>
        </w:numPr>
      </w:pPr>
    </w:p>
    <w:p>
      <w:pPr>
        <w:numPr>
          <w:ilvl w:val="1"/>
          <w:numId w:val="3329"/>
        </w:numPr>
      </w:pPr>
      <w:r>
        <w:t xml:space="preserve">h. Tank Farms.</w:t>
      </w:r>
    </w:p>
    <w:p>
      <w:pPr>
        <w:pStyle w:val="Compact"/>
        <w:numPr>
          <w:ilvl w:val="0"/>
          <w:numId w:val="3330"/>
        </w:numPr>
      </w:pPr>
    </w:p>
    <w:p>
      <w:pPr>
        <w:numPr>
          <w:ilvl w:val="1"/>
          <w:numId w:val="3331"/>
        </w:numPr>
      </w:pPr>
      <w:r>
        <w:t xml:space="preserve">i. All review in the D-1 District identified as administrative development plan review in Section 1907.</w:t>
      </w:r>
    </w:p>
    <w:p>
      <w:pPr>
        <w:pStyle w:val="Compact"/>
        <w:numPr>
          <w:ilvl w:val="0"/>
          <w:numId w:val="3332"/>
        </w:numPr>
      </w:pPr>
    </w:p>
    <w:p>
      <w:pPr>
        <w:numPr>
          <w:ilvl w:val="1"/>
          <w:numId w:val="3333"/>
        </w:numPr>
      </w:pPr>
      <w:r>
        <w:t xml:space="preserve">j. All review in the ES Overlay District 2. The following types of development are not subject to administrative development plan review: a. Any development that requires land development project review or development plan review by the City Plan Commission.</w:t>
      </w:r>
    </w:p>
    <w:p>
      <w:pPr>
        <w:pStyle w:val="Compact"/>
        <w:numPr>
          <w:ilvl w:val="0"/>
          <w:numId w:val="3334"/>
        </w:numPr>
      </w:pPr>
    </w:p>
    <w:p>
      <w:pPr>
        <w:numPr>
          <w:ilvl w:val="1"/>
          <w:numId w:val="3335"/>
        </w:numPr>
      </w:pPr>
      <w:r>
        <w:t xml:space="preserve">b. Any development in an institutional district that is part of an institutional master plan.</w:t>
      </w:r>
    </w:p>
    <w:p>
      <w:pPr>
        <w:pStyle w:val="Compact"/>
        <w:numPr>
          <w:ilvl w:val="0"/>
          <w:numId w:val="3336"/>
        </w:numPr>
      </w:pPr>
    </w:p>
    <w:p>
      <w:pPr>
        <w:numPr>
          <w:ilvl w:val="1"/>
          <w:numId w:val="3337"/>
        </w:numPr>
      </w:pPr>
      <w:r>
        <w:t xml:space="preserve">c. Any development subject to review by the Downtown Design Review Committee, the I-195 Redevelopment District Commission, or the Historic District Commission.</w:t>
      </w:r>
    </w:p>
    <w:p>
      <w:pPr>
        <w:numPr>
          <w:ilvl w:val="0"/>
          <w:numId w:val="3338"/>
        </w:numPr>
      </w:pPr>
      <w:r>
        <w:t xml:space="preserve">D. Procedure</w:t>
      </w:r>
    </w:p>
    <w:p>
      <w:pPr>
        <w:numPr>
          <w:ilvl w:val="0"/>
          <w:numId w:val="1000"/>
        </w:numPr>
      </w:pPr>
      <w:r>
        <w:t xml:space="preserve">1. The procedures for administrative development plan review are set forth in the development review regulations adopted by the City Plan Commission.</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pPr>
          </w:p>
        </w:tc>
        <w:tc>
          <w:tcPr/>
          <w:p>
            <w:pPr>
              <w:pStyle w:val="Compact"/>
              <w:jc w:val="left"/>
            </w:pPr>
            <w:r>
              <w:t xml:space="preserve">ADJUSTMENT-</w:t>
            </w:r>
          </w:p>
        </w:tc>
        <w:tc>
          <w:tcPr/>
          <w:p>
            <w:pPr>
              <w:pStyle w:val="Compact"/>
              <w:jc w:val="left"/>
            </w:pPr>
            <w:r>
              <w:t xml:space="preserve">ADJUSTMENT-</w:t>
            </w:r>
          </w:p>
        </w:tc>
        <w:tc>
          <w:tcPr/>
          <w:p>
            <w:pPr>
              <w:pStyle w:val="Compact"/>
            </w:pPr>
          </w:p>
        </w:tc>
      </w:tr>
      <w:tr>
        <w:tc>
          <w:tcPr/>
          <w:p>
            <w:pPr>
              <w:pStyle w:val="Compact"/>
            </w:pPr>
          </w:p>
        </w:tc>
        <w:tc>
          <w:tcPr/>
          <w:p>
            <w:pPr>
              <w:pStyle w:val="Compact"/>
              <w:jc w:val="left"/>
            </w:pPr>
            <w:r>
              <w:t xml:space="preserve">REGULATION</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RESIDENTIAL ZONES</w:t>
            </w:r>
          </w:p>
        </w:tc>
        <w:tc>
          <w:tcPr/>
          <w:p>
            <w:pPr>
              <w:pStyle w:val="Compact"/>
              <w:jc w:val="left"/>
            </w:pPr>
            <w:r>
              <w:t xml:space="preserve">NON-RESIDENTIAL ZONES</w:t>
            </w:r>
          </w:p>
        </w:tc>
        <w:tc>
          <w:tcPr/>
          <w:p>
            <w:pPr>
              <w:pStyle w:val="Compact"/>
            </w:pPr>
          </w:p>
        </w:tc>
      </w:tr>
      <w:tr>
        <w:tc>
          <w:tcPr/>
          <w:p>
            <w:pPr>
              <w:pStyle w:val="Compact"/>
            </w:pPr>
          </w:p>
        </w:tc>
        <w:tc>
          <w:tcPr/>
          <w:p>
            <w:pPr>
              <w:pStyle w:val="Compact"/>
              <w:jc w:val="left"/>
            </w:pPr>
            <w:r>
              <w:t xml:space="preserve">Required Setback</w:t>
            </w:r>
          </w:p>
        </w:tc>
        <w:tc>
          <w:tcPr/>
          <w:p>
            <w:pPr>
              <w:pStyle w:val="Compact"/>
              <w:jc w:val="left"/>
            </w:pPr>
            <w:r>
              <w:t xml:space="preserve">±10’</w:t>
            </w:r>
          </w:p>
        </w:tc>
        <w:tc>
          <w:tcPr/>
          <w:p>
            <w:pPr>
              <w:pStyle w:val="Compact"/>
              <w:jc w:val="left"/>
            </w:pPr>
            <w:r>
              <w:t xml:space="preserve">±10’</w:t>
            </w:r>
          </w:p>
        </w:tc>
        <w:tc>
          <w:tcPr/>
          <w:p>
            <w:pPr>
              <w:pStyle w:val="Compact"/>
            </w:pPr>
          </w:p>
        </w:tc>
      </w:tr>
      <w:tr>
        <w:tc>
          <w:tcPr/>
          <w:p>
            <w:pPr>
              <w:pStyle w:val="Compact"/>
            </w:pPr>
          </w:p>
        </w:tc>
        <w:tc>
          <w:tcPr/>
          <w:p>
            <w:pPr>
              <w:pStyle w:val="Compact"/>
              <w:jc w:val="left"/>
            </w:pPr>
            <w:r>
              <w:t xml:space="preserve">Building Height</w:t>
            </w:r>
          </w:p>
        </w:tc>
        <w:tc>
          <w:tcPr/>
          <w:p>
            <w:pPr>
              <w:pStyle w:val="Compact"/>
              <w:jc w:val="left"/>
            </w:pPr>
            <w:r>
              <w:t xml:space="preserve">+12’, not to exceed 1 extra story</w:t>
            </w:r>
          </w:p>
        </w:tc>
        <w:tc>
          <w:tcPr/>
          <w:p>
            <w:pPr>
              <w:pStyle w:val="Compact"/>
              <w:jc w:val="left"/>
            </w:pPr>
            <w:r>
              <w:t xml:space="preserve">+24’, not to exceed 2 extra stories</w:t>
            </w:r>
          </w:p>
        </w:tc>
        <w:tc>
          <w:tcPr/>
          <w:p>
            <w:pPr>
              <w:pStyle w:val="Compact"/>
            </w:pPr>
          </w:p>
        </w:tc>
      </w:tr>
      <w:tr>
        <w:tc>
          <w:tcPr/>
          <w:p>
            <w:pPr>
              <w:pStyle w:val="Compact"/>
            </w:pPr>
          </w:p>
        </w:tc>
        <w:tc>
          <w:tcPr/>
          <w:p>
            <w:pPr>
              <w:pStyle w:val="Compact"/>
              <w:jc w:val="left"/>
            </w:pPr>
            <w:r>
              <w:t xml:space="preserve">Dwelling Unit Density</w:t>
            </w:r>
          </w:p>
        </w:tc>
        <w:tc>
          <w:tcPr/>
          <w:p>
            <w:pPr>
              <w:pStyle w:val="Compact"/>
              <w:jc w:val="left"/>
            </w:pPr>
            <w:r>
              <w:t xml:space="preserve">+50%</w:t>
            </w:r>
          </w:p>
        </w:tc>
        <w:tc>
          <w:tcPr/>
          <w:p>
            <w:pPr>
              <w:pStyle w:val="Compact"/>
              <w:jc w:val="left"/>
            </w:pPr>
            <w:r>
              <w:t xml:space="preserve">+50%</w:t>
            </w:r>
          </w:p>
        </w:tc>
        <w:tc>
          <w:tcPr/>
          <w:p>
            <w:pPr>
              <w:pStyle w:val="Compact"/>
            </w:pPr>
          </w:p>
        </w:tc>
      </w:tr>
      <w:tr>
        <w:tc>
          <w:tcPr/>
          <w:p>
            <w:pPr>
              <w:pStyle w:val="Compact"/>
            </w:pPr>
          </w:p>
        </w:tc>
        <w:tc>
          <w:tcPr/>
          <w:p>
            <w:pPr>
              <w:pStyle w:val="Compact"/>
              <w:jc w:val="left"/>
            </w:pPr>
            <w:r>
              <w:t xml:space="preserve">Lot Building Coverage</w:t>
            </w:r>
          </w:p>
        </w:tc>
        <w:tc>
          <w:tcPr/>
          <w:p>
            <w:pPr>
              <w:pStyle w:val="Compact"/>
              <w:jc w:val="left"/>
            </w:pPr>
            <w:r>
              <w:t xml:space="preserve">+25%</w:t>
            </w:r>
          </w:p>
        </w:tc>
        <w:tc>
          <w:tcPr/>
          <w:p>
            <w:pPr>
              <w:pStyle w:val="Compact"/>
              <w:jc w:val="left"/>
            </w:pPr>
            <w:r>
              <w:t xml:space="preserve">Not Applicable</w:t>
            </w:r>
          </w:p>
        </w:tc>
        <w:tc>
          <w:tcPr/>
          <w:p>
            <w:pPr>
              <w:pStyle w:val="Compact"/>
            </w:pPr>
          </w:p>
        </w:tc>
      </w:tr>
      <w:tr>
        <w:tc>
          <w:tcPr/>
          <w:p>
            <w:pPr>
              <w:pStyle w:val="Compact"/>
            </w:pPr>
          </w:p>
        </w:tc>
        <w:tc>
          <w:tcPr/>
          <w:p>
            <w:pPr>
              <w:pStyle w:val="Compact"/>
              <w:jc w:val="left"/>
            </w:pPr>
            <w:r>
              <w:t xml:space="preserve">Required Parking</w:t>
            </w:r>
          </w:p>
        </w:tc>
        <w:tc>
          <w:tcPr/>
          <w:p>
            <w:pPr>
              <w:pStyle w:val="Compact"/>
              <w:jc w:val="left"/>
            </w:pPr>
            <w:r>
              <w:t xml:space="preserve">-50%</w:t>
            </w:r>
          </w:p>
        </w:tc>
        <w:tc>
          <w:tcPr/>
          <w:p>
            <w:pPr>
              <w:pStyle w:val="Compact"/>
              <w:jc w:val="left"/>
            </w:pPr>
            <w:r>
              <w:t xml:space="preserve">-50%</w:t>
            </w:r>
          </w:p>
        </w:tc>
        <w:tc>
          <w:tcPr/>
          <w:p>
            <w:pPr>
              <w:pStyle w:val="Compact"/>
            </w:pPr>
          </w:p>
        </w:tc>
      </w:tr>
      <w:tr>
        <w:tc>
          <w:tcPr/>
          <w:p>
            <w:pPr>
              <w:pStyle w:val="Compact"/>
              <w:jc w:val="left"/>
            </w:pPr>
            <w:r>
              <w:t xml:space="preserve">1905 A. B. C.</w:t>
            </w:r>
          </w:p>
        </w:tc>
        <w:tc>
          <w:tcPr/>
          <w:p>
            <w:pPr>
              <w:pStyle w:val="Compact"/>
              <w:jc w:val="left"/>
            </w:pPr>
            <w:r>
              <w:t xml:space="preserve">The City Plan Commission 3. Districts, and the TOD ADMINISTRATIVE DEVELOPMENT Purpose The purpose of administrative determine compliance with Authority The administrative officer(s) development plan review. Applicability The administrative 1. development plan review: Any development a. that results in a All new construction b. existing structures, All new construction c. Any new pavement d. Any development e. Gas stations. f. Materials Processing. g. Tank Farms. h.</w:t>
            </w:r>
          </w:p>
        </w:tc>
        <w:tc>
          <w:tcPr/>
          <w:p>
            <w:pPr>
              <w:pStyle w:val="Compact"/>
              <w:jc w:val="left"/>
            </w:pPr>
            <w:r>
              <w:t xml:space="preserve">may modify design Overlay District. PLAN REVIEW development plan review this Ordinance. designated by the City Plan officer(s) review the following or redevelopment on a lot or lots change of use. of more than 2,500 square within the C-2, C-3, M-MU, and of rowhouse developments and with an area of 10,000 square that includes a drive-through facility.</w:t>
            </w:r>
          </w:p>
        </w:tc>
        <w:tc>
          <w:tcPr/>
          <w:p>
            <w:pPr>
              <w:pStyle w:val="Compact"/>
              <w:jc w:val="left"/>
            </w:pPr>
            <w:r>
              <w:t xml:space="preserve">regulations of the C-2, C-3, M-MU, is to review proposed Commission may approve a project types of development under with a total of 40,000 square feet of gross floor area, including W-2 Districts. multi-family dwellings. feet or more.</w:t>
            </w:r>
          </w:p>
        </w:tc>
        <w:tc>
          <w:tcPr/>
          <w:p>
            <w:pPr>
              <w:pStyle w:val="Compact"/>
              <w:jc w:val="left"/>
            </w:pPr>
            <w:r>
              <w:t xml:space="preserve">and W-2 developments to subject to administrative feet or more additions to</w:t>
            </w:r>
          </w:p>
        </w:tc>
      </w:tr>
    </w:tbl>
    <w:bookmarkEnd w:id="163"/>
    <w:bookmarkStart w:id="164" w:name="Xea3998fd628da489de9c10937c8754a108bcaf1"/>
    <w:p>
      <w:pPr>
        <w:pStyle w:val="Heading2"/>
      </w:pPr>
      <w:r>
        <w:t xml:space="preserve">§ 1906. CITY PLAN COMMISSION FORMAL DEVELOPMENT PLAN REVIEW</w:t>
      </w:r>
    </w:p>
    <w:p>
      <w:pPr>
        <w:pStyle w:val="FirstParagraph"/>
      </w:pPr>
      <w:r>
        <w:t xml:space="preserve">1906 CITY PLAN COMMISSION FORMAL DEVELOPMENT PLAN REVIEW</w:t>
      </w:r>
    </w:p>
    <w:p>
      <w:pPr>
        <w:numPr>
          <w:ilvl w:val="0"/>
          <w:numId w:val="3339"/>
        </w:numPr>
      </w:pPr>
      <w:r>
        <w:t xml:space="preserve">A. Purpose The purpose of City Plan Commission formal development plan review is to review proposed developments to determine compliance with this Ordinance.</w:t>
      </w:r>
    </w:p>
    <w:p>
      <w:pPr>
        <w:numPr>
          <w:ilvl w:val="0"/>
          <w:numId w:val="3340"/>
        </w:numPr>
      </w:pPr>
      <w:r>
        <w:t xml:space="preserve">B. Authority The City Plan Commission may approve a project subject to formal development plan review.</w:t>
      </w:r>
    </w:p>
    <w:p>
      <w:pPr>
        <w:numPr>
          <w:ilvl w:val="0"/>
          <w:numId w:val="3341"/>
        </w:numPr>
      </w:pPr>
      <w:r>
        <w:t xml:space="preserve">C. Applicability</w:t>
      </w:r>
    </w:p>
    <w:p>
      <w:pPr>
        <w:numPr>
          <w:ilvl w:val="0"/>
          <w:numId w:val="1000"/>
        </w:numPr>
      </w:pPr>
      <w:r>
        <w:t xml:space="preserve">1. The City Plan Commission reviews the following types of development under formal development plan review: a. Educational Facilities- Primary or Secondary, as required by Section 1202.M.</w:t>
      </w:r>
    </w:p>
    <w:p>
      <w:pPr>
        <w:pStyle w:val="Compact"/>
        <w:numPr>
          <w:ilvl w:val="0"/>
          <w:numId w:val="3342"/>
        </w:numPr>
      </w:pPr>
    </w:p>
    <w:p>
      <w:pPr>
        <w:numPr>
          <w:ilvl w:val="1"/>
          <w:numId w:val="3343"/>
        </w:numPr>
      </w:pPr>
      <w:r>
        <w:t xml:space="preserve">b. Waivers from ground-floor design regulations contained in Section 503.A.8 of this Ordinance.</w:t>
      </w:r>
    </w:p>
    <w:p>
      <w:pPr>
        <w:pStyle w:val="Compact"/>
        <w:numPr>
          <w:ilvl w:val="0"/>
          <w:numId w:val="3344"/>
        </w:numPr>
      </w:pPr>
    </w:p>
    <w:p>
      <w:pPr>
        <w:numPr>
          <w:ilvl w:val="1"/>
          <w:numId w:val="3345"/>
        </w:numPr>
      </w:pPr>
      <w:r>
        <w:t xml:space="preserve">c. Any development plan review applications requiring relief from the literal provisions of the Zoning Ordinance in the form of a variance or special use permit.</w:t>
      </w:r>
    </w:p>
    <w:p>
      <w:pPr>
        <w:numPr>
          <w:ilvl w:val="0"/>
          <w:numId w:val="3346"/>
        </w:numPr>
      </w:pPr>
      <w:r>
        <w:t xml:space="preserve">D. Procedure</w:t>
      </w:r>
    </w:p>
    <w:p>
      <w:pPr>
        <w:numPr>
          <w:ilvl w:val="0"/>
          <w:numId w:val="1000"/>
        </w:numPr>
      </w:pPr>
      <w:r>
        <w:t xml:space="preserve">1. The procedures for City Plan Commission formal development plan review are set forth in the development review regulations adopted by the City Plan Commission.</w:t>
      </w:r>
    </w:p>
    <w:bookmarkEnd w:id="164"/>
    <w:bookmarkStart w:id="165" w:name="X1c6d1bf5bd12bd43d2fca90dbc6d2a8fe388cb4"/>
    <w:p>
      <w:pPr>
        <w:pStyle w:val="Heading2"/>
      </w:pPr>
      <w:r>
        <w:t xml:space="preserve">§ 1907. D-1 DISTRICT FORMAL AND ADMINISTRATIVE DEVELOPMENT PLAN REVIEW</w:t>
      </w:r>
    </w:p>
    <w:p>
      <w:pPr>
        <w:pStyle w:val="FirstParagraph"/>
      </w:pPr>
      <w:r>
        <w:t xml:space="preserve">1907 D-1 DISTRICT FORMAL AND ADMINISTRATIVE DEVELOPMENT PLAN REVIEW</w:t>
      </w:r>
    </w:p>
    <w:p>
      <w:pPr>
        <w:numPr>
          <w:ilvl w:val="0"/>
          <w:numId w:val="3347"/>
        </w:numPr>
      </w:pPr>
      <w:r>
        <w:t xml:space="preserve">A. Purpose The purpose of the D-1 District is to encourage and direct development in the downtown to ensure that: new development is compatible with the existing historic building fabric and the historic character of downtown; historic structures are preserved and design alterations of existing buildings are in keeping with historic character; development encourages day and night time activities that relate to the pedestrian and promote the arts, entertainment and housing; greenways and open spaces are incorporated into the downtown; and the goals of the Comprehensive Plan are achieved. The design of the exterior of all buildings, open spaces and all exterior physical improvements in the D-1 District are approved through development plan review in accordance with the provisions of this section.</w:t>
      </w:r>
    </w:p>
    <w:p>
      <w:pPr>
        <w:numPr>
          <w:ilvl w:val="0"/>
          <w:numId w:val="3348"/>
        </w:numPr>
      </w:pPr>
      <w:r>
        <w:t xml:space="preserve">B. Authority The Downtown Design Review Committee, acting as a technical review committee or the administrative officer are the permitting authorities that approve a development plan review application.</w:t>
      </w:r>
    </w:p>
    <w:p>
      <w:pPr>
        <w:numPr>
          <w:ilvl w:val="0"/>
          <w:numId w:val="3349"/>
        </w:numPr>
      </w:pPr>
      <w:r>
        <w:t xml:space="preserve">C. Applicability</w:t>
      </w:r>
    </w:p>
    <w:p>
      <w:pPr>
        <w:numPr>
          <w:ilvl w:val="0"/>
          <w:numId w:val="1000"/>
        </w:numPr>
      </w:pPr>
      <w:r>
        <w:t xml:space="preserve">1. The Downtown Design Review Committee, through formal development plan review, is authorized to regulate public and private land in the D-1 District including the following: a. New construction of buildings or appurtenances in the DD Overlay District.</w:t>
      </w:r>
    </w:p>
    <w:p>
      <w:pPr>
        <w:pStyle w:val="Compact"/>
        <w:numPr>
          <w:ilvl w:val="0"/>
          <w:numId w:val="3350"/>
        </w:numPr>
      </w:pPr>
    </w:p>
    <w:p>
      <w:pPr>
        <w:numPr>
          <w:ilvl w:val="1"/>
          <w:numId w:val="3351"/>
        </w:numPr>
      </w:pPr>
      <w:r>
        <w:t xml:space="preserve">b. Major alterations and additions to existing buildings or appurtenances in the DD Overlay District.</w:t>
      </w:r>
    </w:p>
    <w:p>
      <w:pPr>
        <w:pStyle w:val="Compact"/>
        <w:numPr>
          <w:ilvl w:val="0"/>
          <w:numId w:val="3352"/>
        </w:numPr>
      </w:pPr>
    </w:p>
    <w:p>
      <w:pPr>
        <w:numPr>
          <w:ilvl w:val="1"/>
          <w:numId w:val="3353"/>
        </w:numPr>
      </w:pPr>
      <w:r>
        <w:t xml:space="preserve">c. Demolition and removal of buildings or appurtenances.</w:t>
      </w:r>
    </w:p>
    <w:p>
      <w:pPr>
        <w:pStyle w:val="Compact"/>
        <w:numPr>
          <w:ilvl w:val="0"/>
          <w:numId w:val="3354"/>
        </w:numPr>
      </w:pPr>
    </w:p>
    <w:p>
      <w:pPr>
        <w:numPr>
          <w:ilvl w:val="1"/>
          <w:numId w:val="3355"/>
        </w:numPr>
      </w:pPr>
      <w:r>
        <w:t xml:space="preserve">d. Moving of structures.</w:t>
      </w:r>
    </w:p>
    <w:p>
      <w:pPr>
        <w:pStyle w:val="Compact"/>
        <w:numPr>
          <w:ilvl w:val="0"/>
          <w:numId w:val="3356"/>
        </w:numPr>
      </w:pPr>
    </w:p>
    <w:p>
      <w:pPr>
        <w:numPr>
          <w:ilvl w:val="1"/>
          <w:numId w:val="3357"/>
        </w:numPr>
      </w:pPr>
      <w:r>
        <w:t xml:space="preserve">e. The Downtown Design Review Committee may waive design regulations as authorized by Article 6 in conjunction with projects under its review.</w:t>
      </w:r>
    </w:p>
    <w:p>
      <w:pPr>
        <w:numPr>
          <w:ilvl w:val="0"/>
          <w:numId w:val="3358"/>
        </w:numPr>
      </w:pPr>
      <w:r>
        <w:t xml:space="preserve">2. The administrative officer, through administrative development plan review, is authorized to regulate public and private land in the D-1 District including the following: a. New construction of buildings or appurtenances outside of the DD Overlay District.</w:t>
      </w:r>
    </w:p>
    <w:p>
      <w:pPr>
        <w:pStyle w:val="Compact"/>
        <w:numPr>
          <w:ilvl w:val="0"/>
          <w:numId w:val="3359"/>
        </w:numPr>
      </w:pPr>
    </w:p>
    <w:p>
      <w:pPr>
        <w:numPr>
          <w:ilvl w:val="1"/>
          <w:numId w:val="3360"/>
        </w:numPr>
      </w:pPr>
      <w:r>
        <w:t xml:space="preserve">b. Major alterations and additions to existing buildings or appurtenances outside of the DD Overlay District.</w:t>
      </w:r>
    </w:p>
    <w:p>
      <w:pPr>
        <w:pStyle w:val="Compact"/>
        <w:numPr>
          <w:ilvl w:val="0"/>
          <w:numId w:val="3361"/>
        </w:numPr>
      </w:pPr>
    </w:p>
    <w:p>
      <w:pPr>
        <w:numPr>
          <w:ilvl w:val="1"/>
          <w:numId w:val="3362"/>
        </w:numPr>
      </w:pPr>
      <w:r>
        <w:t xml:space="preserve">c. Minor alterations to existing buildings or appurtenances, including repairs, replacement and restoration of the exterior.</w:t>
      </w:r>
    </w:p>
    <w:p>
      <w:pPr>
        <w:pStyle w:val="Compact"/>
        <w:numPr>
          <w:ilvl w:val="0"/>
          <w:numId w:val="3363"/>
        </w:numPr>
      </w:pPr>
    </w:p>
    <w:p>
      <w:pPr>
        <w:numPr>
          <w:ilvl w:val="1"/>
          <w:numId w:val="3364"/>
        </w:numPr>
      </w:pPr>
      <w:r>
        <w:t xml:space="preserve">d. Site improvements.</w:t>
      </w:r>
    </w:p>
    <w:p>
      <w:pPr>
        <w:pStyle w:val="Compact"/>
        <w:numPr>
          <w:ilvl w:val="0"/>
          <w:numId w:val="3365"/>
        </w:numPr>
      </w:pPr>
    </w:p>
    <w:p>
      <w:pPr>
        <w:numPr>
          <w:ilvl w:val="1"/>
          <w:numId w:val="3366"/>
        </w:numPr>
      </w:pPr>
      <w:r>
        <w:t xml:space="preserve">e. Public art.</w:t>
      </w:r>
    </w:p>
    <w:p>
      <w:pPr>
        <w:pStyle w:val="Compact"/>
        <w:numPr>
          <w:ilvl w:val="0"/>
          <w:numId w:val="3367"/>
        </w:numPr>
      </w:pPr>
    </w:p>
    <w:p>
      <w:pPr>
        <w:numPr>
          <w:ilvl w:val="1"/>
          <w:numId w:val="3368"/>
        </w:numPr>
      </w:pPr>
      <w:r>
        <w:t xml:space="preserve">f. The administrative officer may waive design regulations as authorized by Article 6 in conjunction with projects under its review.</w:t>
      </w:r>
    </w:p>
    <w:p>
      <w:pPr>
        <w:numPr>
          <w:ilvl w:val="0"/>
          <w:numId w:val="3369"/>
        </w:numPr>
      </w:pPr>
      <w:r>
        <w:t xml:space="preserve">3. This section does not apply to improvements to properties located in the I-195 Redevelopment District, a Historic District, or the Industrial and Commercial Buildings District.</w:t>
      </w:r>
    </w:p>
    <w:p>
      <w:pPr>
        <w:numPr>
          <w:ilvl w:val="0"/>
          <w:numId w:val="3370"/>
        </w:numPr>
      </w:pPr>
      <w:r>
        <w:t xml:space="preserve">4. Prior to any review required by this section being conducted, any project on property owned by a health care institution or university or college educational facility shall have first been approved as part of an institutional master plan and, if necessary, shall have received a special use permit.</w:t>
      </w:r>
    </w:p>
    <w:p>
      <w:pPr>
        <w:numPr>
          <w:ilvl w:val="0"/>
          <w:numId w:val="3371"/>
        </w:numPr>
      </w:pPr>
      <w:r>
        <w:t xml:space="preserve">5. No Downtown Design Review Committee or administrative officer approval is necessary for the following: a. The painting of previously painted surfaces.</w:t>
      </w:r>
    </w:p>
    <w:p>
      <w:pPr>
        <w:pStyle w:val="Compact"/>
        <w:numPr>
          <w:ilvl w:val="0"/>
          <w:numId w:val="3372"/>
        </w:numPr>
      </w:pPr>
    </w:p>
    <w:p>
      <w:pPr>
        <w:numPr>
          <w:ilvl w:val="1"/>
          <w:numId w:val="3373"/>
        </w:numPr>
      </w:pPr>
      <w:r>
        <w:t xml:space="preserve">b. The installation of traffic signs.</w:t>
      </w:r>
    </w:p>
    <w:p>
      <w:pPr>
        <w:pStyle w:val="Compact"/>
        <w:numPr>
          <w:ilvl w:val="0"/>
          <w:numId w:val="3374"/>
        </w:numPr>
      </w:pPr>
    </w:p>
    <w:p>
      <w:pPr>
        <w:numPr>
          <w:ilvl w:val="1"/>
          <w:numId w:val="3375"/>
        </w:numPr>
      </w:pPr>
      <w:r>
        <w:t xml:space="preserve">c. Street improvements such as plant material, street paving, curbing, drainage.</w:t>
      </w:r>
    </w:p>
    <w:p>
      <w:pPr>
        <w:pStyle w:val="Compact"/>
        <w:numPr>
          <w:ilvl w:val="0"/>
          <w:numId w:val="3376"/>
        </w:numPr>
      </w:pPr>
    </w:p>
    <w:p>
      <w:pPr>
        <w:numPr>
          <w:ilvl w:val="1"/>
          <w:numId w:val="3377"/>
        </w:numPr>
      </w:pPr>
      <w:r>
        <w:t xml:space="preserve">D. Procedure</w:t>
      </w:r>
    </w:p>
    <w:p>
      <w:pPr>
        <w:numPr>
          <w:ilvl w:val="1"/>
          <w:numId w:val="1000"/>
        </w:numPr>
      </w:pPr>
      <w:r>
        <w:t xml:space="preserve">1. The procedures for City Plan Commission formal development plan review are set forth in the development review regulations adopted by the City Plan Commission.</w:t>
      </w:r>
    </w:p>
    <w:p>
      <w:pPr>
        <w:pStyle w:val="Compact"/>
        <w:numPr>
          <w:ilvl w:val="0"/>
          <w:numId w:val="3378"/>
        </w:numPr>
      </w:pPr>
    </w:p>
    <w:p>
      <w:pPr>
        <w:numPr>
          <w:ilvl w:val="1"/>
          <w:numId w:val="3379"/>
        </w:numPr>
      </w:pPr>
      <w:r>
        <w:t xml:space="preserve">E. Waivers</w:t>
      </w:r>
    </w:p>
    <w:p>
      <w:pPr>
        <w:numPr>
          <w:ilvl w:val="1"/>
          <w:numId w:val="1000"/>
        </w:numPr>
      </w:pPr>
      <w:r>
        <w:t xml:space="preserve">1. Downtown District Waivers Generally a. Where specifically authorized by the D-1 District, and in accordance with all requirements herein, the Downtown Design Review Committee and administrative officer may grant waivers that carry out the purpose of the D-1 District and are in harmony with the general purposes and intent of these regulations. In granting a waiver, the review body may impose such conditions deemed necessary to carry out the purpose of the D-1 District.</w:t>
      </w:r>
    </w:p>
    <w:p>
      <w:pPr>
        <w:pStyle w:val="Compact"/>
        <w:numPr>
          <w:ilvl w:val="0"/>
          <w:numId w:val="3380"/>
        </w:numPr>
      </w:pPr>
    </w:p>
    <w:p>
      <w:pPr>
        <w:pStyle w:val="Compact"/>
        <w:numPr>
          <w:ilvl w:val="1"/>
          <w:numId w:val="3381"/>
        </w:numPr>
      </w:pPr>
    </w:p>
    <w:p>
      <w:pPr>
        <w:numPr>
          <w:ilvl w:val="2"/>
          <w:numId w:val="3382"/>
        </w:numPr>
      </w:pPr>
      <w:r>
        <w:t xml:space="preserve">b. Whenever an application for formal development plan review requests a waiver to the regulations of this Section, a public hearing is required in accordance with the development review regulations adopted by the City Plan Commission.</w:t>
      </w:r>
    </w:p>
    <w:p>
      <w:pPr>
        <w:numPr>
          <w:ilvl w:val="0"/>
          <w:numId w:val="3383"/>
        </w:numPr>
      </w:pPr>
      <w:r>
        <w:t xml:space="preserve">2. Downtown District Demolition Waivers</w:t>
      </w:r>
    </w:p>
    <w:p>
      <w:pPr>
        <w:numPr>
          <w:ilvl w:val="0"/>
          <w:numId w:val="1000"/>
        </w:numPr>
      </w:pPr>
      <w:r>
        <w:t xml:space="preserve">a. Purpose In order to preserve the urban fabric of the D-1 District, no building may be demolished, in whole or in part, until the Downtown Design Review Committee has granted a waiver to demolish the building and has approved plans for new construction. The review process for demolition waivers is contained in the development review regulations adopted by the City Plan Commission.</w:t>
      </w:r>
    </w:p>
    <w:p>
      <w:pPr>
        <w:pStyle w:val="Compact"/>
        <w:numPr>
          <w:ilvl w:val="0"/>
          <w:numId w:val="3384"/>
        </w:numPr>
      </w:pPr>
    </w:p>
    <w:p>
      <w:pPr>
        <w:numPr>
          <w:ilvl w:val="1"/>
          <w:numId w:val="3385"/>
        </w:numPr>
      </w:pPr>
      <w:r>
        <w:t xml:space="preserve">b. Emergency Demolition Should the Director of the Department of Inspection and Standards determine that a structure is unsafe or hazardous and an imminent hazard to public safety for a reason such as being in danger of imminent collapse from damage caused by human action or an act of God, a committee consisting of the Director of the Department of Inspection and Standards, Fire Marshal, Planning Director, a structural engineer to be hired under City auspices, and the Chair of the Downtown Design Review Committee, or their designees, shall convene immediately to evaluate whether the structure should be demolished. The committee shall evaluate all pertinent information including, but not limited to, the structural condition of the structure, the historic value of the structure, and the danger to the public. The Director may order partial or full demolition based on the consensus of the committee. If the Director of the Department of Inspection and Standards, in consultation with on-site life safety officials, determines that the structure is in danger of imminent collapse or is an immediate danger to public safety and there is no time to convene the aforementioned committee, he/she may order the structure demolished immediately. The Director of the Department of Inspection and Standards shall issue a report to the Downtown Design Review Committee stating the reasons for the order. When a principal-use parking structure, which is the sole use of a property, is deemed unsafe by the Director of the Department of Inspection and Standards, or his/her designee, and ordered demolished during the Covid-19 pandemic and then-pending Executive Emergency Orders, i.e. from March 8, 2020 through October 2, 2021, the footprint of the principal-use parking structure may be used as a principal-use parking lot. Said parking lot shall be considered a nonconforming use and shall comply with all regulations of this ordinance for such parking lots, including, but not limited to, landscaping, striping, and groundwater drainage.</w:t>
      </w:r>
    </w:p>
    <w:p>
      <w:pPr>
        <w:pStyle w:val="Compact"/>
        <w:numPr>
          <w:ilvl w:val="0"/>
          <w:numId w:val="3386"/>
        </w:numPr>
      </w:pPr>
    </w:p>
    <w:p>
      <w:pPr>
        <w:numPr>
          <w:ilvl w:val="1"/>
          <w:numId w:val="3387"/>
        </w:numPr>
      </w:pPr>
      <w:r>
        <w:t xml:space="preserve">F. Development Incentives</w:t>
      </w:r>
    </w:p>
    <w:p>
      <w:pPr>
        <w:numPr>
          <w:ilvl w:val="1"/>
          <w:numId w:val="1000"/>
        </w:numPr>
      </w:pPr>
      <w:r>
        <w:t xml:space="preserve">1. The Downtown Design Review Committee is authorized to grant development incentives in the form of height bonuses in accordance with the provisions of the D-1 District. The review process for development incentives is contained in the development review regulations adopted by the City Plan Commission</w:t>
      </w:r>
    </w:p>
    <w:bookmarkEnd w:id="165"/>
    <w:bookmarkStart w:id="166" w:name="Xe7c2aff76d95730426c6c580b304f8cb8934b8d"/>
    <w:p>
      <w:pPr>
        <w:pStyle w:val="Heading2"/>
      </w:pPr>
      <w:r>
        <w:t xml:space="preserve">§ 1908. ES OVERLAY DISTRICT FORMAL DEVELOPMENT PLAN REVIEW</w:t>
      </w:r>
    </w:p>
    <w:p>
      <w:pPr>
        <w:pStyle w:val="FirstParagraph"/>
      </w:pPr>
      <w:r>
        <w:t xml:space="preserve">1908 ES OVERLAY DISTRICT FORMAL DEVELOPMENT PLAN REVIEW</w:t>
      </w:r>
    </w:p>
    <w:p>
      <w:pPr>
        <w:numPr>
          <w:ilvl w:val="0"/>
          <w:numId w:val="3388"/>
        </w:numPr>
      </w:pPr>
      <w:r>
        <w:t xml:space="preserve">A. Purpose The ES East Side I-195 Overlay District is hereby created in recognition of the need to guide the future land use and development of the East Side I-195 surplus land made available through the relocation of I- 195. The regulations provided in the overlay district will ensure that future development establishes an urban block structure, creates continuous building frontages, and promotes urban vibrancy. Furthermore, the regulations will foster development that is context-sensitive, pedestrian-friendly, and mixed-use, and improves pedestrian and vehicular accessibility in the Fox Point neighborhood and along the Providence Riverfront.</w:t>
      </w:r>
    </w:p>
    <w:p>
      <w:pPr>
        <w:numPr>
          <w:ilvl w:val="0"/>
          <w:numId w:val="3389"/>
        </w:numPr>
      </w:pPr>
      <w:r>
        <w:t xml:space="preserve">B. Authority The Downtown Design Review Committee approves a development plan review application in the ES Overlay District.</w:t>
      </w:r>
    </w:p>
    <w:p>
      <w:pPr>
        <w:numPr>
          <w:ilvl w:val="0"/>
          <w:numId w:val="3390"/>
        </w:numPr>
      </w:pPr>
      <w:r>
        <w:t xml:space="preserve">C. Applicability All development in the ES Overlay District requires review by the Downtown Design Review Committee.</w:t>
      </w:r>
    </w:p>
    <w:p>
      <w:pPr>
        <w:numPr>
          <w:ilvl w:val="0"/>
          <w:numId w:val="3391"/>
        </w:numPr>
      </w:pPr>
      <w:r>
        <w:t xml:space="preserve">D. Procedure Development plan review in the I-195 Redevelopment District is conducted by the Downtown Design Review Committee in accordance with the procedures of Section 1907 for Downtown Design Review Committee development plan review.</w:t>
      </w:r>
    </w:p>
    <w:p>
      <w:pPr>
        <w:numPr>
          <w:ilvl w:val="0"/>
          <w:numId w:val="3392"/>
        </w:numPr>
      </w:pPr>
      <w:r>
        <w:t xml:space="preserve">E. Waivers The Downtown Design Review Committee may grant waivers for any of the regulations provided herein that are in harmony with the general purposes and intent of the ES Overlay District regulations. Where specified in the ES Overlay District, certain limitations are placed on the granting of waivers. In granting a waiver, the Downtown Design Review Committee may impose conditions deemed necessary to carry out the purpose of the ES Overlay District. In addition, the Downtown Design Review Committee shall make positive written findings on each of the following provisions:</w:t>
      </w:r>
    </w:p>
    <w:p>
      <w:pPr>
        <w:numPr>
          <w:ilvl w:val="0"/>
          <w:numId w:val="3393"/>
        </w:numPr>
      </w:pPr>
      <w:r>
        <w:t xml:space="preserve">1. Literal enforcement of the provision for which a waiver is sought is impracticable.</w:t>
      </w:r>
    </w:p>
    <w:p>
      <w:pPr>
        <w:numPr>
          <w:ilvl w:val="0"/>
          <w:numId w:val="3394"/>
        </w:numPr>
      </w:pPr>
      <w:r>
        <w:t xml:space="preserve">2. The design or development condition resulting from the waiver has no adverse impact on the surrounding natural environment, built environment, or pedestrian and traffic circulation.</w:t>
      </w:r>
    </w:p>
    <w:p>
      <w:pPr>
        <w:numPr>
          <w:ilvl w:val="0"/>
          <w:numId w:val="3395"/>
        </w:numPr>
      </w:pPr>
      <w:r>
        <w:t xml:space="preserve">3. Granting of the waiver is in the best interest of good planning, urban design, and/or architecture practice, as evidenced by consistency with the Comprehensive Plan and Zoning Ordinance.</w:t>
      </w:r>
    </w:p>
    <w:p>
      <w:pPr>
        <w:pStyle w:val="Compact"/>
        <w:numPr>
          <w:ilvl w:val="0"/>
          <w:numId w:val="3396"/>
        </w:numPr>
      </w:pPr>
    </w:p>
    <w:p>
      <w:pPr>
        <w:numPr>
          <w:ilvl w:val="1"/>
          <w:numId w:val="3397"/>
        </w:numPr>
      </w:pPr>
      <w:r>
        <w:t xml:space="preserve">F. Development Incentives In granting a development incentive, the Downtown Design Review Committee may impose such conditions deemed necessary to carry out the purpose of the ES Overlay District. Whenever an application requests a development incentive to the regulations of the ES Overlay District, a public hearing is required and shall meet the same requirements as a Zoning Board of Review public hearing. In granting a development incentive, the Downtown Design Review Committee shall make positive written findings on each of the following provisions: a. The design or development condition resulting from the development incentive has no adverse impact on the surrounding natural environment, built environment, or pedestrian and traffic circulation.</w:t>
      </w:r>
    </w:p>
    <w:p>
      <w:pPr>
        <w:pStyle w:val="Compact"/>
        <w:numPr>
          <w:ilvl w:val="0"/>
          <w:numId w:val="3398"/>
        </w:numPr>
      </w:pPr>
    </w:p>
    <w:p>
      <w:pPr>
        <w:pStyle w:val="Compact"/>
        <w:numPr>
          <w:ilvl w:val="1"/>
          <w:numId w:val="3399"/>
        </w:numPr>
      </w:pPr>
    </w:p>
    <w:p>
      <w:pPr>
        <w:numPr>
          <w:ilvl w:val="2"/>
          <w:numId w:val="3400"/>
        </w:numPr>
      </w:pPr>
      <w:r>
        <w:t xml:space="preserve">b. Granting of the development incentive is in the best interest of good planning, urban design and/or architecture practice, as evidenced by consistency with the Comprehensive Plan and Zoning Ordinance.</w:t>
      </w:r>
    </w:p>
    <w:bookmarkEnd w:id="166"/>
    <w:bookmarkStart w:id="167" w:name="reserved-3"/>
    <w:p>
      <w:pPr>
        <w:pStyle w:val="Heading2"/>
      </w:pPr>
      <w:r>
        <w:t xml:space="preserve">§ 1909. RESERVED</w:t>
      </w:r>
    </w:p>
    <w:p>
      <w:pPr>
        <w:pStyle w:val="FirstParagraph"/>
      </w:pPr>
      <w:r>
        <w:t xml:space="preserve">1909 RESERVED</w:t>
      </w:r>
    </w:p>
    <w:bookmarkEnd w:id="167"/>
    <w:bookmarkStart w:id="168" w:name="Xded547e939add6ca684f1736eb24f305d615775"/>
    <w:p>
      <w:pPr>
        <w:pStyle w:val="Heading2"/>
      </w:pPr>
      <w:r>
        <w:t xml:space="preserve">§ 1910. INSTITUTIONAL MASTER PLAN FORMAL DEVELOPMENT PLAN REVIEW</w:t>
      </w:r>
    </w:p>
    <w:p>
      <w:pPr>
        <w:pStyle w:val="FirstParagraph"/>
      </w:pPr>
      <w:r>
        <w:t xml:space="preserve">1910 INSTITUTIONAL MASTER PLAN FORMAL DEVELOPMENT PLAN REVIEW</w:t>
      </w:r>
    </w:p>
    <w:p>
      <w:pPr>
        <w:numPr>
          <w:ilvl w:val="0"/>
          <w:numId w:val="3401"/>
        </w:numPr>
      </w:pPr>
      <w:r>
        <w:t xml:space="preserve">A. Purpose An institutional master plan is required to promote the orderly growth and development of health care institutions and university or college educational facilities while preserving neighborhood character, historic resources, and consistency with the City's Comprehensive Plan and adopted land use policies. The institutional master plan is a statement in text, maps, illustrations, and/or other media that provides a basis for rational decision-making regarding the long-term physical development of the institution.</w:t>
      </w:r>
    </w:p>
    <w:p>
      <w:pPr>
        <w:numPr>
          <w:ilvl w:val="0"/>
          <w:numId w:val="3402"/>
        </w:numPr>
      </w:pPr>
      <w:r>
        <w:t xml:space="preserve">B. Authority The City Plan Commission may approve an institutional master plan and institutional development plan review.</w:t>
      </w:r>
    </w:p>
    <w:p>
      <w:pPr>
        <w:numPr>
          <w:ilvl w:val="0"/>
          <w:numId w:val="3403"/>
        </w:numPr>
      </w:pPr>
      <w:r>
        <w:t xml:space="preserve">C. Applicability All health care institutions and university or college educational facilities shall file an institutional master plan with the City Plan Commission. The plan shall be updated every five years from the most recent date of approval, which includes any amendments to a plan. All updates shall show changes in the institution’s development plans and real property holdings. The institutional master plan may also be amended prior to the five year renewal. A building permit will not be issued to an institution whose institutional master plan approval is older than five years until an amendment to or renewal of such plan is filed with and approved by the City Plan Commission.</w:t>
      </w:r>
    </w:p>
    <w:p>
      <w:pPr>
        <w:numPr>
          <w:ilvl w:val="0"/>
          <w:numId w:val="3404"/>
        </w:numPr>
      </w:pPr>
      <w:r>
        <w:t xml:space="preserve">D. Procedure</w:t>
      </w:r>
    </w:p>
    <w:p>
      <w:pPr>
        <w:numPr>
          <w:ilvl w:val="0"/>
          <w:numId w:val="1000"/>
        </w:numPr>
      </w:pPr>
      <w:r>
        <w:t xml:space="preserve">1. Institutional Master Plan Pre-Submittal Public Participation Prior to formal submittal of an institutional master plan to the City Plan Commission, the institution shall undertake a public participation process. (This does not apply to the institutional development plan review.) The public participation process shall include: a. A minimum of one neighborhood presentation of the major proposals in the plan. Neighborhood organizations, elected officials, and Department of Planning and Development staff shall receive prior notice of this meeting, and shall have the opportunity in the meeting to provide comments.</w:t>
      </w:r>
    </w:p>
    <w:p>
      <w:pPr>
        <w:pStyle w:val="Compact"/>
        <w:numPr>
          <w:ilvl w:val="0"/>
          <w:numId w:val="3405"/>
        </w:numPr>
      </w:pPr>
    </w:p>
    <w:p>
      <w:pPr>
        <w:numPr>
          <w:ilvl w:val="1"/>
          <w:numId w:val="3406"/>
        </w:numPr>
      </w:pPr>
      <w:r>
        <w:t xml:space="preserve">b. A preliminary meeting before the City Plan Commission on a new or amended institutional master plan is required if the Director of the Department of Planning and Development deems that the scope of the institutional master plan is so significant that the meeting is warranted.</w:t>
      </w:r>
    </w:p>
    <w:p>
      <w:pPr>
        <w:numPr>
          <w:ilvl w:val="0"/>
          <w:numId w:val="3407"/>
        </w:numPr>
      </w:pPr>
      <w:r>
        <w:t xml:space="preserve">2. Action by City Plan Commission Institutional master plans and amendments to previously approved plans, and institutional development plan reviews shall be reviewed by the City Plan Commission for compliance with the City's Comprehensive Plan and this Ordinance at a regularly scheduled meeting of the City Plan Commission following submittal of a complete application.</w:t>
      </w:r>
    </w:p>
    <w:p>
      <w:pPr>
        <w:numPr>
          <w:ilvl w:val="0"/>
          <w:numId w:val="3408"/>
        </w:numPr>
      </w:pPr>
      <w:r>
        <w:t xml:space="preserve">3. Institutional Master Plan Submittal Requirements The institutional master plan shall contain, at minimum, the following: a. Mission statement of the institution including its relationship with the neighborhood and community in which it is physically situated.</w:t>
      </w:r>
    </w:p>
    <w:p>
      <w:pPr>
        <w:pStyle w:val="Compact"/>
        <w:numPr>
          <w:ilvl w:val="0"/>
          <w:numId w:val="3409"/>
        </w:numPr>
      </w:pPr>
    </w:p>
    <w:p>
      <w:pPr>
        <w:numPr>
          <w:ilvl w:val="1"/>
          <w:numId w:val="3410"/>
        </w:numPr>
      </w:pPr>
      <w:r>
        <w:t xml:space="preserve">b. Description of existing conditions that include a list of all properties owned or leased by the institution, arranged by assessors plat and lot and street address, existing uses by general land use category, including street level and all upper story uses, condition of structures, parking lots, open space, and other relevant existing conditions of the campus or grounds.</w:t>
      </w:r>
    </w:p>
    <w:p>
      <w:pPr>
        <w:pStyle w:val="Compact"/>
        <w:numPr>
          <w:ilvl w:val="0"/>
          <w:numId w:val="3411"/>
        </w:numPr>
      </w:pPr>
    </w:p>
    <w:p>
      <w:pPr>
        <w:numPr>
          <w:ilvl w:val="1"/>
          <w:numId w:val="3412"/>
        </w:numPr>
      </w:pPr>
      <w:r>
        <w:t xml:space="preserve">c. A list of properties on the National Register of Historic Places or designations of a local historic district, and proposed exterior changes to these properties.</w:t>
      </w:r>
    </w:p>
    <w:p>
      <w:pPr>
        <w:pStyle w:val="Compact"/>
        <w:numPr>
          <w:ilvl w:val="0"/>
          <w:numId w:val="3413"/>
        </w:numPr>
      </w:pPr>
    </w:p>
    <w:p>
      <w:pPr>
        <w:numPr>
          <w:ilvl w:val="1"/>
          <w:numId w:val="3414"/>
        </w:numPr>
      </w:pPr>
      <w:r>
        <w:t xml:space="preserve">d. Statement of ten year goals and five year objectives, and means and approaches through which such goals and objectives may be reached.</w:t>
      </w:r>
    </w:p>
    <w:p>
      <w:pPr>
        <w:pStyle w:val="Compact"/>
        <w:numPr>
          <w:ilvl w:val="0"/>
          <w:numId w:val="3415"/>
        </w:numPr>
      </w:pPr>
    </w:p>
    <w:p>
      <w:pPr>
        <w:numPr>
          <w:ilvl w:val="1"/>
          <w:numId w:val="3416"/>
        </w:numPr>
      </w:pPr>
      <w:r>
        <w:t xml:space="preserve">e. Proposed changes in land holdings of the institution including newly acquired property and property to be sold.</w:t>
      </w:r>
    </w:p>
    <w:p>
      <w:pPr>
        <w:pStyle w:val="Compact"/>
        <w:numPr>
          <w:ilvl w:val="0"/>
          <w:numId w:val="3417"/>
        </w:numPr>
      </w:pPr>
    </w:p>
    <w:p>
      <w:pPr>
        <w:numPr>
          <w:ilvl w:val="1"/>
          <w:numId w:val="3418"/>
        </w:numPr>
      </w:pPr>
      <w:r>
        <w:t xml:space="preserve">f. Proposed streets to be abandoned and new streets to be established, including private rightsof-ways.</w:t>
      </w:r>
    </w:p>
    <w:p>
      <w:pPr>
        <w:pStyle w:val="Compact"/>
        <w:numPr>
          <w:ilvl w:val="0"/>
          <w:numId w:val="3419"/>
        </w:numPr>
      </w:pPr>
    </w:p>
    <w:p>
      <w:pPr>
        <w:numPr>
          <w:ilvl w:val="1"/>
          <w:numId w:val="3420"/>
        </w:numPr>
      </w:pPr>
      <w:r>
        <w:t xml:space="preserve">g. Major repairs or renovations of a building involving more than 10,000 square feet of gross floor area that would result in a change of general land use category of such building.</w:t>
      </w:r>
    </w:p>
    <w:p>
      <w:pPr>
        <w:pStyle w:val="Compact"/>
        <w:numPr>
          <w:ilvl w:val="0"/>
          <w:numId w:val="3421"/>
        </w:numPr>
      </w:pPr>
    </w:p>
    <w:p>
      <w:pPr>
        <w:numPr>
          <w:ilvl w:val="1"/>
          <w:numId w:val="3422"/>
        </w:numPr>
      </w:pPr>
      <w:r>
        <w:t xml:space="preserve">h. New structures, additions to existing structures of more than 25% of gross floor area or 10,000 square feet of gross floor area, whichever is less, new or reconfigured parking facilities, new outdoor facilities, and any action that would result in the rerouting of traffic in the public right-ofway for a period of two weeks or longer.</w:t>
      </w:r>
    </w:p>
    <w:p>
      <w:pPr>
        <w:pStyle w:val="Compact"/>
        <w:numPr>
          <w:ilvl w:val="0"/>
          <w:numId w:val="3423"/>
        </w:numPr>
      </w:pPr>
    </w:p>
    <w:p>
      <w:pPr>
        <w:numPr>
          <w:ilvl w:val="1"/>
          <w:numId w:val="3424"/>
        </w:numPr>
      </w:pPr>
      <w:r>
        <w:t xml:space="preserve">i. Proposed demolition of any structure, parking garage, parking lot, park, or any other campus facility. In the event of demolition, the plan shall contain a tenant relocation program that contains, at a minimum, provisions relative to institutionally-owned residential structures intended for demolition. The relocation shall contain alternatives to demolition that will accommodate the interests of said tenants, the neighborhood, and the institutions, and provide for tenant relocation assistance.</w:t>
      </w:r>
    </w:p>
    <w:p>
      <w:pPr>
        <w:pStyle w:val="Compact"/>
        <w:numPr>
          <w:ilvl w:val="0"/>
          <w:numId w:val="3425"/>
        </w:numPr>
      </w:pPr>
    </w:p>
    <w:p>
      <w:pPr>
        <w:numPr>
          <w:ilvl w:val="1"/>
          <w:numId w:val="3426"/>
        </w:numPr>
      </w:pPr>
      <w:r>
        <w:t xml:space="preserve">j. A parking plan that shows the location of all institutional parking facilities on and off the campus. The plan shall identify the existing number of parking spaces, the location of new spaces required as a result of any proposed development, any proposed shuttle system between lots and campus facilities, and other information deemed appropriate.</w:t>
      </w:r>
    </w:p>
    <w:p>
      <w:pPr>
        <w:pStyle w:val="Compact"/>
        <w:numPr>
          <w:ilvl w:val="0"/>
          <w:numId w:val="3427"/>
        </w:numPr>
      </w:pPr>
    </w:p>
    <w:p>
      <w:pPr>
        <w:numPr>
          <w:ilvl w:val="1"/>
          <w:numId w:val="3428"/>
        </w:numPr>
      </w:pPr>
      <w:r>
        <w:t xml:space="preserve">k. Any proposed activity that would require an action by the Zoning Board of Review or City Council to implement. Any proposal for a special use permit to locate an institutional use in a Commercial or Downtown District shall be accompanied by a plan for the development of the lot or lots in question that demonstrates to the satisfaction of the City Plan Commission that the proposal is consistent with the mixed-use goals set forth in this Ordinance and in the plan for such district.</w:t>
      </w:r>
    </w:p>
    <w:p>
      <w:pPr>
        <w:pStyle w:val="Compact"/>
        <w:numPr>
          <w:ilvl w:val="0"/>
          <w:numId w:val="3429"/>
        </w:numPr>
      </w:pPr>
    </w:p>
    <w:p>
      <w:pPr>
        <w:numPr>
          <w:ilvl w:val="1"/>
          <w:numId w:val="3430"/>
        </w:numPr>
      </w:pPr>
      <w:r>
        <w:t xml:space="preserve">l. In addition to the above, any hospital subject to regulation by the Department of Health pursuant to the Rhode Island General Laws §23-15, as amended, and to the rules and regulations promulgated by the Director of Health for the State of Rhode Island pursuant thereto, which are required thereby to obtain a certificate of need as a precondition to licensure of any new or additional premises, shall file said certificate of need as an appendix to its plan.</w:t>
      </w:r>
    </w:p>
    <w:p>
      <w:pPr>
        <w:pStyle w:val="Compact"/>
        <w:numPr>
          <w:ilvl w:val="0"/>
          <w:numId w:val="3431"/>
        </w:numPr>
      </w:pPr>
    </w:p>
    <w:p>
      <w:pPr>
        <w:numPr>
          <w:ilvl w:val="1"/>
          <w:numId w:val="3432"/>
        </w:numPr>
      </w:pPr>
      <w:r>
        <w:t xml:space="preserve">m. A study of traffic conditions that analyzes existing traffic generation, and the impacts of traffic generation predicted from proposed projects. The study shall include actions that the institution will take to reduce the negative impacts of increased traffic. The institution shall establish the scope of the traffic study through consultation with the Director of the Department of Planning and Development and Traffic Engineer.</w:t>
      </w:r>
    </w:p>
    <w:p>
      <w:pPr>
        <w:pStyle w:val="Compact"/>
        <w:numPr>
          <w:ilvl w:val="0"/>
          <w:numId w:val="3433"/>
        </w:numPr>
      </w:pPr>
    </w:p>
    <w:p>
      <w:pPr>
        <w:numPr>
          <w:ilvl w:val="1"/>
          <w:numId w:val="3434"/>
        </w:numPr>
      </w:pPr>
      <w:r>
        <w:t xml:space="preserve">n. The plan shall include an implementation element that defines and schedules for a period of five years or more the specific public actions to be undertaken in order to achieve the goals and objectives of the plan.</w:t>
      </w:r>
    </w:p>
    <w:p>
      <w:pPr>
        <w:pStyle w:val="Compact"/>
        <w:numPr>
          <w:ilvl w:val="0"/>
          <w:numId w:val="3435"/>
        </w:numPr>
      </w:pPr>
    </w:p>
    <w:p>
      <w:pPr>
        <w:numPr>
          <w:ilvl w:val="1"/>
          <w:numId w:val="3436"/>
        </w:numPr>
      </w:pPr>
      <w:r>
        <w:t xml:space="preserve">o. A description of the public participation process that was followed in the creation of the plan.</w:t>
      </w:r>
    </w:p>
    <w:p>
      <w:pPr>
        <w:pStyle w:val="Compact"/>
        <w:numPr>
          <w:ilvl w:val="0"/>
          <w:numId w:val="3437"/>
        </w:numPr>
      </w:pPr>
    </w:p>
    <w:p>
      <w:pPr>
        <w:numPr>
          <w:ilvl w:val="1"/>
          <w:numId w:val="3438"/>
        </w:numPr>
      </w:pPr>
      <w:r>
        <w:t xml:space="preserve">p. An inventory of tree canopy and landscaping on the property, and provisions for coming into conformance or maintaining conformance with this Ordinance.</w:t>
      </w:r>
    </w:p>
    <w:p>
      <w:pPr>
        <w:pStyle w:val="Compact"/>
        <w:numPr>
          <w:ilvl w:val="0"/>
          <w:numId w:val="3439"/>
        </w:numPr>
      </w:pPr>
    </w:p>
    <w:p>
      <w:pPr>
        <w:numPr>
          <w:ilvl w:val="1"/>
          <w:numId w:val="3440"/>
        </w:numPr>
      </w:pPr>
      <w:r>
        <w:t xml:space="preserve">q. A statement regarding public access to the institution’s campus and grounds.</w:t>
      </w:r>
    </w:p>
    <w:p>
      <w:pPr>
        <w:pStyle w:val="Compact"/>
        <w:numPr>
          <w:ilvl w:val="0"/>
          <w:numId w:val="3441"/>
        </w:numPr>
      </w:pPr>
    </w:p>
    <w:p>
      <w:pPr>
        <w:numPr>
          <w:ilvl w:val="1"/>
          <w:numId w:val="3442"/>
        </w:numPr>
      </w:pPr>
      <w:r>
        <w:t xml:space="preserve">E. Modifications to Approved Institutional Master Plans The following development actions are considered consistent with an approved institutional master plan, even if not specifically shown on that approved institutional master plan:</w:t>
      </w:r>
    </w:p>
    <w:p>
      <w:pPr>
        <w:numPr>
          <w:ilvl w:val="0"/>
          <w:numId w:val="3443"/>
        </w:numPr>
      </w:pPr>
      <w:r>
        <w:t xml:space="preserve">1. Construction of new structures of 2,000 square feet of gross floor area or less that are adjunct to and support an existing use on campus.</w:t>
      </w:r>
    </w:p>
    <w:p>
      <w:pPr>
        <w:numPr>
          <w:ilvl w:val="0"/>
          <w:numId w:val="3444"/>
        </w:numPr>
      </w:pPr>
      <w:r>
        <w:t xml:space="preserve">2. Additions to existing structures of less than 25% of the existing gross floor area or 10,000 square feet in gross floor area, whichever is less.</w:t>
      </w:r>
    </w:p>
    <w:p>
      <w:pPr>
        <w:numPr>
          <w:ilvl w:val="0"/>
          <w:numId w:val="3445"/>
        </w:numPr>
      </w:pPr>
      <w:r>
        <w:t xml:space="preserve">3. A change of use to any use permitted within the district.</w:t>
      </w:r>
    </w:p>
    <w:p>
      <w:pPr>
        <w:numPr>
          <w:ilvl w:val="0"/>
          <w:numId w:val="3446"/>
        </w:numPr>
      </w:pPr>
      <w:r>
        <w:t xml:space="preserve">4. New parking facilities of 10 or fewer parking spaces.</w:t>
      </w:r>
    </w:p>
    <w:p>
      <w:pPr>
        <w:numPr>
          <w:ilvl w:val="0"/>
          <w:numId w:val="3447"/>
        </w:numPr>
      </w:pPr>
      <w:r>
        <w:t xml:space="preserve">5. Creation or expansion of any bicycle parking facilities.</w:t>
      </w:r>
    </w:p>
    <w:p>
      <w:pPr>
        <w:numPr>
          <w:ilvl w:val="0"/>
          <w:numId w:val="3448"/>
        </w:numPr>
      </w:pPr>
      <w:r>
        <w:t xml:space="preserve">6. Creation or expansion of open space, and alternate landscape designs and stormwater management techniques.</w:t>
      </w:r>
    </w:p>
    <w:p>
      <w:pPr>
        <w:numPr>
          <w:ilvl w:val="0"/>
          <w:numId w:val="3449"/>
        </w:numPr>
      </w:pPr>
      <w:r>
        <w:t xml:space="preserve">7. Façade renovation to an existing structure.</w:t>
      </w:r>
    </w:p>
    <w:p>
      <w:pPr>
        <w:numPr>
          <w:ilvl w:val="0"/>
          <w:numId w:val="3450"/>
        </w:numPr>
      </w:pPr>
      <w:r>
        <w:t xml:space="preserve">8. Interior renovations to an existing structure.</w:t>
      </w:r>
    </w:p>
    <w:p>
      <w:pPr>
        <w:pStyle w:val="Compact"/>
        <w:numPr>
          <w:ilvl w:val="0"/>
          <w:numId w:val="3451"/>
        </w:numPr>
      </w:pPr>
    </w:p>
    <w:p>
      <w:pPr>
        <w:numPr>
          <w:ilvl w:val="1"/>
          <w:numId w:val="3452"/>
        </w:numPr>
      </w:pPr>
      <w:r>
        <w:t xml:space="preserve">F. Waivers The City Plan Commission as part of Institutional Master Plan Development Plan Review may waive regulations pertaining to the maximum number of buildings on a lot, front setback, restrictions on the maximum number of driveways, sign area, and the location of paved area.</w:t>
      </w:r>
    </w:p>
    <w:bookmarkEnd w:id="168"/>
    <w:bookmarkStart w:id="169" w:name="certificate-of-appropriateness"/>
    <w:p>
      <w:pPr>
        <w:pStyle w:val="Heading2"/>
      </w:pPr>
      <w:r>
        <w:t xml:space="preserve">§ 1911. CERTIFICATE OF APPROPRIATENESS</w:t>
      </w:r>
    </w:p>
    <w:p>
      <w:pPr>
        <w:pStyle w:val="FirstParagraph"/>
      </w:pPr>
      <w:r>
        <w:t xml:space="preserve">1911 CERTIFICATE OF APPROPRIATENESS</w:t>
      </w:r>
    </w:p>
    <w:p>
      <w:pPr>
        <w:numPr>
          <w:ilvl w:val="0"/>
          <w:numId w:val="3453"/>
        </w:numPr>
      </w:pPr>
      <w:r>
        <w:t xml:space="preserve">A. Purpose Before a property owner commences construction, alteration, repair, removal, or demolition of any existing structure or its appurtenances within a Historic District Overlay District, the owner shall be granted a certificate of appropriateness from the Historic District Commission. A certificate of appropriateness is required whether or not a building permit is required.</w:t>
      </w:r>
    </w:p>
    <w:p>
      <w:pPr>
        <w:numPr>
          <w:ilvl w:val="0"/>
          <w:numId w:val="3454"/>
        </w:numPr>
      </w:pPr>
      <w:r>
        <w:t xml:space="preserve">B. Initiation A property owner, or person expressly authorized in writing by the property owner, shall file an application for a certificate of appropriateness for any development, including demolition, within a Historic District Overlay District. A property owner may only file an application for a certificate of appropriateness for property under his/her control.</w:t>
      </w:r>
    </w:p>
    <w:p>
      <w:pPr>
        <w:numPr>
          <w:ilvl w:val="0"/>
          <w:numId w:val="3455"/>
        </w:numPr>
      </w:pPr>
      <w:r>
        <w:t xml:space="preserve">C. Authority</w:t>
      </w:r>
    </w:p>
    <w:p>
      <w:pPr>
        <w:numPr>
          <w:ilvl w:val="0"/>
          <w:numId w:val="1000"/>
        </w:numPr>
      </w:pPr>
      <w:r>
        <w:t xml:space="preserve">1. The Historic District Commission, as applicable, will approve a certificate of appropriateness. The Historic District Commission may delegate to the staff authority to issue a certificate of appropriateness in certain circumstances without a public hearing in accordance with the Standards and Guidelines as adopted or by action of the Historic District Commission at a public hearing. The staff may not deny a certificate of appropriateness, but shall refer such action to the Historic District Commission for a hearing.</w:t>
      </w:r>
    </w:p>
    <w:p>
      <w:pPr>
        <w:numPr>
          <w:ilvl w:val="0"/>
          <w:numId w:val="3456"/>
        </w:numPr>
      </w:pPr>
      <w:r>
        <w:t xml:space="preserve">2. The Historic District Commission may, at the applicant’s expense, hire experts to opine on the validity of evidence and testimony submitted as part of a demolition application. This may include, but is not limited to, an initial evaluation of the historic or architectural significance of the building, and, for structures found by the Historic District Commission to be historically or architecturally significant, an appraisal of the property and/or structural analysis of the building.</w:t>
      </w:r>
    </w:p>
    <w:p>
      <w:pPr>
        <w:pStyle w:val="Compact"/>
        <w:numPr>
          <w:ilvl w:val="0"/>
          <w:numId w:val="3457"/>
        </w:numPr>
      </w:pPr>
    </w:p>
    <w:p>
      <w:pPr>
        <w:numPr>
          <w:ilvl w:val="1"/>
          <w:numId w:val="3458"/>
        </w:numPr>
      </w:pPr>
      <w:r>
        <w:t xml:space="preserve">D. Applicability All construction, alteration, repair, removal, or demolition of any existing structure or its appurtenances within a Historic District Overlay District requires a certificate of appropriateness.</w:t>
      </w:r>
    </w:p>
    <w:p>
      <w:pPr>
        <w:pStyle w:val="Compact"/>
        <w:numPr>
          <w:ilvl w:val="0"/>
          <w:numId w:val="3459"/>
        </w:numPr>
      </w:pPr>
    </w:p>
    <w:p>
      <w:pPr>
        <w:numPr>
          <w:ilvl w:val="1"/>
          <w:numId w:val="3460"/>
        </w:numPr>
      </w:pPr>
      <w:r>
        <w:t xml:space="preserve">E. Procedure</w:t>
      </w:r>
    </w:p>
    <w:p>
      <w:pPr>
        <w:numPr>
          <w:ilvl w:val="1"/>
          <w:numId w:val="1000"/>
        </w:numPr>
      </w:pPr>
      <w:r>
        <w:t xml:space="preserve">1. Within 45 days of receipt of a complete application, the Historic District Commission shall hold a public meeting on an application for a certificate of appropriateness. Notice is required in accordance with Section 1801.</w:t>
      </w:r>
    </w:p>
    <w:p>
      <w:pPr>
        <w:numPr>
          <w:ilvl w:val="0"/>
          <w:numId w:val="3461"/>
        </w:numPr>
      </w:pPr>
      <w:r>
        <w:t xml:space="preserve">2. An application for a certificate of appropriateness may be approved, approved with conditions, or denied. The Historic District Commission shall issue written findings for the reasons and basis of each decision regarding the certificate of appropriateness. When denying an application, the Historic District Commission shall include the basis for its finding of denial that the proposed activity would be incongruous with those aspects of the structure, appurtenances, or the district which the Commission has determined to be historically or architecturally significant. The Historic District Commission shall send a copy of the decision to the applicant and to the Director of the Department of Inspection and Standards and the action taken by the Historic District Commission is binding on the Director. No application may be denied without a hearing.</w:t>
      </w:r>
    </w:p>
    <w:p>
      <w:pPr>
        <w:numPr>
          <w:ilvl w:val="0"/>
          <w:numId w:val="3462"/>
        </w:numPr>
      </w:pPr>
      <w:r>
        <w:t xml:space="preserve">3. If the Historic District Commission fails to act within 45 days of receipt of a complete application, the application is deemed approved, unless an extension of time has been agreed to by the applicant and the Historic District Commission.</w:t>
      </w:r>
    </w:p>
    <w:p>
      <w:pPr>
        <w:numPr>
          <w:ilvl w:val="0"/>
          <w:numId w:val="3463"/>
        </w:numPr>
      </w:pPr>
      <w:r>
        <w:t xml:space="preserve">4. If the Historic District Commission makes a finding of fact within the 45 day period that a particular application requires additional time for study and information, then the Historic District Commission has an additional 90 days from the date of the receipt of a complete application to act upon such application. An extension of time may be agreed to by the applicant and the Historic District Commission beyond this 90 day period.</w:t>
      </w:r>
    </w:p>
    <w:p>
      <w:pPr>
        <w:numPr>
          <w:ilvl w:val="0"/>
          <w:numId w:val="3464"/>
        </w:numPr>
      </w:pPr>
      <w:r>
        <w:t xml:space="preserve">5. A certificate of appropriateness may be issued without a public hearing for ordinary maintenance or repair of any structure within a historic district provided that such maintenance or repair does not result in any change of design, type of material, or appearance of the structure or its appurtenances. The Historic District Commission may delegate to staff of the Department of Planning and Development the authority to approve and issue certificates of appropriateness in accordance with the Historic District Commission’s Standard and Guidelines and Rules and Regulations.</w:t>
      </w:r>
    </w:p>
    <w:p>
      <w:pPr>
        <w:pStyle w:val="Compact"/>
        <w:numPr>
          <w:ilvl w:val="0"/>
          <w:numId w:val="3465"/>
        </w:numPr>
      </w:pPr>
    </w:p>
    <w:p>
      <w:pPr>
        <w:numPr>
          <w:ilvl w:val="1"/>
          <w:numId w:val="3466"/>
        </w:numPr>
      </w:pPr>
      <w:r>
        <w:t xml:space="preserve">F. Approval Standards</w:t>
      </w:r>
    </w:p>
    <w:p>
      <w:pPr>
        <w:numPr>
          <w:ilvl w:val="1"/>
          <w:numId w:val="1000"/>
        </w:numPr>
      </w:pPr>
      <w:r>
        <w:t xml:space="preserve">1. General The Historic District Commission will evaluate all applications in accordance with the criteria established in its adopted “Standards and Guidelines.” The Historic District Commission acts only on exterior features of a structure and its appurtenances. In reviewing an application for a certificate of appropriateness, the Historic District Commission has the power to call in experts to aid in its deliberations and may incorporate the conclusions of such experts in its decisions.</w:t>
      </w:r>
    </w:p>
    <w:p>
      <w:pPr>
        <w:numPr>
          <w:ilvl w:val="0"/>
          <w:numId w:val="3467"/>
        </w:numPr>
      </w:pPr>
      <w:r>
        <w:t xml:space="preserve">2. Special Criteria for Demolition In order to preserve the historic fabric of the City, demolition of historic properties is discouraged. When reviewing an application for a certificate of appropriateness to demolish a historic structure or appurtenance, the Historic District Commission shall consider the following criteria, in addition to the provisions of the adopted “Standards and Guidelines.”</w:t>
      </w:r>
    </w:p>
    <w:p>
      <w:pPr>
        <w:pStyle w:val="Compact"/>
        <w:numPr>
          <w:ilvl w:val="0"/>
          <w:numId w:val="3468"/>
        </w:numPr>
      </w:pPr>
    </w:p>
    <w:p>
      <w:pPr>
        <w:numPr>
          <w:ilvl w:val="1"/>
          <w:numId w:val="3469"/>
        </w:numPr>
      </w:pPr>
      <w:r>
        <w:t xml:space="preserve">a. Structures Valuable to the City In the case of an application for demolition of any structure, appurtenance, or a portion of a structure which the Historic District Commission deems so valuable to the City, the state, or the nation, that the loss thereof will be a great loss to the City, the state, or the nation, the Historic District Commission will endeavor to work out with the owner an economically feasible plan for the preservation of such structure on its present site. The Historic District Commission may issue a certificate of appropriateness to demolish only if it is satisfied that the retention of such structure constitutes a hazard to public safety which hazard cannot be eliminated by economic means available to the owner, including sale of the structure to any purchaser willing to preserve such structure.</w:t>
      </w:r>
    </w:p>
    <w:p>
      <w:pPr>
        <w:pStyle w:val="Compact"/>
        <w:numPr>
          <w:ilvl w:val="0"/>
          <w:numId w:val="3470"/>
        </w:numPr>
      </w:pPr>
    </w:p>
    <w:p>
      <w:pPr>
        <w:numPr>
          <w:ilvl w:val="1"/>
          <w:numId w:val="3471"/>
        </w:numPr>
      </w:pPr>
      <w:r>
        <w:t xml:space="preserve">b. Structures Valuable for the Period In the case of an application for demolition of any structure, appurtenance, or a portion of a structure deemed to be valuable for the period of architecture which it represents and its importance to the neighborhood within which it exists, the Historic District Commission may issue a certificate of appropriateness to demolish only if it finds that at least one of the following conditions exists: i. Retention of such structure constitutes a hazard to public safety which hazard cannot be eliminated by economic means available to the owner, including sale of the structure on its present site to any purchaser willing to preserve such structure.</w:t>
      </w:r>
    </w:p>
    <w:p>
      <w:pPr>
        <w:pStyle w:val="Compact"/>
        <w:numPr>
          <w:ilvl w:val="0"/>
          <w:numId w:val="3472"/>
        </w:numPr>
      </w:pPr>
    </w:p>
    <w:p>
      <w:pPr>
        <w:numPr>
          <w:ilvl w:val="1"/>
          <w:numId w:val="3473"/>
        </w:numPr>
      </w:pPr>
      <w:r>
        <w:t xml:space="preserve">ii. Preservation of such structure is a deterrent to a major improvement program that will be of substantial benefit to the community.</w:t>
      </w:r>
    </w:p>
    <w:p>
      <w:pPr>
        <w:pStyle w:val="Compact"/>
        <w:numPr>
          <w:ilvl w:val="0"/>
          <w:numId w:val="3474"/>
        </w:numPr>
      </w:pPr>
    </w:p>
    <w:p>
      <w:pPr>
        <w:numPr>
          <w:ilvl w:val="1"/>
          <w:numId w:val="3475"/>
        </w:numPr>
      </w:pPr>
      <w:r>
        <w:t xml:space="preserve">iii. Preservation of such structure would cause undue or unreasonable financial hardship to the owner, taking into account the financial resources available to the owner including sale of the structure to any purchaser willing to preserve such structure.</w:t>
      </w:r>
    </w:p>
    <w:p>
      <w:pPr>
        <w:pStyle w:val="Compact"/>
        <w:numPr>
          <w:ilvl w:val="0"/>
          <w:numId w:val="3476"/>
        </w:numPr>
      </w:pPr>
    </w:p>
    <w:p>
      <w:pPr>
        <w:numPr>
          <w:ilvl w:val="1"/>
          <w:numId w:val="3477"/>
        </w:numPr>
      </w:pPr>
      <w:r>
        <w:t xml:space="preserve">iv. Preservation of such structure would not be in the interest of the majority of the community.</w:t>
      </w:r>
    </w:p>
    <w:p>
      <w:pPr>
        <w:pStyle w:val="Compact"/>
        <w:numPr>
          <w:ilvl w:val="0"/>
          <w:numId w:val="3478"/>
        </w:numPr>
      </w:pPr>
    </w:p>
    <w:p>
      <w:pPr>
        <w:numPr>
          <w:ilvl w:val="1"/>
          <w:numId w:val="3479"/>
        </w:numPr>
      </w:pPr>
      <w:r>
        <w:t xml:space="preserve">c. Additional Study Required Because the findings required to be made in either (a) or (b) necessarily require further time for additional study and information on an application for demolition of any structure, appurtenance, or a portion of a structure, the Historic District Commission automatically has a period of up to 90 days within which to act upon the application.</w:t>
      </w:r>
    </w:p>
    <w:p>
      <w:pPr>
        <w:pStyle w:val="Compact"/>
        <w:numPr>
          <w:ilvl w:val="0"/>
          <w:numId w:val="3480"/>
        </w:numPr>
      </w:pPr>
    </w:p>
    <w:p>
      <w:pPr>
        <w:numPr>
          <w:ilvl w:val="1"/>
          <w:numId w:val="3481"/>
        </w:numPr>
      </w:pPr>
      <w:r>
        <w:t xml:space="preserve">d. Lack of Findings If the Historic District Commission does not or cannot make the findings required in either (a) or (b) of this section, then an application for a certificate of appropriateness to demolish a historic structure or appurtenance shall be denied.</w:t>
      </w:r>
    </w:p>
    <w:p>
      <w:pPr>
        <w:pStyle w:val="Compact"/>
        <w:numPr>
          <w:ilvl w:val="0"/>
          <w:numId w:val="3482"/>
        </w:numPr>
      </w:pPr>
    </w:p>
    <w:p>
      <w:pPr>
        <w:numPr>
          <w:ilvl w:val="1"/>
          <w:numId w:val="3483"/>
        </w:numPr>
      </w:pPr>
      <w:r>
        <w:t xml:space="preserve">G. Demolition Regulations</w:t>
      </w:r>
    </w:p>
    <w:p>
      <w:pPr>
        <w:numPr>
          <w:ilvl w:val="1"/>
          <w:numId w:val="1000"/>
        </w:numPr>
      </w:pPr>
      <w:r>
        <w:t xml:space="preserve">1. Acceptance of Demolition Applications For a property that is individually listed on the National Register of Historic Places or a property deemed to be a contributing structure within a National Register Historic District, an application shall not be considered accepted by the Historic District Commission until or unless a property owner can demonstrate (1) a continuing, bona fide, and reasonable effort to sell the structure to any such purchaser willing to move and preserve such structure for a minimum period of at least three months, or a longer period as promulgated by the Historic District Commission; (2) that these marketing efforts have been publicly advertised; and (3) the Providence Preservation Society, Preserve Rhode Island, and the Rhode Island Historical Preservation and Heritage Foundation have been notified of these marketing efforts. Nothing herein shall limit the powers of the Historic District Commission with respect to other properties.</w:t>
      </w:r>
    </w:p>
    <w:p>
      <w:pPr>
        <w:numPr>
          <w:ilvl w:val="0"/>
          <w:numId w:val="3484"/>
        </w:numPr>
      </w:pPr>
      <w:r>
        <w:t xml:space="preserve">2. Alternatives to Demolition The Historic District Commission will assist the owner in identifying and evaluating alternatives to demolition, including sale of the structure on its present site. When considering an application to demolish a structure of historic or architectural value, in addition to any other criteria, the Historic District Commission shall consider the following:</w:t>
      </w:r>
    </w:p>
    <w:p>
      <w:pPr>
        <w:pStyle w:val="Compact"/>
        <w:numPr>
          <w:ilvl w:val="0"/>
          <w:numId w:val="3485"/>
        </w:numPr>
      </w:pPr>
    </w:p>
    <w:p>
      <w:pPr>
        <w:numPr>
          <w:ilvl w:val="1"/>
          <w:numId w:val="3486"/>
        </w:numPr>
      </w:pPr>
      <w:r>
        <w:t xml:space="preserve">a. Whether there is a reasonable likelihood that some person or group other than the current owner is willing to purchase, move, and preserve such structure.</w:t>
      </w:r>
    </w:p>
    <w:p>
      <w:pPr>
        <w:pStyle w:val="Compact"/>
        <w:numPr>
          <w:ilvl w:val="0"/>
          <w:numId w:val="3487"/>
        </w:numPr>
      </w:pPr>
    </w:p>
    <w:p>
      <w:pPr>
        <w:numPr>
          <w:ilvl w:val="1"/>
          <w:numId w:val="3488"/>
        </w:numPr>
      </w:pPr>
      <w:r>
        <w:t xml:space="preserve">b. Whether the owner has made continuing, bona fide and reasonable efforts to sell the structure to any such purchaser willing to move and preserve such structure.</w:t>
      </w:r>
    </w:p>
    <w:p>
      <w:pPr>
        <w:numPr>
          <w:ilvl w:val="0"/>
          <w:numId w:val="3489"/>
        </w:numPr>
      </w:pPr>
      <w:r>
        <w:t xml:space="preserve">3. Avoiding Demolition Through Owner Neglect The City Council, or its designee, in consultation with the Historic District Commission, may identify structures of historical or architectural value whose deteriorated physical condition endangers the preservation of such structure or its appurtenances. The Council will publish standards for maintenance of properties within historic districts. Upon the petition of the Historic District Commission that a historic structure is so deteriorated that its preservation is endangered, the Council may establish a reasonable time of no less than 30 days within which the owner shall begin repairs. If the owner has not begun repairs within the allowed time, the Council or its designee shall hold a hearing at which the owner may appear and state his reasons for not commencing repairs. If the owner does not appear at the hearing or does not comply with the Council's orders, the Council or its designee may cause the required repairs to be made at the expense of the City and cause a lien to be placed against the property for repayment. The Historic District Commission will cooperate with and assist the City Council in exercising the provisions of this section.</w:t>
      </w:r>
    </w:p>
    <w:p>
      <w:pPr>
        <w:numPr>
          <w:ilvl w:val="0"/>
          <w:numId w:val="3490"/>
        </w:numPr>
      </w:pPr>
      <w:r>
        <w:t xml:space="preserve">4. Emergency Demolition Should the Director of the Department of Inspection and Standards determine that a structure is unsafe or hazardous and an imminent hazard to public safety for a reason such as being in danger of imminent collapse from damage caused by human action or an act of God, a committee consisting of the Director of the Department of Inspection and Standards, Fire Marshal, Planning Director, a structural engineer to be hired under City auspices, and the Chair of the Historic District Commission, or their designees, shall convene immediately to evaluate whether the structure shall be demolished. The committee shall evaluate all pertinent information including, but not limited to, the structural condition of the structure, the historic value of the structure, and the danger to the public. The Director may order partial or full demolition based on the consensus of the committee. If the Director of the Department of Inspection and Standards, in consultation with on-site life safety officials, determines that the structure is in danger of imminent collapse or is an immediate danger to public safety and there is no time to convene the aforementioned committee, he/she may order the structure demolished immediately. The Director of the Department of Inspection and Standards shall issue a report to the Historic District Commission stating the reasons for the order.</w:t>
      </w:r>
    </w:p>
    <w:p>
      <w:pPr>
        <w:numPr>
          <w:ilvl w:val="0"/>
          <w:numId w:val="3491"/>
        </w:numPr>
      </w:pPr>
      <w:r>
        <w:t xml:space="preserve">5. Archival Documentation Prior to demolition of any structure deemed to be valuable to the city or for the period, as provided for in this section, the applicant shall assemble an archival package, including a history of the property, elevation drawings, floor plans, and exterior and interior photographs, and shall submit the package to the Rhode Island Historical Preservation and Heritage Commission as part of the Rhode Island Historical Resources Archive as well as to the city archives department. The requirements and guidelines for this documentation may be further defined and regulated by the Historic District Commission.</w:t>
      </w:r>
    </w:p>
    <w:p>
      <w:pPr>
        <w:pStyle w:val="Compact"/>
        <w:numPr>
          <w:ilvl w:val="0"/>
          <w:numId w:val="3492"/>
        </w:numPr>
      </w:pPr>
    </w:p>
    <w:p>
      <w:pPr>
        <w:numPr>
          <w:ilvl w:val="1"/>
          <w:numId w:val="3493"/>
        </w:numPr>
      </w:pPr>
      <w:r>
        <w:t xml:space="preserve">H. Inspections The Historic District Commission may inspect work in progress after a certificate of appropriateness has been issued to insure that work is proceeding in accordance with the approval received. If the Historic District Commission finds that the work in progress does not conform to the certificate of appropriateness, the Historic District Commission will advise the Director of the Department of Inspection and Standards, who will enforce the requirements of the Certificate of Appropriateness in accordance with this Ordinance.</w:t>
      </w:r>
    </w:p>
    <w:p>
      <w:pPr>
        <w:pStyle w:val="Compact"/>
        <w:numPr>
          <w:ilvl w:val="0"/>
          <w:numId w:val="3494"/>
        </w:numPr>
      </w:pPr>
    </w:p>
    <w:p>
      <w:pPr>
        <w:numPr>
          <w:ilvl w:val="1"/>
          <w:numId w:val="3495"/>
        </w:numPr>
      </w:pPr>
      <w:r>
        <w:t xml:space="preserve">I. Appeals An aggrieved party has the right to appeal a decision of the Historic District Commission to the Zoning Board of Review, and a further right of appeal from the Zoning Board of Review to the Superior Court, and from the Superior Court to the Supreme Court by writ of certiorari. The appeal to the Zoning Board shall be made within 20 days of the issuance of a written determination by the Historic District Commission on any plan or petition submitted to it or any revisions thereof.</w:t>
      </w:r>
    </w:p>
    <w:bookmarkEnd w:id="169"/>
    <w:bookmarkStart w:id="170" w:name="temporary-use-permit"/>
    <w:p>
      <w:pPr>
        <w:pStyle w:val="Heading2"/>
      </w:pPr>
      <w:r>
        <w:t xml:space="preserve">§ 1912. TEMPORARY USE PERMIT</w:t>
      </w:r>
    </w:p>
    <w:p>
      <w:pPr>
        <w:pStyle w:val="FirstParagraph"/>
      </w:pPr>
      <w:r>
        <w:t xml:space="preserve">1912 TEMPORARY USE PERMIT</w:t>
      </w:r>
    </w:p>
    <w:p>
      <w:pPr>
        <w:numPr>
          <w:ilvl w:val="0"/>
          <w:numId w:val="3496"/>
        </w:numPr>
      </w:pPr>
      <w:r>
        <w:t xml:space="preserve">A. Purpose A temporary use permit allows for the short-term use and/or placement of structures on a lot. The temporary use permit regulates temporary uses that occur entirely on and within a lot. Temporary uses located within the public right-of-way are regulated separately by the Providence Code of Ordinances.</w:t>
      </w:r>
    </w:p>
    <w:p>
      <w:pPr>
        <w:numPr>
          <w:ilvl w:val="0"/>
          <w:numId w:val="3497"/>
        </w:numPr>
      </w:pPr>
      <w:r>
        <w:t xml:space="preserve">B. Initiation A property owner, or person expressly authorized in writing by the property owner, may initiate a temporary use permit application.</w:t>
      </w:r>
    </w:p>
    <w:p>
      <w:pPr>
        <w:numPr>
          <w:ilvl w:val="0"/>
          <w:numId w:val="3498"/>
        </w:numPr>
      </w:pPr>
      <w:r>
        <w:t xml:space="preserve">C. Authority The Director of the Department of Inspection and Standards may approve temporary use permit applications with the following exceptions:</w:t>
      </w:r>
    </w:p>
    <w:p>
      <w:pPr>
        <w:numPr>
          <w:ilvl w:val="0"/>
          <w:numId w:val="3499"/>
        </w:numPr>
      </w:pPr>
      <w:r>
        <w:t xml:space="preserve">1. Temporary uses in the D-1 District are approved by the Downtown Design Review Committee staff or by the I-195 Redevelopment District Commission staff, as applicable.</w:t>
      </w:r>
    </w:p>
    <w:p>
      <w:pPr>
        <w:numPr>
          <w:ilvl w:val="0"/>
          <w:numId w:val="3500"/>
        </w:numPr>
      </w:pPr>
      <w:r>
        <w:t xml:space="preserve">2. Temporary uses in the ES Overlay District are approved by the I-195 Redevelopment District Commission staff.</w:t>
      </w:r>
    </w:p>
    <w:p>
      <w:pPr>
        <w:pStyle w:val="Compact"/>
        <w:numPr>
          <w:ilvl w:val="0"/>
          <w:numId w:val="3501"/>
        </w:numPr>
      </w:pPr>
    </w:p>
    <w:p>
      <w:pPr>
        <w:numPr>
          <w:ilvl w:val="1"/>
          <w:numId w:val="3502"/>
        </w:numPr>
      </w:pPr>
      <w:r>
        <w:t xml:space="preserve">D. Procedure The Director of the Department of Inspection and Standards, or the applicable committee, commission, or official, shall render a decision on the temporary use permit within 15 days of the date the application is deemed complete. The Director of the Department of Inspection and Standards, or the applicable committee or commission, shall review and evaluate the application, pursuant to the standards of this section and Article 12, and approve, approve with conditions, or deny the application.</w:t>
      </w:r>
    </w:p>
    <w:p>
      <w:pPr>
        <w:pStyle w:val="Compact"/>
        <w:numPr>
          <w:ilvl w:val="0"/>
          <w:numId w:val="3503"/>
        </w:numPr>
      </w:pPr>
    </w:p>
    <w:p>
      <w:pPr>
        <w:numPr>
          <w:ilvl w:val="1"/>
          <w:numId w:val="3504"/>
        </w:numPr>
      </w:pPr>
      <w:r>
        <w:t xml:space="preserve">E. Approval Standards All temporary uses shall comply with the requirements of this Ordinance, including the standards of Article 12, and the following standards: a. Unless expressly allowed by this Ordinance, the temporary use or structure complies with the yard and bulk requirements of the district in which it is located.</w:t>
      </w:r>
    </w:p>
    <w:p>
      <w:pPr>
        <w:pStyle w:val="Compact"/>
        <w:numPr>
          <w:ilvl w:val="0"/>
          <w:numId w:val="3505"/>
        </w:numPr>
      </w:pPr>
    </w:p>
    <w:p>
      <w:pPr>
        <w:pStyle w:val="Compact"/>
        <w:numPr>
          <w:ilvl w:val="1"/>
          <w:numId w:val="3506"/>
        </w:numPr>
      </w:pPr>
    </w:p>
    <w:p>
      <w:pPr>
        <w:numPr>
          <w:ilvl w:val="2"/>
          <w:numId w:val="3507"/>
        </w:numPr>
      </w:pPr>
      <w:r>
        <w:t xml:space="preserve">b. The temporary use does not cause, or threaten to cause, an on-site or off-site threat to the public health, safety, and welfare.</w:t>
      </w:r>
    </w:p>
    <w:p>
      <w:pPr>
        <w:pStyle w:val="Compact"/>
        <w:numPr>
          <w:ilvl w:val="0"/>
          <w:numId w:val="3508"/>
        </w:numPr>
      </w:pPr>
    </w:p>
    <w:p>
      <w:pPr>
        <w:pStyle w:val="Compact"/>
        <w:numPr>
          <w:ilvl w:val="1"/>
          <w:numId w:val="3509"/>
        </w:numPr>
      </w:pPr>
    </w:p>
    <w:p>
      <w:pPr>
        <w:numPr>
          <w:ilvl w:val="2"/>
          <w:numId w:val="3510"/>
        </w:numPr>
      </w:pPr>
      <w:r>
        <w:t xml:space="preserve">c. The temporary use is operated in accordance with such restrictions and conditions as the Police and Fire Department may require. If required as a condition of approval, the operator of the temporary use shall employ appropriate security personnel.</w:t>
      </w:r>
    </w:p>
    <w:p>
      <w:pPr>
        <w:pStyle w:val="Compact"/>
        <w:numPr>
          <w:ilvl w:val="0"/>
          <w:numId w:val="3511"/>
        </w:numPr>
      </w:pPr>
    </w:p>
    <w:p>
      <w:pPr>
        <w:pStyle w:val="Compact"/>
        <w:numPr>
          <w:ilvl w:val="1"/>
          <w:numId w:val="3512"/>
        </w:numPr>
      </w:pPr>
    </w:p>
    <w:p>
      <w:pPr>
        <w:numPr>
          <w:ilvl w:val="2"/>
          <w:numId w:val="3513"/>
        </w:numPr>
      </w:pPr>
      <w:r>
        <w:t xml:space="preserve">d. The temporary use does not conflict with another previously authorized temporary use.</w:t>
      </w:r>
    </w:p>
    <w:p>
      <w:pPr>
        <w:pStyle w:val="Compact"/>
        <w:numPr>
          <w:ilvl w:val="0"/>
          <w:numId w:val="3514"/>
        </w:numPr>
      </w:pPr>
    </w:p>
    <w:p>
      <w:pPr>
        <w:pStyle w:val="Compact"/>
        <w:numPr>
          <w:ilvl w:val="1"/>
          <w:numId w:val="3515"/>
        </w:numPr>
      </w:pPr>
    </w:p>
    <w:p>
      <w:pPr>
        <w:numPr>
          <w:ilvl w:val="2"/>
          <w:numId w:val="3516"/>
        </w:numPr>
      </w:pPr>
      <w:r>
        <w:t xml:space="preserve">e. In the D-1 District and DD Overlay District, the Downtown Design Review Committee or its staff shall evaluate a temporary uses compliance with the following additional standards: i. The temporary use provides public amenities, public access, or promote economic development.</w:t>
      </w:r>
    </w:p>
    <w:p>
      <w:pPr>
        <w:pStyle w:val="Compact"/>
        <w:numPr>
          <w:ilvl w:val="0"/>
          <w:numId w:val="3517"/>
        </w:numPr>
      </w:pPr>
    </w:p>
    <w:p>
      <w:pPr>
        <w:pStyle w:val="Compact"/>
        <w:numPr>
          <w:ilvl w:val="1"/>
          <w:numId w:val="3518"/>
        </w:numPr>
      </w:pPr>
    </w:p>
    <w:p>
      <w:pPr>
        <w:numPr>
          <w:ilvl w:val="2"/>
          <w:numId w:val="3519"/>
        </w:numPr>
      </w:pPr>
      <w:r>
        <w:t xml:space="preserve">ii. The temporary use encourages pedestrian activity with visual and/or physical access provided from the adjacent street edge.</w:t>
      </w:r>
    </w:p>
    <w:p>
      <w:pPr>
        <w:pStyle w:val="Compact"/>
        <w:numPr>
          <w:ilvl w:val="0"/>
          <w:numId w:val="3520"/>
        </w:numPr>
      </w:pPr>
    </w:p>
    <w:p>
      <w:pPr>
        <w:pStyle w:val="Compact"/>
        <w:numPr>
          <w:ilvl w:val="1"/>
          <w:numId w:val="3521"/>
        </w:numPr>
      </w:pPr>
    </w:p>
    <w:p>
      <w:pPr>
        <w:numPr>
          <w:ilvl w:val="2"/>
          <w:numId w:val="3522"/>
        </w:numPr>
      </w:pPr>
      <w:r>
        <w:t xml:space="preserve">iii. The temporary use encourages street level activity through commercial enterprise, streetscape enhancement, public art, public education, and/or recreation.</w:t>
      </w:r>
    </w:p>
    <w:p>
      <w:pPr>
        <w:pStyle w:val="Compact"/>
        <w:numPr>
          <w:ilvl w:val="0"/>
          <w:numId w:val="3523"/>
        </w:numPr>
      </w:pPr>
    </w:p>
    <w:p>
      <w:pPr>
        <w:numPr>
          <w:ilvl w:val="1"/>
          <w:numId w:val="3524"/>
        </w:numPr>
      </w:pPr>
      <w:r>
        <w:t xml:space="preserve">F. Expiration The temporary use permit is valid only for the time period granted as part of the approval.</w:t>
      </w:r>
    </w:p>
    <w:bookmarkEnd w:id="170"/>
    <w:bookmarkStart w:id="171" w:name="zoning-interpretation"/>
    <w:p>
      <w:pPr>
        <w:pStyle w:val="Heading2"/>
      </w:pPr>
      <w:r>
        <w:t xml:space="preserve">§ 1913. ZONING INTERPRETATION</w:t>
      </w:r>
    </w:p>
    <w:p>
      <w:pPr>
        <w:pStyle w:val="FirstParagraph"/>
      </w:pPr>
      <w:r>
        <w:t xml:space="preserve">1913 ZONING INTERPRETATION</w:t>
      </w:r>
    </w:p>
    <w:p>
      <w:pPr>
        <w:numPr>
          <w:ilvl w:val="0"/>
          <w:numId w:val="3525"/>
        </w:numPr>
      </w:pPr>
      <w:r>
        <w:t xml:space="preserve">A. Purpose The interpretation authority is intended to recognize that the provisions of this Ordinance, though detailed and extensive, cannot, as a practical matter, address every specific zoning issue. However, this zoning interpretation authority is not intended to add or change the essential content of the Ordinance.</w:t>
      </w:r>
    </w:p>
    <w:p>
      <w:pPr>
        <w:numPr>
          <w:ilvl w:val="0"/>
          <w:numId w:val="3526"/>
        </w:numPr>
      </w:pPr>
      <w:r>
        <w:t xml:space="preserve">B. Authority Upon written request, the Director of the Department of Inspection and Standards is authorized to issue a zoning certificate or provide information regarding this Ordinance to the requesting party. A zoning certificate shall be issued within 20 days of a complete written request.</w:t>
      </w:r>
    </w:p>
    <w:bookmarkEnd w:id="171"/>
    <w:bookmarkStart w:id="172" w:name="public-right-of-way-encroachment-permit"/>
    <w:p>
      <w:pPr>
        <w:pStyle w:val="Heading2"/>
      </w:pPr>
      <w:r>
        <w:t xml:space="preserve">§ 1914. PUBLIC RIGHT-OF-WAY ENCROACHMENT PERMIT</w:t>
      </w:r>
    </w:p>
    <w:p>
      <w:pPr>
        <w:pStyle w:val="FirstParagraph"/>
      </w:pPr>
      <w:r>
        <w:t xml:space="preserve">1914 PUBLIC RIGHT-OF-WAY ENCROACHMENT PERMIT</w:t>
      </w:r>
    </w:p>
    <w:p>
      <w:pPr>
        <w:numPr>
          <w:ilvl w:val="0"/>
          <w:numId w:val="3527"/>
        </w:numPr>
      </w:pPr>
      <w:r>
        <w:t xml:space="preserve">A. Purpose Any structure, fixture, excavation, obstruction, or encroachment erected or maintained over, onto, or under any public right-of-way requires a public right-of-way encroachment permit.</w:t>
      </w:r>
    </w:p>
    <w:p>
      <w:pPr>
        <w:numPr>
          <w:ilvl w:val="0"/>
          <w:numId w:val="3528"/>
        </w:numPr>
      </w:pPr>
      <w:r>
        <w:t xml:space="preserve">B. Initiation A property owner, or person expressly authorized in writing by the property owner, may initiate an application for a public right-of-way encroachment permit.</w:t>
      </w:r>
    </w:p>
    <w:p>
      <w:pPr>
        <w:numPr>
          <w:ilvl w:val="0"/>
          <w:numId w:val="3529"/>
        </w:numPr>
      </w:pPr>
      <w:r>
        <w:t xml:space="preserve">C. Authority The Director of Public Works will review and make final decisions on public right-of-way encroachment permits.</w:t>
      </w:r>
    </w:p>
    <w:p>
      <w:pPr>
        <w:numPr>
          <w:ilvl w:val="0"/>
          <w:numId w:val="3530"/>
        </w:numPr>
      </w:pPr>
      <w:r>
        <w:t xml:space="preserve">D. Procedure Within a reasonable time following receipt of a complete application, the Director of Public Works will review the application and approve the permit if he or she finds that the encroachment will not impair the public health, safety, or welfare, and if the encroachment is proposed to be supported by the ground within the public right-of-way, that it does not have an adverse impact on pedestrian or wheelchair access. All encroachments shall conform to the applicable building code and this Ordinance as certified by the Director of the Department of Inspection and Standards.</w:t>
      </w:r>
    </w:p>
    <w:p>
      <w:pPr>
        <w:numPr>
          <w:ilvl w:val="0"/>
          <w:numId w:val="3531"/>
        </w:numPr>
      </w:pPr>
      <w:r>
        <w:t xml:space="preserve">E. Encroachment Permissions Two types of encroachment into the right-of-way are permitted by this Ordinance: encroachment not for habitation and encroachment for habitation. The regulations for such encroachments are found in Section 1303.</w:t>
      </w:r>
    </w:p>
    <w:p>
      <w:pPr>
        <w:numPr>
          <w:ilvl w:val="0"/>
          <w:numId w:val="3532"/>
        </w:numPr>
      </w:pPr>
      <w:r>
        <w:t xml:space="preserve">F. Additional Encroachments All encroachments not described in Section 1303 require an easement to be granted at the sole discretion of the City Council.</w:t>
      </w:r>
    </w:p>
    <w:bookmarkEnd w:id="172"/>
    <w:bookmarkStart w:id="173" w:name="building-permit"/>
    <w:p>
      <w:pPr>
        <w:pStyle w:val="Heading2"/>
      </w:pPr>
      <w:r>
        <w:t xml:space="preserve">§ 1915. BUILDING PERMIT</w:t>
      </w:r>
    </w:p>
    <w:p>
      <w:pPr>
        <w:pStyle w:val="FirstParagraph"/>
      </w:pPr>
      <w:r>
        <w:t xml:space="preserve">1915 BUILDING PERMIT An application for a building permit for an addition, erection, or enlargement, under the provisions of the Rhode Island Building Code, or for installation or modification to any sign requiring a permit shall be accompanied by a site plan, drawn to scale, showing the accurate dimensions of: the lot; the building site, the location and size of existing buildings on the lot, all proposed construction, all front, side and rear yard dimensions, proposed parking areas, and such other information as may be necessary to enforce the provisions of this Ordinance. The zoning enforcement officer may require a survey if it is reasonably necessary to determine zoning compliance. A site plan is not required with an application for a permit involving the alteration of an existing building(s), where the use and exterior surfaces of the buildings are not changed or enlarged in any manner.</w:t>
      </w:r>
    </w:p>
    <w:bookmarkEnd w:id="173"/>
    <w:bookmarkStart w:id="174" w:name="zoning-certificate-for-compliance"/>
    <w:p>
      <w:pPr>
        <w:pStyle w:val="Heading2"/>
      </w:pPr>
      <w:r>
        <w:t xml:space="preserve">§ 1916. ZONING CERTIFICATE FOR COMPLIANCE</w:t>
      </w:r>
    </w:p>
    <w:p>
      <w:pPr>
        <w:pStyle w:val="FirstParagraph"/>
      </w:pPr>
      <w:r>
        <w:t xml:space="preserve">1916 ZONING CERTIFICATE FOR COMPLIANCE A zoning certificate for compliance is required for any action undertaken for which conformance to this Ordinance is required, but that does not require a building permit under the provisions of the Rhode Island Building Code. For example, when new areas of pavement do not require a building permit, a zoning certificate for compliance indicating conformance to all provisions of this Ordinance is required.</w:t>
      </w:r>
    </w:p>
    <w:bookmarkEnd w:id="174"/>
    <w:bookmarkStart w:id="175" w:name="certificate-of-occupancy"/>
    <w:p>
      <w:pPr>
        <w:pStyle w:val="Heading2"/>
      </w:pPr>
      <w:r>
        <w:t xml:space="preserve">§ 1917. CERTIFICATE OF OCCUPANCY</w:t>
      </w:r>
    </w:p>
    <w:p>
      <w:pPr>
        <w:pStyle w:val="FirstParagraph"/>
      </w:pPr>
      <w:r>
        <w:t xml:space="preserve">1917 CERTIFICATE OF OCCUPANCY The occupancy, use, or change of use of any structure or land requires a certificate of occupancy issued by the Director of the Department of Inspection and Standards in accordance with the requirements for the issuance of a certificate of occupancy as stated in the Rhode Island Building Code. A certificate of occupancy is required for any of the following:</w:t>
      </w:r>
    </w:p>
    <w:p>
      <w:pPr>
        <w:numPr>
          <w:ilvl w:val="0"/>
          <w:numId w:val="3533"/>
        </w:numPr>
      </w:pPr>
      <w:r>
        <w:t xml:space="preserve">A. Occupancy and use of a building hereafter erected or enlarged.</w:t>
      </w:r>
    </w:p>
    <w:p>
      <w:pPr>
        <w:numPr>
          <w:ilvl w:val="0"/>
          <w:numId w:val="3534"/>
        </w:numPr>
      </w:pPr>
      <w:r>
        <w:t xml:space="preserve">B. Change in use of an existing building to a different use.</w:t>
      </w:r>
    </w:p>
    <w:p>
      <w:pPr>
        <w:numPr>
          <w:ilvl w:val="0"/>
          <w:numId w:val="3535"/>
        </w:numPr>
      </w:pPr>
      <w:r>
        <w:t xml:space="preserve">C. Occupancy and use of vacant land except for the raising of crops.</w:t>
      </w:r>
    </w:p>
    <w:p>
      <w:pPr>
        <w:numPr>
          <w:ilvl w:val="0"/>
          <w:numId w:val="3536"/>
        </w:numPr>
      </w:pPr>
      <w:r>
        <w:t xml:space="preserve">D. Change in the use of land to different use except for the raising of crops.</w:t>
      </w:r>
    </w:p>
    <w:p>
      <w:pPr>
        <w:numPr>
          <w:ilvl w:val="0"/>
          <w:numId w:val="3537"/>
        </w:numPr>
      </w:pPr>
      <w:r>
        <w:t xml:space="preserve">E. Any change in use of a nonconforming use.</w:t>
      </w:r>
    </w:p>
    <w:bookmarkEnd w:id="175"/>
    <w:bookmarkStart w:id="176" w:name="appeals"/>
    <w:p>
      <w:pPr>
        <w:pStyle w:val="Heading2"/>
      </w:pPr>
      <w:r>
        <w:t xml:space="preserve">§ 1918. APPEALS</w:t>
      </w:r>
    </w:p>
    <w:p>
      <w:pPr>
        <w:pStyle w:val="FirstParagraph"/>
      </w:pPr>
      <w:r>
        <w:t xml:space="preserve">1918 APPEALS</w:t>
      </w:r>
    </w:p>
    <w:p>
      <w:pPr>
        <w:numPr>
          <w:ilvl w:val="0"/>
          <w:numId w:val="3538"/>
        </w:numPr>
      </w:pPr>
      <w:r>
        <w:t xml:space="preserve">A. Purpose The appeals process is intended to provide a procedure for review where it is alleged there is error in any order, requirement, decision, or determination made by a decision-making body or official under this ordinance.</w:t>
      </w:r>
    </w:p>
    <w:p>
      <w:pPr>
        <w:numPr>
          <w:ilvl w:val="0"/>
          <w:numId w:val="3539"/>
        </w:numPr>
      </w:pPr>
      <w:r>
        <w:t xml:space="preserve">B. Initiation</w:t>
      </w:r>
    </w:p>
    <w:p>
      <w:pPr>
        <w:numPr>
          <w:ilvl w:val="0"/>
          <w:numId w:val="1000"/>
        </w:numPr>
      </w:pPr>
      <w:r>
        <w:t xml:space="preserve">1. An appeal to the Zoning Board of Review from a decision of the Historic District Commission or from any error in any order, requirement, decision, or determination other than determinations pursuant to Section 1913.B made by the Director of the Department of Inspection and Standards or other authorized agent in the enforcement of this Ordinance, may be taken by an aggrieved party.</w:t>
      </w:r>
    </w:p>
    <w:p>
      <w:pPr>
        <w:numPr>
          <w:ilvl w:val="0"/>
          <w:numId w:val="3540"/>
        </w:numPr>
      </w:pPr>
      <w:r>
        <w:t xml:space="preserve">2. If no written response to a written request for a zoning certificate is provided by the Director of Inspection and Standards within the time period in Section 1913.B, the requesting party may take an appeal to the Zoning Board of Review for a determination.</w:t>
      </w:r>
    </w:p>
    <w:p>
      <w:pPr>
        <w:numPr>
          <w:ilvl w:val="0"/>
          <w:numId w:val="3541"/>
        </w:numPr>
      </w:pPr>
      <w:r>
        <w:t xml:space="preserve">3. Appeals of decisions related to land development projects and development plan review shall follow the procedures in the development review regulations adopted by the City Plan Commission.</w:t>
      </w:r>
    </w:p>
    <w:p>
      <w:pPr>
        <w:pStyle w:val="Compact"/>
        <w:numPr>
          <w:ilvl w:val="0"/>
          <w:numId w:val="3542"/>
        </w:numPr>
      </w:pPr>
    </w:p>
    <w:p>
      <w:pPr>
        <w:numPr>
          <w:ilvl w:val="1"/>
          <w:numId w:val="3543"/>
        </w:numPr>
      </w:pPr>
      <w:r>
        <w:t xml:space="preserve">C. Authority The Zoning Board of Review makes final decisions on zoning appeals.</w:t>
      </w:r>
    </w:p>
    <w:p>
      <w:pPr>
        <w:pStyle w:val="Compact"/>
        <w:numPr>
          <w:ilvl w:val="0"/>
          <w:numId w:val="3544"/>
        </w:numPr>
      </w:pPr>
    </w:p>
    <w:p>
      <w:pPr>
        <w:numPr>
          <w:ilvl w:val="1"/>
          <w:numId w:val="3545"/>
        </w:numPr>
      </w:pPr>
      <w:r>
        <w:t xml:space="preserve">D. Procedure</w:t>
      </w:r>
    </w:p>
    <w:p>
      <w:pPr>
        <w:numPr>
          <w:ilvl w:val="1"/>
          <w:numId w:val="1000"/>
        </w:numPr>
      </w:pPr>
      <w:r>
        <w:t xml:space="preserve">1. All appeals shall be submitted in accordance with Section 1800, on a form to be provided by the Zoning Board of Review.</w:t>
      </w:r>
    </w:p>
    <w:p>
      <w:pPr>
        <w:numPr>
          <w:ilvl w:val="0"/>
          <w:numId w:val="3546"/>
        </w:numPr>
      </w:pPr>
      <w:r>
        <w:t xml:space="preserve">2. An appeal to the Zoning Board of Review shall be filed within 20 days of the recording of a decision of the Director of the Department of Inspection and Standards, Historic District Commission, or their officers or agents authorized to make a final decision. If no such decision is required to be recorded, then an appeal shall be filed within 30 days after the time when the aggrieved party knew or should have known of the decision.</w:t>
      </w:r>
    </w:p>
    <w:p>
      <w:pPr>
        <w:numPr>
          <w:ilvl w:val="0"/>
          <w:numId w:val="3547"/>
        </w:numPr>
      </w:pPr>
      <w:r>
        <w:t xml:space="preserve">3. The notice of appeal shall be filed with the officer or agency from whom the appeal is taken and also with the Zoning Board of Review. The notice of appeal shall specify the ground(s) of the appeal. The officer or agency from whom the appeal is taken shall promptly transmit to the Zoning Board of Review all the papers and electronic records constituting the record for the action or decision upon which the action appealed from was taken.</w:t>
      </w:r>
    </w:p>
    <w:p>
      <w:pPr>
        <w:pStyle w:val="Compact"/>
        <w:numPr>
          <w:ilvl w:val="0"/>
          <w:numId w:val="3548"/>
        </w:numPr>
      </w:pPr>
    </w:p>
    <w:p>
      <w:pPr>
        <w:numPr>
          <w:ilvl w:val="1"/>
          <w:numId w:val="3549"/>
        </w:numPr>
      </w:pPr>
      <w:r>
        <w:t xml:space="preserve">E. Appeals from Decisions of the Zoning Board of Review Any aggrieved party may appeal a decision of the Zoning Board of Review to the Rhode Island Superior Court within 20 days after such decision is recorded and posted in the office of the City Clerk.</w:t>
      </w:r>
    </w:p>
    <w:bookmarkEnd w:id="176"/>
    <w:bookmarkStart w:id="177" w:name="X0212e002f65f7fa9d218e5febdc49a6a0555143"/>
    <w:p>
      <w:pPr>
        <w:pStyle w:val="Heading1"/>
      </w:pPr>
      <w:r>
        <w:t xml:space="preserve">§ 20. NONCONFORMITIES AND USES BY VARIANCE OR SPECIAL USES</w:t>
      </w:r>
    </w:p>
    <w:p>
      <w:pPr>
        <w:pStyle w:val="FirstParagraph"/>
      </w:pPr>
      <w:r>
        <w:t xml:space="preserve">ARTICLE 20. NONCONFORMITIES AND USES BY VARIANCE OR SPECIAL USES 2000 GENERAL APPLICABILITY 2001 NONCONFORMING USE 2002 NONCONFORMING STRUCTURE 2003 NONCONFORMING LOT 2004 NONCONFORMING SITE ELEMENTS 2005 NONCONFORMING SIGNS 2006 USES BY VARIANCE OR SPECIAL USE PERMIT</w:t>
      </w:r>
    </w:p>
    <w:bookmarkEnd w:id="177"/>
    <w:bookmarkStart w:id="178" w:name="general-applicability"/>
    <w:p>
      <w:pPr>
        <w:pStyle w:val="Heading2"/>
      </w:pPr>
      <w:r>
        <w:t xml:space="preserve">§ 2000. GENERAL APPLICABILITY</w:t>
      </w:r>
    </w:p>
    <w:p>
      <w:pPr>
        <w:pStyle w:val="FirstParagraph"/>
      </w:pPr>
      <w:r>
        <w:t xml:space="preserve">2000 GENERAL APPLICABILITY</w:t>
      </w:r>
    </w:p>
    <w:p>
      <w:pPr>
        <w:numPr>
          <w:ilvl w:val="0"/>
          <w:numId w:val="3550"/>
        </w:numPr>
      </w:pPr>
      <w:r>
        <w:t xml:space="preserve">A. Authority to Continue Any structure, use, lot, site element, or sign that legally existed as a nonconformity as of the effective date of this Ordinance, and any structure, use, lot, site element, or sign that has been made nonconforming as of the effective date of this Ordinance, and any subsequent amendments, may continue subject to the provisions of this Article so long as it remains otherwise legal. A structure, use, lot, site element, or sign that is illegal as of the effective date of this Ordinance, remains illegal if it does not conform with every requirement of this Ordinance.</w:t>
      </w:r>
    </w:p>
    <w:p>
      <w:pPr>
        <w:numPr>
          <w:ilvl w:val="0"/>
          <w:numId w:val="3551"/>
        </w:numPr>
      </w:pPr>
      <w:r>
        <w:t xml:space="preserve">B. Burden on Property Owner The burden of establishing the legality of a nonconformity under the provisions of this Ordinance is the responsibility of the property owner of the nonconforming structure, lot, site element, or sign, or the operator of the use.</w:t>
      </w:r>
    </w:p>
    <w:p>
      <w:pPr>
        <w:numPr>
          <w:ilvl w:val="0"/>
          <w:numId w:val="3552"/>
        </w:numPr>
      </w:pPr>
      <w:r>
        <w:t xml:space="preserve">C. Safety Regulations All police power regulations enacted to promote public health, safety, and welfare including, but not limited to, all building, fire, and health codes apply to nonconformities.</w:t>
      </w:r>
    </w:p>
    <w:bookmarkEnd w:id="178"/>
    <w:bookmarkStart w:id="179" w:name="nonconforming-use"/>
    <w:p>
      <w:pPr>
        <w:pStyle w:val="Heading2"/>
      </w:pPr>
      <w:r>
        <w:t xml:space="preserve">§ 2001. NONCONFORMING USE</w:t>
      </w:r>
    </w:p>
    <w:p>
      <w:pPr>
        <w:pStyle w:val="FirstParagraph"/>
      </w:pPr>
      <w:r>
        <w:t xml:space="preserve">2001 NONCONFORMING USE</w:t>
      </w:r>
    </w:p>
    <w:p>
      <w:pPr>
        <w:numPr>
          <w:ilvl w:val="0"/>
          <w:numId w:val="3553"/>
        </w:numPr>
      </w:pPr>
      <w:r>
        <w:t xml:space="preserve">A. Definition A nonconforming use is the use of a structure or land that at one time was an allowed use within a zoning district but because of subsequent amendments to the Ordinance is no longer allowed.</w:t>
      </w:r>
    </w:p>
    <w:p>
      <w:pPr>
        <w:numPr>
          <w:ilvl w:val="0"/>
          <w:numId w:val="3554"/>
        </w:numPr>
      </w:pPr>
      <w:r>
        <w:t xml:space="preserve">B. Expansion A nonconforming use of a structure or land cannot be expanded, except as otherwise provided herein. This includes expansion, extension, or relocation of a nonconforming use to any other structure on the lot, additional gross floor area devoted to the nonconforming use, or occupying any land area currently not occupied by such nonconforming use. Notwithstanding the foregoing or anything contained in this Ordinance to the contrary, the gross floor area of a nonconforming use may be expanded by obtaining a special use permit from the Zoning Board of Review. In addition to meeting the requirements for a special use permit pursuant to Section 1901 of this Ordinance, an applicant seeking to expand the gross floor area of a nonconforming use shall also present evidence to the Zoning Board of Review that:</w:t>
      </w:r>
    </w:p>
    <w:p>
      <w:pPr>
        <w:numPr>
          <w:ilvl w:val="0"/>
          <w:numId w:val="3555"/>
        </w:numPr>
      </w:pPr>
      <w:r>
        <w:t xml:space="preserve">1. The expansion is not an increase in excess of five percent of the total gross floor area of the use;</w:t>
      </w:r>
    </w:p>
    <w:p>
      <w:pPr>
        <w:numPr>
          <w:ilvl w:val="0"/>
          <w:numId w:val="3556"/>
        </w:numPr>
      </w:pPr>
      <w:r>
        <w:t xml:space="preserve">2. All uses on the property shall be brought into conformance with all applicable standards listed in Article 12;</w:t>
      </w:r>
    </w:p>
    <w:p>
      <w:pPr>
        <w:numPr>
          <w:ilvl w:val="0"/>
          <w:numId w:val="3557"/>
        </w:numPr>
      </w:pPr>
      <w:r>
        <w:t xml:space="preserve">3. The entire property shall be brought into conformance with the landscaping regulations of Article 15.</w:t>
      </w:r>
    </w:p>
    <w:p>
      <w:pPr>
        <w:pStyle w:val="Compact"/>
        <w:numPr>
          <w:ilvl w:val="0"/>
          <w:numId w:val="3558"/>
        </w:numPr>
      </w:pPr>
    </w:p>
    <w:p>
      <w:pPr>
        <w:numPr>
          <w:ilvl w:val="1"/>
          <w:numId w:val="3559"/>
        </w:numPr>
      </w:pPr>
      <w:r>
        <w:t xml:space="preserve">C. Intensification A nonconforming use of a structure or land cannot be intensified in any manner. Intensification includes, but is not limited to, increasing hours of operation, increasing the number of dwelling units, increasing the number of parking spaces, reducing total lot area to below that which is required for a new subdivision, or increasing the seating or occupancy capacity of any use. However, this does not prohibit the reconfiguration of existing dwelling units within a structure so long as such reconfiguration complies with the requirements of item B above.</w:t>
      </w:r>
    </w:p>
    <w:p>
      <w:pPr>
        <w:pStyle w:val="Compact"/>
        <w:numPr>
          <w:ilvl w:val="0"/>
          <w:numId w:val="3560"/>
        </w:numPr>
      </w:pPr>
    </w:p>
    <w:p>
      <w:pPr>
        <w:numPr>
          <w:ilvl w:val="1"/>
          <w:numId w:val="3561"/>
        </w:numPr>
      </w:pPr>
      <w:r>
        <w:t xml:space="preserve">D. Relocation A nonconforming use cannot be relocated, in whole or in part, to any other location on the same lot. The nonconforming use may only be relocated to another structure or lot if the use conforms to all regulations of the zoning district where it is relocated.</w:t>
      </w:r>
    </w:p>
    <w:p>
      <w:pPr>
        <w:pStyle w:val="Compact"/>
        <w:numPr>
          <w:ilvl w:val="0"/>
          <w:numId w:val="3562"/>
        </w:numPr>
      </w:pPr>
    </w:p>
    <w:p>
      <w:pPr>
        <w:numPr>
          <w:ilvl w:val="1"/>
          <w:numId w:val="3563"/>
        </w:numPr>
      </w:pPr>
      <w:r>
        <w:t xml:space="preserve">E. Change of Use</w:t>
      </w:r>
    </w:p>
    <w:p>
      <w:pPr>
        <w:numPr>
          <w:ilvl w:val="1"/>
          <w:numId w:val="1000"/>
        </w:numPr>
      </w:pPr>
      <w:r>
        <w:t xml:space="preserve">1. Residential Districts Within any residential district, a nonconforming use may not be changed to any other nonconforming use. Within residential districts, a portion of a building containing a nonconforming use may be converted to a single dwelling unit, regardless of the maximum number of units permitted by the dimensional regulations in this Ordinance.</w:t>
      </w:r>
    </w:p>
    <w:p>
      <w:pPr>
        <w:numPr>
          <w:ilvl w:val="0"/>
          <w:numId w:val="3564"/>
        </w:numPr>
      </w:pPr>
      <w:r>
        <w:t xml:space="preserve">2. Non-Residential Districts Within any non-residential district, a nonconforming use may be changed to another nonconforming use by special use permit if the Zoning Board of Review deems the proposed use to be less intensive than the existing use.</w:t>
      </w:r>
    </w:p>
    <w:p>
      <w:pPr>
        <w:pStyle w:val="Compact"/>
        <w:numPr>
          <w:ilvl w:val="0"/>
          <w:numId w:val="3565"/>
        </w:numPr>
      </w:pPr>
    </w:p>
    <w:p>
      <w:pPr>
        <w:numPr>
          <w:ilvl w:val="1"/>
          <w:numId w:val="3566"/>
        </w:numPr>
      </w:pPr>
      <w:r>
        <w:t xml:space="preserve">F. Discontinuation or Abandonment If a nonconforming use is abandoned, it may not be reestablished. Abandonment of a nonconforming use consists of some overt act, or failure to act, which leads one to believe that the owner of the nonconforming use neither claims nor retains any interest in continuing the nonconforming use unless the owner can demonstrate an intent not to abandon the use. An involuntary interruption of nonconforming use, as by fire and natural catastrophe, does not establish the intent to abandon the nonconforming use. However, if any nonconforming use is halted for a period of one year, the owner of the nonconforming use is presumed to have abandoned the nonconforming use, unless that presumption is rebutted by the presentation of sufficient evidence of intent not to abandon the use.</w:t>
      </w:r>
    </w:p>
    <w:p>
      <w:pPr>
        <w:pStyle w:val="Compact"/>
        <w:numPr>
          <w:ilvl w:val="0"/>
          <w:numId w:val="3567"/>
        </w:numPr>
      </w:pPr>
    </w:p>
    <w:p>
      <w:pPr>
        <w:numPr>
          <w:ilvl w:val="1"/>
          <w:numId w:val="3568"/>
        </w:numPr>
      </w:pPr>
      <w:r>
        <w:t xml:space="preserve">G. Damage or Destruction In the event that any structure that is devoted in whole or in part to a nonconforming use is structurally damaged or destroyed through no fault of the property owner or tenant, the nonconforming use may be re-established provided that no new nonconformities are created and the degree of the previous nonconformity is not increased. If the structure containing the nonconforming use is a nonconforming structure, the structure may only be rebuilt, restored, repaired, or reconstructed in accordance with Section 2002. However, if a building permit is not obtained within one year of the date of damage or destruction, then the nonconforming use may not be reestablished.</w:t>
      </w:r>
    </w:p>
    <w:p>
      <w:pPr>
        <w:pStyle w:val="Compact"/>
        <w:numPr>
          <w:ilvl w:val="0"/>
          <w:numId w:val="3569"/>
        </w:numPr>
      </w:pPr>
    </w:p>
    <w:p>
      <w:pPr>
        <w:numPr>
          <w:ilvl w:val="1"/>
          <w:numId w:val="3570"/>
        </w:numPr>
      </w:pPr>
      <w:r>
        <w:t xml:space="preserve">H. Notwithstanding the fact that a Self-Storage Facility is no longer permitted in any zoning district and therefore is a non-conforming use under the definition of item A above, a Self-Storage Facility which obtained a building permit prior to the enactment of Ordinance 2023-16 No. 324 on July 25, 2023 shall be exempt from the restrictive requirements of items B (Expansion), C (Intensification), D (Relocation as pertaining to relocating, in whole or in part, to any other location on the same lot) and may be permitted to expand, intensify, and relocate within the existing Self-Storage facility and/or lots where it is located by special use permit. This subsection shall only apply to those properties located within a M-1 zoning district that are subject to land use restrictions prohibiting residential use. These prohibitions include, but are not limited to, land use restrictions imposed by the Rhode Island Department of Environmental Management.</w:t>
      </w:r>
    </w:p>
    <w:bookmarkEnd w:id="179"/>
    <w:bookmarkStart w:id="180" w:name="nonconforming-structure"/>
    <w:p>
      <w:pPr>
        <w:pStyle w:val="Heading2"/>
      </w:pPr>
      <w:r>
        <w:t xml:space="preserve">§ 2002. NONCONFORMING STRUCTURE</w:t>
      </w:r>
    </w:p>
    <w:p>
      <w:pPr>
        <w:pStyle w:val="FirstParagraph"/>
      </w:pPr>
      <w:r>
        <w:t xml:space="preserve">2002 NONCONFORMING STRUCTURE</w:t>
      </w:r>
    </w:p>
    <w:p>
      <w:pPr>
        <w:numPr>
          <w:ilvl w:val="0"/>
          <w:numId w:val="3571"/>
        </w:numPr>
      </w:pPr>
      <w:r>
        <w:t xml:space="preserve">A. Definition A nonconforming structure is a principal or accessory structure that at one time conformed to zoning district regulations but because of subsequent amendments to the Ordinance no longer conforms to applicable dimensional and/or bulk regulations. Certain nonconforming site elements are regulated separately by Section 2004.</w:t>
      </w:r>
    </w:p>
    <w:p>
      <w:pPr>
        <w:numPr>
          <w:ilvl w:val="0"/>
          <w:numId w:val="3572"/>
        </w:numPr>
      </w:pPr>
      <w:r>
        <w:t xml:space="preserve">B. Maintenance Normal maintenance and incidental repair may be performed on any nonconforming structure. No repairs or reconstruction are permitted that would create any new nonconformity or increase the degree of the existing nonconformity.</w:t>
      </w:r>
    </w:p>
    <w:p>
      <w:pPr>
        <w:numPr>
          <w:ilvl w:val="0"/>
          <w:numId w:val="3573"/>
        </w:numPr>
      </w:pPr>
      <w:r>
        <w:t xml:space="preserve">C. Structural Alterations No structural alterations are permitted on any nonconforming structure, except in the following situations:</w:t>
      </w:r>
    </w:p>
    <w:p>
      <w:pPr>
        <w:numPr>
          <w:ilvl w:val="0"/>
          <w:numId w:val="3574"/>
        </w:numPr>
      </w:pPr>
      <w:r>
        <w:t xml:space="preserve">1. When the alteration is required by law or is necessary to restore the structure to a safe condition upon the order of any official charged with protecting public safety.</w:t>
      </w:r>
    </w:p>
    <w:p>
      <w:pPr>
        <w:numPr>
          <w:ilvl w:val="0"/>
          <w:numId w:val="3575"/>
        </w:numPr>
      </w:pPr>
      <w:r>
        <w:t xml:space="preserve">2. When the alteration will eliminate the nonconformity.</w:t>
      </w:r>
    </w:p>
    <w:p>
      <w:pPr>
        <w:numPr>
          <w:ilvl w:val="0"/>
          <w:numId w:val="3576"/>
        </w:numPr>
      </w:pPr>
      <w:r>
        <w:t xml:space="preserve">3. When the alteration will not create any new nonconformity or increase the degree of any existing nonconformity. For example, if a structure is nonconforming in terms of the required front setback (i.e., does not meet the required minimum), the structure may add a rear addition if it meets all other district regulations.</w:t>
      </w:r>
    </w:p>
    <w:p>
      <w:pPr>
        <w:pStyle w:val="Compact"/>
        <w:numPr>
          <w:ilvl w:val="0"/>
          <w:numId w:val="3577"/>
        </w:numPr>
      </w:pPr>
    </w:p>
    <w:p>
      <w:pPr>
        <w:numPr>
          <w:ilvl w:val="1"/>
          <w:numId w:val="3578"/>
        </w:numPr>
      </w:pPr>
      <w:r>
        <w:t xml:space="preserve">D. Relocation A nonconforming structure cannot be relocated, in whole or in part, to any other location on the same lot unless such relocation would make the structure conforming. A nonconforming structure may be relocated to another lot if the structure conforms to all regulations of the zoning district where it is relocated.</w:t>
      </w:r>
    </w:p>
    <w:p>
      <w:pPr>
        <w:pStyle w:val="Compact"/>
        <w:numPr>
          <w:ilvl w:val="0"/>
          <w:numId w:val="3579"/>
        </w:numPr>
      </w:pPr>
    </w:p>
    <w:p>
      <w:pPr>
        <w:numPr>
          <w:ilvl w:val="1"/>
          <w:numId w:val="3580"/>
        </w:numPr>
      </w:pPr>
      <w:r>
        <w:t xml:space="preserve">E. Damage or Destruction</w:t>
      </w:r>
    </w:p>
    <w:p>
      <w:pPr>
        <w:numPr>
          <w:ilvl w:val="1"/>
          <w:numId w:val="1000"/>
        </w:numPr>
      </w:pPr>
      <w:r>
        <w:t xml:space="preserve">1. In the event that a nonconforming structure is damaged or destroyed by the fault of the property owner or tenant, the structure, as restored or repaired, shall be rebuilt to comply with all requirements of this Ordinance.</w:t>
      </w:r>
    </w:p>
    <w:p>
      <w:pPr>
        <w:numPr>
          <w:ilvl w:val="0"/>
          <w:numId w:val="3581"/>
        </w:numPr>
      </w:pPr>
      <w:r>
        <w:t xml:space="preserve">2. In the event that any nonconforming structure is damaged or destroyed through no fault of the property owner or tenant, it may be repaired or rebuilt to the same size and dimension as previously existed, provided that a building permit is obtained within one year following the damage or destruction.</w:t>
      </w:r>
    </w:p>
    <w:p>
      <w:pPr>
        <w:pStyle w:val="Compact"/>
        <w:numPr>
          <w:ilvl w:val="0"/>
          <w:numId w:val="3582"/>
        </w:numPr>
      </w:pPr>
    </w:p>
    <w:p>
      <w:pPr>
        <w:numPr>
          <w:ilvl w:val="1"/>
          <w:numId w:val="3583"/>
        </w:numPr>
      </w:pPr>
      <w:r>
        <w:t xml:space="preserve">F. Extension of Walls for Nonconforming Single-Family, Two-Family, Three-Family, and Rowhouse Dwellings Where a single-family, two-family, three-family, or rowhouse dwelling is deemed nonconforming because of encroachment into the required interior side or rear yard, the structure may be enlarged or extended vertically or horizontally along the same plane as defined by its existing perimeter walls, so long as the resulting structure does not increase the degree of the existing nonconformity or otherwise violate this Ordinance. (Figure 20-1)</w:t>
      </w:r>
    </w:p>
    <w:bookmarkEnd w:id="180"/>
    <w:bookmarkStart w:id="181" w:name="nonconforming-lot"/>
    <w:p>
      <w:pPr>
        <w:pStyle w:val="Heading2"/>
      </w:pPr>
      <w:r>
        <w:t xml:space="preserve">§ 2003. NONCONFORMING LOT</w:t>
      </w:r>
    </w:p>
    <w:p>
      <w:pPr>
        <w:pStyle w:val="FirstParagraph"/>
      </w:pPr>
      <w:r>
        <w:t xml:space="preserve">2003 NONCONFORMING LOT</w:t>
      </w:r>
    </w:p>
    <w:p>
      <w:pPr>
        <w:numPr>
          <w:ilvl w:val="0"/>
          <w:numId w:val="3584"/>
        </w:numPr>
      </w:pPr>
      <w:r>
        <w:t xml:space="preserve">A. Definition A nonconforming lot is synonymous with a substandard lot of record, as defined in Section 201.</w:t>
      </w:r>
    </w:p>
    <w:p>
      <w:pPr>
        <w:numPr>
          <w:ilvl w:val="0"/>
          <w:numId w:val="3585"/>
        </w:numPr>
      </w:pPr>
      <w:r>
        <w:t xml:space="preserve">B. Development For development of a nonconforming lot, the setback, frontage, and/or lot width requirements for a structure under this section shall be reduced and the maximum building coverage requirements shall be increased by the same proportion as the lot area of the substandard lot is to the minimum lot area requirement for new subdivisions of the zoning district in which the lot is located. All other dimensional requirements for the zoning district shall apply.</w:t>
      </w:r>
    </w:p>
    <w:p>
      <w:pPr>
        <w:numPr>
          <w:ilvl w:val="0"/>
          <w:numId w:val="3586"/>
        </w:numPr>
      </w:pPr>
      <w:r>
        <w:t xml:space="preserve">C. Enlargement or Subdivision of Nonconforming Lots Lawfully established lots which have less than the minimum area requirements, may be maintained and may be changed by adding additional land to such lots without prejudice to the rights of the owner of such lots pursuant to the provisions of this Section. Such lots may be reconfigured by adjusting lot lines so long as there is no increase to the degree of an existing nonconformity and no new nonconformities are created.</w:t>
      </w:r>
    </w:p>
    <w:p>
      <w:pPr>
        <w:numPr>
          <w:ilvl w:val="0"/>
          <w:numId w:val="3587"/>
        </w:numPr>
      </w:pPr>
      <w:r>
        <w:t xml:space="preserve">D. Subdivision into Nonconforming Lots Where it is documented in an official tax assessor’s plat book published by the City of Providence that one or more nonconforming lots previously existed, a subdivision may be performed on the subject property to create the same number of lots that preceded the merger of such lots as long as each of the resultant lots contains at least 3,000 sf and 30 feet of lot width. Subdivision into nonconforming lots pursuant to this section shall not require zoning relief based solely on the reduced lot area of the newly created lot(s). The resulting subdivided lots shall be treated as substandard lots of record and are eligible for administrative modification. The subdivision is subject to all other regulations of this ordinance.</w:t>
      </w:r>
    </w:p>
    <w:p>
      <w:pPr>
        <w:numPr>
          <w:ilvl w:val="0"/>
          <w:numId w:val="3588"/>
        </w:numPr>
      </w:pPr>
      <w:r>
        <w:t xml:space="preserve">E. Oversized Lot Subdivision Minor subdivisions shall be permitted for an existing lot with the following characteristics:</w:t>
      </w:r>
    </w:p>
    <w:p>
      <w:pPr>
        <w:numPr>
          <w:ilvl w:val="0"/>
          <w:numId w:val="3589"/>
        </w:numPr>
      </w:pPr>
      <w:r>
        <w:t xml:space="preserve">1. The existing lot is located within a residential district.</w:t>
      </w:r>
    </w:p>
    <w:p>
      <w:pPr>
        <w:numPr>
          <w:ilvl w:val="0"/>
          <w:numId w:val="3590"/>
        </w:numPr>
      </w:pPr>
      <w:r>
        <w:t xml:space="preserve">2. Subdivision of the lot results in the creation of a vacant lot or lots for residential use.</w:t>
      </w:r>
    </w:p>
    <w:p>
      <w:pPr>
        <w:numPr>
          <w:ilvl w:val="0"/>
          <w:numId w:val="3591"/>
        </w:numPr>
      </w:pPr>
      <w:r>
        <w:t xml:space="preserve">3. The resulting vacant lots are equal to or greater in lot area than the lot area of at least 50% of the developed residential lots within 200 feet of the lot proposed for subdivision, as confirmed by a professional land surveyor based on a compilation plan, as such term is defined by the rules and regulations for professional land surveying.</w:t>
      </w:r>
    </w:p>
    <w:p>
      <w:pPr>
        <w:numPr>
          <w:ilvl w:val="0"/>
          <w:numId w:val="3592"/>
        </w:numPr>
      </w:pPr>
      <w:r>
        <w:t xml:space="preserve">4. Each resulting lot contains at least 3,000 sf. Oversized lot subdivisions shall not require zoning relief based solely on the reduced lot area of the newly created lot(s). The resulting subdivided lots shall be treated as a substandard lots of record and are eligible for administrative modification. Oversized lot subdivisions are subject to all other regulations of this ordinance.</w:t>
      </w:r>
    </w:p>
    <w:bookmarkEnd w:id="181"/>
    <w:bookmarkStart w:id="182" w:name="nonconforming-site-elements"/>
    <w:p>
      <w:pPr>
        <w:pStyle w:val="Heading2"/>
      </w:pPr>
      <w:r>
        <w:t xml:space="preserve">§ 2004. NONCONFORMING SITE ELEMENTS</w:t>
      </w:r>
    </w:p>
    <w:p>
      <w:pPr>
        <w:pStyle w:val="FirstParagraph"/>
      </w:pPr>
      <w:r>
        <w:t xml:space="preserve">2004 NONCONFORMING SITE ELEMENTS</w:t>
      </w:r>
    </w:p>
    <w:p>
      <w:pPr>
        <w:numPr>
          <w:ilvl w:val="0"/>
          <w:numId w:val="3593"/>
        </w:numPr>
      </w:pPr>
      <w:r>
        <w:t xml:space="preserve">A. Definition A nonconforming site element is a site development element, such as landscaping, fences or walls, lighting, parking, and site paving, that at one time conformed to the requirements of this Ordinance, but because of subsequent amendments, has been made nonconforming.</w:t>
      </w:r>
    </w:p>
    <w:p>
      <w:pPr>
        <w:numPr>
          <w:ilvl w:val="0"/>
          <w:numId w:val="3594"/>
        </w:numPr>
      </w:pPr>
      <w:r>
        <w:t xml:space="preserve">B. Maintenance Normal maintenance and incidental repair to a nonconforming site element may be performed. No repairs or reconstruction are permitted that would create any new nonconformity or increase the degree of the previously existing nonconformity.</w:t>
      </w:r>
    </w:p>
    <w:p>
      <w:pPr>
        <w:numPr>
          <w:ilvl w:val="0"/>
          <w:numId w:val="3595"/>
        </w:numPr>
      </w:pPr>
      <w:r>
        <w:t xml:space="preserve">C. Required Conformance</w:t>
      </w:r>
    </w:p>
    <w:p>
      <w:pPr>
        <w:numPr>
          <w:ilvl w:val="0"/>
          <w:numId w:val="1000"/>
        </w:numPr>
      </w:pPr>
      <w:r>
        <w:t xml:space="preserve">1. All nonconforming site elements shall be brought into conformance when the following occurs: a. A new principal structure is constructed.</w:t>
      </w:r>
    </w:p>
    <w:p>
      <w:pPr>
        <w:pStyle w:val="Compact"/>
        <w:numPr>
          <w:ilvl w:val="0"/>
          <w:numId w:val="3596"/>
        </w:numPr>
      </w:pPr>
    </w:p>
    <w:p>
      <w:pPr>
        <w:numPr>
          <w:ilvl w:val="1"/>
          <w:numId w:val="3597"/>
        </w:numPr>
      </w:pPr>
      <w:r>
        <w:t xml:space="preserve">b. The total area of building footprint, including principal and accessory structures, is increased by 30% or more.</w:t>
      </w:r>
    </w:p>
    <w:p>
      <w:pPr>
        <w:pStyle w:val="Compact"/>
        <w:numPr>
          <w:ilvl w:val="0"/>
          <w:numId w:val="3598"/>
        </w:numPr>
      </w:pPr>
    </w:p>
    <w:p>
      <w:pPr>
        <w:numPr>
          <w:ilvl w:val="1"/>
          <w:numId w:val="3599"/>
        </w:numPr>
      </w:pPr>
      <w:r>
        <w:t xml:space="preserve">c. An existing parking lot of 10 or more spaces is fully reconstructed or repaved or an existing parking lot area is expanded by 50%. Resealing or re-striping of an existing parking lot, which does not entail paving, resurfacing, or replacement of the asphalt, concrete, or other surface paving material, is not considered reconstruction.</w:t>
      </w:r>
    </w:p>
    <w:p>
      <w:pPr>
        <w:numPr>
          <w:ilvl w:val="0"/>
          <w:numId w:val="3600"/>
        </w:numPr>
      </w:pPr>
      <w:r>
        <w:t xml:space="preserve">2. When 50% or more of the length of a fence or wall is reconstructed along any one lot line, all fences or walls on the site shall be brought into conformance.</w:t>
      </w:r>
    </w:p>
    <w:p>
      <w:pPr>
        <w:numPr>
          <w:ilvl w:val="0"/>
          <w:numId w:val="3601"/>
        </w:numPr>
      </w:pPr>
      <w:r>
        <w:t xml:space="preserve">3. When 25% or more of exterior lighting fixtures are replaced, all exterior lighting on the site shall be brought into conformance.</w:t>
      </w:r>
    </w:p>
    <w:p>
      <w:pPr>
        <w:numPr>
          <w:ilvl w:val="0"/>
          <w:numId w:val="3602"/>
        </w:numPr>
      </w:pPr>
      <w:r>
        <w:t xml:space="preserve">4. Landscaping shall be brought into conformance when any of the following development activities occur. The limits of disturbance is defined as the boundary within which all construction, grading, paving or repaving, landscaping, and related activities occur.</w:t>
      </w:r>
    </w:p>
    <w:p>
      <w:pPr>
        <w:pStyle w:val="Compact"/>
        <w:numPr>
          <w:ilvl w:val="0"/>
          <w:numId w:val="3603"/>
        </w:numPr>
      </w:pPr>
    </w:p>
    <w:p>
      <w:pPr>
        <w:numPr>
          <w:ilvl w:val="1"/>
          <w:numId w:val="3604"/>
        </w:numPr>
      </w:pPr>
      <w:r>
        <w:t xml:space="preserve">a. Full conformance is required for the entire development or area within the limits of disturbance, whichever is less.</w:t>
      </w:r>
    </w:p>
    <w:p>
      <w:pPr>
        <w:pStyle w:val="Compact"/>
        <w:numPr>
          <w:ilvl w:val="0"/>
          <w:numId w:val="3605"/>
        </w:numPr>
      </w:pPr>
    </w:p>
    <w:p>
      <w:pPr>
        <w:numPr>
          <w:ilvl w:val="1"/>
          <w:numId w:val="3606"/>
        </w:numPr>
      </w:pPr>
      <w:r>
        <w:t xml:space="preserve">b. If the area within the limits of disturbance equals more than 50% of the area of the lot or lots being developed, the entire development shall conform.</w:t>
      </w:r>
    </w:p>
    <w:p>
      <w:pPr>
        <w:pStyle w:val="Compact"/>
        <w:numPr>
          <w:ilvl w:val="0"/>
          <w:numId w:val="3607"/>
        </w:numPr>
      </w:pPr>
    </w:p>
    <w:p>
      <w:pPr>
        <w:numPr>
          <w:ilvl w:val="1"/>
          <w:numId w:val="3608"/>
        </w:numPr>
      </w:pPr>
      <w:r>
        <w:t xml:space="preserve">b. No development or tree cutting may result in a loss of trees and landscaping below what is required by this Ordinance.</w:t>
      </w:r>
    </w:p>
    <w:p>
      <w:pPr>
        <w:numPr>
          <w:ilvl w:val="0"/>
          <w:numId w:val="3609"/>
        </w:numPr>
      </w:pPr>
      <w:r>
        <w:t xml:space="preserve">5. For new construction of accessory structure(s) exceeding 100 sf of building footprint or when an accessory structure is converted to living space, all site elements in the yard(s) where the construction or conversion takes place shall be brought into conformance.</w:t>
      </w:r>
    </w:p>
    <w:bookmarkEnd w:id="182"/>
    <w:bookmarkStart w:id="183" w:name="nonconforming-signs"/>
    <w:p>
      <w:pPr>
        <w:pStyle w:val="Heading2"/>
      </w:pPr>
      <w:r>
        <w:t xml:space="preserve">§ 2005. NONCONFORMING SIGNS</w:t>
      </w:r>
    </w:p>
    <w:p>
      <w:pPr>
        <w:pStyle w:val="FirstParagraph"/>
      </w:pPr>
      <w:r>
        <w:t xml:space="preserve">2005 NONCONFORMING SIGNS</w:t>
      </w:r>
    </w:p>
    <w:p>
      <w:pPr>
        <w:numPr>
          <w:ilvl w:val="0"/>
          <w:numId w:val="3610"/>
        </w:numPr>
      </w:pPr>
      <w:r>
        <w:t xml:space="preserve">A. A nonconforming sign and sign structure may remain in use, so long as it remains otherwise lawful and has not been damaged, destroyed, or removed as described in Paragraph D below. The sign face of an existing nonconforming sign may be replaced, but the structure cannot be altered to accommodate such change.</w:t>
      </w:r>
    </w:p>
    <w:p>
      <w:pPr>
        <w:numPr>
          <w:ilvl w:val="0"/>
          <w:numId w:val="3611"/>
        </w:numPr>
      </w:pPr>
      <w:r>
        <w:t xml:space="preserve">B. No nonconforming sign and sign structure may be relocated, in whole or in part, to any other location on the same or other lot, unless the entire sign and sign structure conforms to all regulations of the zoning district in which the sign is relocated.</w:t>
      </w:r>
    </w:p>
    <w:p>
      <w:pPr>
        <w:numPr>
          <w:ilvl w:val="0"/>
          <w:numId w:val="3612"/>
        </w:numPr>
      </w:pPr>
      <w:r>
        <w:t xml:space="preserve">C. No nonconforming sign can be altered or enlarged in a way that increases the nonconformity of the sign or sign structure. This in no way precludes normal maintenance and cleaning or changing of the sign face.</w:t>
      </w:r>
    </w:p>
    <w:p>
      <w:pPr>
        <w:numPr>
          <w:ilvl w:val="0"/>
          <w:numId w:val="3613"/>
        </w:numPr>
      </w:pPr>
      <w:r>
        <w:t xml:space="preserve">D. In the event that any nonconforming sign and sign structure is damaged or destroyed to the extent of more than 50% of its value prior to the damage, the sign and sign structure cannot be restored or repaired unless it conforms to all applicable regulations for the district.</w:t>
      </w:r>
    </w:p>
    <w:p>
      <w:pPr>
        <w:numPr>
          <w:ilvl w:val="0"/>
          <w:numId w:val="3614"/>
        </w:numPr>
      </w:pPr>
      <w:r>
        <w:t xml:space="preserve">E. Any nonconforming sign that is located on property that has failed to maintain a valid business license or that becomes vacant and unoccupied for a period of one year or more is presumed abandoned. Abandoned nonconforming signs shall be removed by the owner of the sign or the property owner of the premises. No permits or approvals may be issued for buildings with nonconforming abandoned signs until such signs are removed. No business license may be issued for businesses with nonconforming abandoned signs after the date that such nonconforming signs are required to be removed or come into conformance.</w:t>
      </w:r>
    </w:p>
    <w:bookmarkEnd w:id="183"/>
    <w:bookmarkStart w:id="184" w:name="uses-by-variance-or-special-use-permit"/>
    <w:p>
      <w:pPr>
        <w:pStyle w:val="Heading2"/>
      </w:pPr>
      <w:r>
        <w:t xml:space="preserve">§ 2006. USES BY VARIANCE OR SPECIAL USE PERMIT</w:t>
      </w:r>
    </w:p>
    <w:p>
      <w:pPr>
        <w:pStyle w:val="FirstParagraph"/>
      </w:pPr>
      <w:r>
        <w:t xml:space="preserve">2006 USES BY VARIANCE OR SPECIAL USE PERMIT</w:t>
      </w:r>
    </w:p>
    <w:p>
      <w:pPr>
        <w:numPr>
          <w:ilvl w:val="0"/>
          <w:numId w:val="3615"/>
        </w:numPr>
      </w:pPr>
      <w:r>
        <w:t xml:space="preserve">A. Definition Any use or dimensional variation that does not conform to this ordinance and which exists by virtue of a special use permit, use variance or a dimensional variance granted by the Zoning Board of Review shall not be considered a nonconformity. Such use or dimensional variation shall be considered a use by special use permit, use variance or dimensional variance, respectively.</w:t>
      </w:r>
    </w:p>
    <w:p>
      <w:pPr>
        <w:numPr>
          <w:ilvl w:val="0"/>
          <w:numId w:val="3616"/>
        </w:numPr>
      </w:pPr>
      <w:r>
        <w:t xml:space="preserve">B. Change of Use</w:t>
      </w:r>
    </w:p>
    <w:p>
      <w:pPr>
        <w:numPr>
          <w:ilvl w:val="0"/>
          <w:numId w:val="1000"/>
        </w:numPr>
      </w:pPr>
      <w:r>
        <w:t xml:space="preserve">1. A use by variance or special use permit may be changed to a permitted use.</w:t>
      </w:r>
    </w:p>
    <w:p>
      <w:pPr>
        <w:numPr>
          <w:ilvl w:val="0"/>
          <w:numId w:val="3617"/>
        </w:numPr>
      </w:pPr>
      <w:r>
        <w:t xml:space="preserve">2. Any moving, addition, enlargement, expansion, or intensification of a use by variance or special use permit shall require an application for a special use permit or variance from the Zoning Board of Review, in accordance with this ordinance.</w:t>
      </w:r>
    </w:p>
    <w:p>
      <w:pPr>
        <w:numPr>
          <w:ilvl w:val="0"/>
          <w:numId w:val="3618"/>
        </w:numPr>
      </w:pPr>
      <w:r>
        <w:t xml:space="preserve">3. Within residential districts, a portion of a building containing a non-residential use by variance or special use permit may be converted to a single dwelling unit, regardless of the maximum number of units permitted by the dimensional regulations in this Ordinance.</w:t>
      </w:r>
    </w:p>
    <w:p>
      <w:pPr>
        <w:numPr>
          <w:ilvl w:val="0"/>
          <w:numId w:val="3619"/>
        </w:numPr>
      </w:pPr>
      <w:r>
        <w:t xml:space="preserve">4. Within residential districts, for a residential use by variance or special use permit, the number of dwelling units may be reduced, regardless of the maximum number of units permitted by the dimensional regulations in this Ordinance.</w:t>
      </w:r>
    </w:p>
    <w:p>
      <w:pPr>
        <w:numPr>
          <w:ilvl w:val="0"/>
          <w:numId w:val="3620"/>
        </w:numPr>
      </w:pPr>
      <w:r>
        <w:t xml:space="preserve">5. Within any non-residential district, a use by variance may be changed to another use if the Zoning Board of Review grants a special use permit deeming the proposed use to be less intensive than the existing use.</w:t>
      </w:r>
    </w:p>
    <w:bookmarkEnd w:id="184"/>
    <w:bookmarkStart w:id="185" w:name="enforcement-1"/>
    <w:p>
      <w:pPr>
        <w:pStyle w:val="Heading1"/>
      </w:pPr>
      <w:r>
        <w:t xml:space="preserve">§ 21. ENFORCEMENT</w:t>
      </w:r>
    </w:p>
    <w:p>
      <w:pPr>
        <w:pStyle w:val="FirstParagraph"/>
      </w:pPr>
      <w:r>
        <w:t xml:space="preserve">ARTICLE 21. ENFORCEMENT 2100 ENFORCEMENT</w:t>
      </w:r>
    </w:p>
    <w:bookmarkEnd w:id="185"/>
    <w:bookmarkStart w:id="186" w:name="enforcement-2"/>
    <w:p>
      <w:pPr>
        <w:pStyle w:val="Heading2"/>
      </w:pPr>
      <w:r>
        <w:t xml:space="preserve">§ 2100. ENFORCEMENT</w:t>
      </w:r>
    </w:p>
    <w:p>
      <w:pPr>
        <w:pStyle w:val="FirstParagraph"/>
      </w:pPr>
      <w:r>
        <w:t xml:space="preserve">2100 ENFORCEMENT</w:t>
      </w:r>
    </w:p>
    <w:p>
      <w:pPr>
        <w:numPr>
          <w:ilvl w:val="0"/>
          <w:numId w:val="3621"/>
        </w:numPr>
      </w:pPr>
      <w:r>
        <w:t xml:space="preserve">A. The erection, construction, enlargement, intensification, conversion, moving, or maintenance of any structure and the use of any land or structure which is continued, operated, or maintained, contrary to any of the provisions of this Ordinance is a violation of this Ordinance and unlawful.</w:t>
      </w:r>
    </w:p>
    <w:p>
      <w:pPr>
        <w:numPr>
          <w:ilvl w:val="0"/>
          <w:numId w:val="3622"/>
        </w:numPr>
      </w:pPr>
      <w:r>
        <w:t xml:space="preserve">B. The Director of the Department of Inspection and Standards has the power to conduct inspections of structures or the use of land to determine whether there is compliance with this Ordinance and, in case of any violation, order corrective action.</w:t>
      </w:r>
    </w:p>
    <w:p>
      <w:pPr>
        <w:numPr>
          <w:ilvl w:val="0"/>
          <w:numId w:val="3623"/>
        </w:numPr>
      </w:pPr>
      <w:r>
        <w:t xml:space="preserve">C. The City Solicitor will institute an injunction, abatement, or any other appropriate action to prevent, enjoin, abate, or remove such violation. The remedies provided for herein are cumulative and not exclusive and in addition to any other remedies provided by law.</w:t>
      </w:r>
    </w:p>
    <w:p>
      <w:pPr>
        <w:numPr>
          <w:ilvl w:val="0"/>
          <w:numId w:val="3624"/>
        </w:numPr>
      </w:pPr>
      <w:r>
        <w:t xml:space="preserve">D. Any person or corporation, whether as principal, agent, employee or otherwise, who violates or is the owner of property in violation of any of the provisions of this Ordinance will be fined up to $500.00 for each offense, with such fine to inure to the City. Each day of the existence of any violation is deemed a separate offense.</w:t>
      </w:r>
    </w:p>
    <w:bookmarkEnd w:id="18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1"/>
  </w:num>
  <w:num w:numId="1355">
    <w:abstractNumId w:val="991"/>
  </w:num>
  <w:num w:numId="1356">
    <w:abstractNumId w:val="991"/>
  </w:num>
  <w:num w:numId="1357">
    <w:abstractNumId w:val="991"/>
  </w:num>
  <w:num w:numId="1358">
    <w:abstractNumId w:val="991"/>
  </w:num>
  <w:num w:numId="1359">
    <w:abstractNumId w:val="991"/>
  </w:num>
  <w:num w:numId="1360">
    <w:abstractNumId w:val="991"/>
  </w:num>
  <w:num w:numId="1361">
    <w:abstractNumId w:val="991"/>
  </w:num>
  <w:num w:numId="1362">
    <w:abstractNumId w:val="991"/>
  </w:num>
  <w:num w:numId="1363">
    <w:abstractNumId w:val="991"/>
  </w:num>
  <w:num w:numId="1364">
    <w:abstractNumId w:val="991"/>
  </w:num>
  <w:num w:numId="1365">
    <w:abstractNumId w:val="991"/>
  </w:num>
  <w:num w:numId="1366">
    <w:abstractNumId w:val="991"/>
  </w:num>
  <w:num w:numId="1367">
    <w:abstractNumId w:val="991"/>
  </w:num>
  <w:num w:numId="1368">
    <w:abstractNumId w:val="991"/>
  </w:num>
  <w:num w:numId="1369">
    <w:abstractNumId w:val="991"/>
  </w:num>
  <w:num w:numId="1370">
    <w:abstractNumId w:val="991"/>
  </w:num>
  <w:num w:numId="1371">
    <w:abstractNumId w:val="991"/>
  </w:num>
  <w:num w:numId="1372">
    <w:abstractNumId w:val="991"/>
  </w:num>
  <w:num w:numId="1373">
    <w:abstractNumId w:val="991"/>
  </w:num>
  <w:num w:numId="1374">
    <w:abstractNumId w:val="991"/>
  </w:num>
  <w:num w:numId="1375">
    <w:abstractNumId w:val="991"/>
  </w:num>
  <w:num w:numId="1376">
    <w:abstractNumId w:val="991"/>
  </w:num>
  <w:num w:numId="1377">
    <w:abstractNumId w:val="991"/>
  </w:num>
  <w:num w:numId="1378">
    <w:abstractNumId w:val="991"/>
  </w:num>
  <w:num w:numId="1379">
    <w:abstractNumId w:val="991"/>
  </w:num>
  <w:num w:numId="1380">
    <w:abstractNumId w:val="991"/>
  </w:num>
  <w:num w:numId="1381">
    <w:abstractNumId w:val="991"/>
  </w:num>
  <w:num w:numId="1382">
    <w:abstractNumId w:val="991"/>
  </w:num>
  <w:num w:numId="1383">
    <w:abstractNumId w:val="991"/>
  </w:num>
  <w:num w:numId="1384">
    <w:abstractNumId w:val="991"/>
  </w:num>
  <w:num w:numId="1385">
    <w:abstractNumId w:val="991"/>
  </w:num>
  <w:num w:numId="1386">
    <w:abstractNumId w:val="991"/>
  </w:num>
  <w:num w:numId="1387">
    <w:abstractNumId w:val="991"/>
  </w:num>
  <w:num w:numId="1388">
    <w:abstractNumId w:val="991"/>
  </w:num>
  <w:num w:numId="1389">
    <w:abstractNumId w:val="991"/>
  </w:num>
  <w:num w:numId="1390">
    <w:abstractNumId w:val="991"/>
  </w:num>
  <w:num w:numId="1391">
    <w:abstractNumId w:val="991"/>
  </w:num>
  <w:num w:numId="1392">
    <w:abstractNumId w:val="991"/>
  </w:num>
  <w:num w:numId="1393">
    <w:abstractNumId w:val="991"/>
  </w:num>
  <w:num w:numId="1394">
    <w:abstractNumId w:val="991"/>
  </w:num>
  <w:num w:numId="1395">
    <w:abstractNumId w:val="991"/>
  </w:num>
  <w:num w:numId="1396">
    <w:abstractNumId w:val="991"/>
  </w:num>
  <w:num w:numId="1397">
    <w:abstractNumId w:val="991"/>
  </w:num>
  <w:num w:numId="1398">
    <w:abstractNumId w:val="991"/>
  </w:num>
  <w:num w:numId="1399">
    <w:abstractNumId w:val="991"/>
  </w:num>
  <w:num w:numId="1400">
    <w:abstractNumId w:val="991"/>
  </w:num>
  <w:num w:numId="1401">
    <w:abstractNumId w:val="991"/>
  </w:num>
  <w:num w:numId="1402">
    <w:abstractNumId w:val="991"/>
  </w:num>
  <w:num w:numId="1403">
    <w:abstractNumId w:val="991"/>
  </w:num>
  <w:num w:numId="1404">
    <w:abstractNumId w:val="991"/>
  </w:num>
  <w:num w:numId="1405">
    <w:abstractNumId w:val="991"/>
  </w:num>
  <w:num w:numId="1406">
    <w:abstractNumId w:val="991"/>
  </w:num>
  <w:num w:numId="1407">
    <w:abstractNumId w:val="991"/>
  </w:num>
  <w:num w:numId="1408">
    <w:abstractNumId w:val="991"/>
  </w:num>
  <w:num w:numId="1409">
    <w:abstractNumId w:val="991"/>
  </w:num>
  <w:num w:numId="1410">
    <w:abstractNumId w:val="991"/>
  </w:num>
  <w:num w:numId="1411">
    <w:abstractNumId w:val="991"/>
  </w:num>
  <w:num w:numId="1412">
    <w:abstractNumId w:val="991"/>
  </w:num>
  <w:num w:numId="1413">
    <w:abstractNumId w:val="991"/>
  </w:num>
  <w:num w:numId="1414">
    <w:abstractNumId w:val="991"/>
  </w:num>
  <w:num w:numId="1415">
    <w:abstractNumId w:val="991"/>
  </w:num>
  <w:num w:numId="1416">
    <w:abstractNumId w:val="991"/>
  </w:num>
  <w:num w:numId="1417">
    <w:abstractNumId w:val="991"/>
  </w:num>
  <w:num w:numId="1418">
    <w:abstractNumId w:val="991"/>
  </w:num>
  <w:num w:numId="1419">
    <w:abstractNumId w:val="991"/>
  </w:num>
  <w:num w:numId="1420">
    <w:abstractNumId w:val="991"/>
  </w:num>
  <w:num w:numId="1421">
    <w:abstractNumId w:val="991"/>
  </w:num>
  <w:num w:numId="1422">
    <w:abstractNumId w:val="991"/>
  </w:num>
  <w:num w:numId="1423">
    <w:abstractNumId w:val="991"/>
  </w:num>
  <w:num w:numId="1424">
    <w:abstractNumId w:val="991"/>
  </w:num>
  <w:num w:numId="1425">
    <w:abstractNumId w:val="991"/>
  </w:num>
  <w:num w:numId="1426">
    <w:abstractNumId w:val="991"/>
  </w:num>
  <w:num w:numId="1427">
    <w:abstractNumId w:val="991"/>
  </w:num>
  <w:num w:numId="1428">
    <w:abstractNumId w:val="991"/>
  </w:num>
  <w:num w:numId="1429">
    <w:abstractNumId w:val="991"/>
  </w:num>
  <w:num w:numId="1430">
    <w:abstractNumId w:val="991"/>
  </w:num>
  <w:num w:numId="1431">
    <w:abstractNumId w:val="991"/>
  </w:num>
  <w:num w:numId="1432">
    <w:abstractNumId w:val="991"/>
  </w:num>
  <w:num w:numId="1433">
    <w:abstractNumId w:val="991"/>
  </w:num>
  <w:num w:numId="1434">
    <w:abstractNumId w:val="991"/>
  </w:num>
  <w:num w:numId="1435">
    <w:abstractNumId w:val="991"/>
  </w:num>
  <w:num w:numId="1436">
    <w:abstractNumId w:val="991"/>
  </w:num>
  <w:num w:numId="1437">
    <w:abstractNumId w:val="991"/>
  </w:num>
  <w:num w:numId="1438">
    <w:abstractNumId w:val="991"/>
  </w:num>
  <w:num w:numId="1439">
    <w:abstractNumId w:val="991"/>
  </w:num>
  <w:num w:numId="1440">
    <w:abstractNumId w:val="991"/>
  </w:num>
  <w:num w:numId="1441">
    <w:abstractNumId w:val="991"/>
  </w:num>
  <w:num w:numId="1442">
    <w:abstractNumId w:val="991"/>
  </w:num>
  <w:num w:numId="1443">
    <w:abstractNumId w:val="991"/>
  </w:num>
  <w:num w:numId="1444">
    <w:abstractNumId w:val="991"/>
  </w:num>
  <w:num w:numId="1445">
    <w:abstractNumId w:val="991"/>
  </w:num>
  <w:num w:numId="1446">
    <w:abstractNumId w:val="991"/>
  </w:num>
  <w:num w:numId="1447">
    <w:abstractNumId w:val="991"/>
  </w:num>
  <w:num w:numId="1448">
    <w:abstractNumId w:val="991"/>
  </w:num>
  <w:num w:numId="1449">
    <w:abstractNumId w:val="991"/>
  </w:num>
  <w:num w:numId="1450">
    <w:abstractNumId w:val="991"/>
  </w:num>
  <w:num w:numId="1451">
    <w:abstractNumId w:val="991"/>
  </w:num>
  <w:num w:numId="1452">
    <w:abstractNumId w:val="991"/>
  </w:num>
  <w:num w:numId="1453">
    <w:abstractNumId w:val="991"/>
  </w:num>
  <w:num w:numId="1454">
    <w:abstractNumId w:val="991"/>
  </w:num>
  <w:num w:numId="1455">
    <w:abstractNumId w:val="991"/>
  </w:num>
  <w:num w:numId="1456">
    <w:abstractNumId w:val="991"/>
  </w:num>
  <w:num w:numId="1457">
    <w:abstractNumId w:val="991"/>
  </w:num>
  <w:num w:numId="1458">
    <w:abstractNumId w:val="991"/>
  </w:num>
  <w:num w:numId="1459">
    <w:abstractNumId w:val="991"/>
  </w:num>
  <w:num w:numId="1460">
    <w:abstractNumId w:val="991"/>
  </w:num>
  <w:num w:numId="1461">
    <w:abstractNumId w:val="991"/>
  </w:num>
  <w:num w:numId="1462">
    <w:abstractNumId w:val="991"/>
  </w:num>
  <w:num w:numId="1463">
    <w:abstractNumId w:val="991"/>
  </w:num>
  <w:num w:numId="1464">
    <w:abstractNumId w:val="991"/>
  </w:num>
  <w:num w:numId="1465">
    <w:abstractNumId w:val="991"/>
  </w:num>
  <w:num w:numId="1466">
    <w:abstractNumId w:val="991"/>
  </w:num>
  <w:num w:numId="1467">
    <w:abstractNumId w:val="991"/>
  </w:num>
  <w:num w:numId="1468">
    <w:abstractNumId w:val="991"/>
  </w:num>
  <w:num w:numId="1469">
    <w:abstractNumId w:val="991"/>
  </w:num>
  <w:num w:numId="1470">
    <w:abstractNumId w:val="991"/>
  </w:num>
  <w:num w:numId="1471">
    <w:abstractNumId w:val="991"/>
  </w:num>
  <w:num w:numId="1472">
    <w:abstractNumId w:val="991"/>
  </w:num>
  <w:num w:numId="1473">
    <w:abstractNumId w:val="991"/>
  </w:num>
  <w:num w:numId="1474">
    <w:abstractNumId w:val="991"/>
  </w:num>
  <w:num w:numId="1475">
    <w:abstractNumId w:val="991"/>
  </w:num>
  <w:num w:numId="1476">
    <w:abstractNumId w:val="991"/>
  </w:num>
  <w:num w:numId="1477">
    <w:abstractNumId w:val="991"/>
  </w:num>
  <w:num w:numId="1478">
    <w:abstractNumId w:val="991"/>
  </w:num>
  <w:num w:numId="1479">
    <w:abstractNumId w:val="991"/>
  </w:num>
  <w:num w:numId="1480">
    <w:abstractNumId w:val="991"/>
  </w:num>
  <w:num w:numId="1481">
    <w:abstractNumId w:val="991"/>
  </w:num>
  <w:num w:numId="1482">
    <w:abstractNumId w:val="991"/>
  </w:num>
  <w:num w:numId="1483">
    <w:abstractNumId w:val="991"/>
  </w:num>
  <w:num w:numId="1484">
    <w:abstractNumId w:val="991"/>
  </w:num>
  <w:num w:numId="1485">
    <w:abstractNumId w:val="991"/>
  </w:num>
  <w:num w:numId="1486">
    <w:abstractNumId w:val="991"/>
  </w:num>
  <w:num w:numId="1487">
    <w:abstractNumId w:val="991"/>
  </w:num>
  <w:num w:numId="1488">
    <w:abstractNumId w:val="991"/>
  </w:num>
  <w:num w:numId="1489">
    <w:abstractNumId w:val="991"/>
  </w:num>
  <w:num w:numId="1490">
    <w:abstractNumId w:val="991"/>
  </w:num>
  <w:num w:numId="1491">
    <w:abstractNumId w:val="991"/>
  </w:num>
  <w:num w:numId="1492">
    <w:abstractNumId w:val="991"/>
  </w:num>
  <w:num w:numId="1493">
    <w:abstractNumId w:val="991"/>
  </w:num>
  <w:num w:numId="1494">
    <w:abstractNumId w:val="991"/>
  </w:num>
  <w:num w:numId="1495">
    <w:abstractNumId w:val="991"/>
  </w:num>
  <w:num w:numId="1496">
    <w:abstractNumId w:val="991"/>
  </w:num>
  <w:num w:numId="1497">
    <w:abstractNumId w:val="991"/>
  </w:num>
  <w:num w:numId="1498">
    <w:abstractNumId w:val="991"/>
  </w:num>
  <w:num w:numId="1499">
    <w:abstractNumId w:val="991"/>
  </w:num>
  <w:num w:numId="1500">
    <w:abstractNumId w:val="991"/>
  </w:num>
  <w:num w:numId="1501">
    <w:abstractNumId w:val="991"/>
  </w:num>
  <w:num w:numId="1502">
    <w:abstractNumId w:val="991"/>
  </w:num>
  <w:num w:numId="1503">
    <w:abstractNumId w:val="991"/>
  </w:num>
  <w:num w:numId="1504">
    <w:abstractNumId w:val="991"/>
  </w:num>
  <w:num w:numId="1505">
    <w:abstractNumId w:val="991"/>
  </w:num>
  <w:num w:numId="1506">
    <w:abstractNumId w:val="991"/>
  </w:num>
  <w:num w:numId="1507">
    <w:abstractNumId w:val="991"/>
  </w:num>
  <w:num w:numId="1508">
    <w:abstractNumId w:val="991"/>
  </w:num>
  <w:num w:numId="1509">
    <w:abstractNumId w:val="991"/>
  </w:num>
  <w:num w:numId="1510">
    <w:abstractNumId w:val="991"/>
  </w:num>
  <w:num w:numId="1511">
    <w:abstractNumId w:val="991"/>
  </w:num>
  <w:num w:numId="1512">
    <w:abstractNumId w:val="991"/>
  </w:num>
  <w:num w:numId="1513">
    <w:abstractNumId w:val="991"/>
  </w:num>
  <w:num w:numId="1514">
    <w:abstractNumId w:val="991"/>
  </w:num>
  <w:num w:numId="1515">
    <w:abstractNumId w:val="991"/>
  </w:num>
  <w:num w:numId="1516">
    <w:abstractNumId w:val="991"/>
  </w:num>
  <w:num w:numId="1517">
    <w:abstractNumId w:val="991"/>
  </w:num>
  <w:num w:numId="1518">
    <w:abstractNumId w:val="991"/>
  </w:num>
  <w:num w:numId="1519">
    <w:abstractNumId w:val="991"/>
  </w:num>
  <w:num w:numId="1520">
    <w:abstractNumId w:val="991"/>
  </w:num>
  <w:num w:numId="1521">
    <w:abstractNumId w:val="991"/>
  </w:num>
  <w:num w:numId="1522">
    <w:abstractNumId w:val="991"/>
  </w:num>
  <w:num w:numId="1523">
    <w:abstractNumId w:val="991"/>
  </w:num>
  <w:num w:numId="1524">
    <w:abstractNumId w:val="991"/>
  </w:num>
  <w:num w:numId="1525">
    <w:abstractNumId w:val="991"/>
  </w:num>
  <w:num w:numId="1526">
    <w:abstractNumId w:val="991"/>
  </w:num>
  <w:num w:numId="1527">
    <w:abstractNumId w:val="991"/>
  </w:num>
  <w:num w:numId="1528">
    <w:abstractNumId w:val="991"/>
  </w:num>
  <w:num w:numId="1529">
    <w:abstractNumId w:val="991"/>
  </w:num>
  <w:num w:numId="1530">
    <w:abstractNumId w:val="991"/>
  </w:num>
  <w:num w:numId="1531">
    <w:abstractNumId w:val="991"/>
  </w:num>
  <w:num w:numId="1532">
    <w:abstractNumId w:val="991"/>
  </w:num>
  <w:num w:numId="1533">
    <w:abstractNumId w:val="991"/>
  </w:num>
  <w:num w:numId="1534">
    <w:abstractNumId w:val="991"/>
  </w:num>
  <w:num w:numId="1535">
    <w:abstractNumId w:val="991"/>
  </w:num>
  <w:num w:numId="1536">
    <w:abstractNumId w:val="991"/>
  </w:num>
  <w:num w:numId="1537">
    <w:abstractNumId w:val="991"/>
  </w:num>
  <w:num w:numId="1538">
    <w:abstractNumId w:val="991"/>
  </w:num>
  <w:num w:numId="1539">
    <w:abstractNumId w:val="991"/>
  </w:num>
  <w:num w:numId="1540">
    <w:abstractNumId w:val="991"/>
  </w:num>
  <w:num w:numId="1541">
    <w:abstractNumId w:val="991"/>
  </w:num>
  <w:num w:numId="1542">
    <w:abstractNumId w:val="991"/>
  </w:num>
  <w:num w:numId="1543">
    <w:abstractNumId w:val="991"/>
  </w:num>
  <w:num w:numId="1544">
    <w:abstractNumId w:val="991"/>
  </w:num>
  <w:num w:numId="1545">
    <w:abstractNumId w:val="991"/>
  </w:num>
  <w:num w:numId="1546">
    <w:abstractNumId w:val="991"/>
  </w:num>
  <w:num w:numId="1547">
    <w:abstractNumId w:val="991"/>
  </w:num>
  <w:num w:numId="1548">
    <w:abstractNumId w:val="991"/>
  </w:num>
  <w:num w:numId="1549">
    <w:abstractNumId w:val="991"/>
  </w:num>
  <w:num w:numId="1550">
    <w:abstractNumId w:val="991"/>
  </w:num>
  <w:num w:numId="1551">
    <w:abstractNumId w:val="991"/>
  </w:num>
  <w:num w:numId="1552">
    <w:abstractNumId w:val="991"/>
  </w:num>
  <w:num w:numId="1553">
    <w:abstractNumId w:val="991"/>
  </w:num>
  <w:num w:numId="1554">
    <w:abstractNumId w:val="991"/>
  </w:num>
  <w:num w:numId="1555">
    <w:abstractNumId w:val="991"/>
  </w:num>
  <w:num w:numId="1556">
    <w:abstractNumId w:val="991"/>
  </w:num>
  <w:num w:numId="1557">
    <w:abstractNumId w:val="991"/>
  </w:num>
  <w:num w:numId="1558">
    <w:abstractNumId w:val="991"/>
  </w:num>
  <w:num w:numId="1559">
    <w:abstractNumId w:val="991"/>
  </w:num>
  <w:num w:numId="1560">
    <w:abstractNumId w:val="991"/>
  </w:num>
  <w:num w:numId="1561">
    <w:abstractNumId w:val="991"/>
  </w:num>
  <w:num w:numId="1562">
    <w:abstractNumId w:val="991"/>
  </w:num>
  <w:num w:numId="1563">
    <w:abstractNumId w:val="991"/>
  </w:num>
  <w:num w:numId="1564">
    <w:abstractNumId w:val="991"/>
  </w:num>
  <w:num w:numId="1565">
    <w:abstractNumId w:val="991"/>
  </w:num>
  <w:num w:numId="1566">
    <w:abstractNumId w:val="991"/>
  </w:num>
  <w:num w:numId="1567">
    <w:abstractNumId w:val="991"/>
  </w:num>
  <w:num w:numId="1568">
    <w:abstractNumId w:val="991"/>
  </w:num>
  <w:num w:numId="1569">
    <w:abstractNumId w:val="991"/>
  </w:num>
  <w:num w:numId="1570">
    <w:abstractNumId w:val="991"/>
  </w:num>
  <w:num w:numId="1571">
    <w:abstractNumId w:val="991"/>
  </w:num>
  <w:num w:numId="1572">
    <w:abstractNumId w:val="991"/>
  </w:num>
  <w:num w:numId="1573">
    <w:abstractNumId w:val="991"/>
  </w:num>
  <w:num w:numId="1574">
    <w:abstractNumId w:val="991"/>
  </w:num>
  <w:num w:numId="1575">
    <w:abstractNumId w:val="991"/>
  </w:num>
  <w:num w:numId="1576">
    <w:abstractNumId w:val="991"/>
  </w:num>
  <w:num w:numId="1577">
    <w:abstractNumId w:val="991"/>
  </w:num>
  <w:num w:numId="1578">
    <w:abstractNumId w:val="991"/>
  </w:num>
  <w:num w:numId="1579">
    <w:abstractNumId w:val="991"/>
  </w:num>
  <w:num w:numId="1580">
    <w:abstractNumId w:val="991"/>
  </w:num>
  <w:num w:numId="1581">
    <w:abstractNumId w:val="991"/>
  </w:num>
  <w:num w:numId="1582">
    <w:abstractNumId w:val="991"/>
  </w:num>
  <w:num w:numId="1583">
    <w:abstractNumId w:val="991"/>
  </w:num>
  <w:num w:numId="1584">
    <w:abstractNumId w:val="991"/>
  </w:num>
  <w:num w:numId="1585">
    <w:abstractNumId w:val="991"/>
  </w:num>
  <w:num w:numId="1586">
    <w:abstractNumId w:val="991"/>
  </w:num>
  <w:num w:numId="1587">
    <w:abstractNumId w:val="991"/>
  </w:num>
  <w:num w:numId="1588">
    <w:abstractNumId w:val="991"/>
  </w:num>
  <w:num w:numId="1589">
    <w:abstractNumId w:val="991"/>
  </w:num>
  <w:num w:numId="1590">
    <w:abstractNumId w:val="991"/>
  </w:num>
  <w:num w:numId="1591">
    <w:abstractNumId w:val="991"/>
  </w:num>
  <w:num w:numId="1592">
    <w:abstractNumId w:val="991"/>
  </w:num>
  <w:num w:numId="1593">
    <w:abstractNumId w:val="991"/>
  </w:num>
  <w:num w:numId="1594">
    <w:abstractNumId w:val="991"/>
  </w:num>
  <w:num w:numId="1595">
    <w:abstractNumId w:val="991"/>
  </w:num>
  <w:num w:numId="1596">
    <w:abstractNumId w:val="991"/>
  </w:num>
  <w:num w:numId="1597">
    <w:abstractNumId w:val="991"/>
  </w:num>
  <w:num w:numId="1598">
    <w:abstractNumId w:val="991"/>
  </w:num>
  <w:num w:numId="1599">
    <w:abstractNumId w:val="991"/>
  </w:num>
  <w:num w:numId="1600">
    <w:abstractNumId w:val="991"/>
  </w:num>
  <w:num w:numId="1601">
    <w:abstractNumId w:val="991"/>
  </w:num>
  <w:num w:numId="1602">
    <w:abstractNumId w:val="991"/>
  </w:num>
  <w:num w:numId="1603">
    <w:abstractNumId w:val="991"/>
  </w:num>
  <w:num w:numId="1604">
    <w:abstractNumId w:val="991"/>
  </w:num>
  <w:num w:numId="1605">
    <w:abstractNumId w:val="991"/>
  </w:num>
  <w:num w:numId="1606">
    <w:abstractNumId w:val="991"/>
  </w:num>
  <w:num w:numId="1607">
    <w:abstractNumId w:val="991"/>
  </w:num>
  <w:num w:numId="1608">
    <w:abstractNumId w:val="991"/>
  </w:num>
  <w:num w:numId="1609">
    <w:abstractNumId w:val="991"/>
  </w:num>
  <w:num w:numId="1610">
    <w:abstractNumId w:val="991"/>
  </w:num>
  <w:num w:numId="1611">
    <w:abstractNumId w:val="991"/>
  </w:num>
  <w:num w:numId="1612">
    <w:abstractNumId w:val="991"/>
  </w:num>
  <w:num w:numId="1613">
    <w:abstractNumId w:val="991"/>
  </w:num>
  <w:num w:numId="1614">
    <w:abstractNumId w:val="991"/>
  </w:num>
  <w:num w:numId="1615">
    <w:abstractNumId w:val="991"/>
  </w:num>
  <w:num w:numId="1616">
    <w:abstractNumId w:val="991"/>
  </w:num>
  <w:num w:numId="1617">
    <w:abstractNumId w:val="991"/>
  </w:num>
  <w:num w:numId="1618">
    <w:abstractNumId w:val="991"/>
  </w:num>
  <w:num w:numId="1619">
    <w:abstractNumId w:val="991"/>
  </w:num>
  <w:num w:numId="1620">
    <w:abstractNumId w:val="991"/>
  </w:num>
  <w:num w:numId="1621">
    <w:abstractNumId w:val="991"/>
  </w:num>
  <w:num w:numId="1622">
    <w:abstractNumId w:val="991"/>
  </w:num>
  <w:num w:numId="1623">
    <w:abstractNumId w:val="991"/>
  </w:num>
  <w:num w:numId="1624">
    <w:abstractNumId w:val="991"/>
  </w:num>
  <w:num w:numId="1625">
    <w:abstractNumId w:val="991"/>
  </w:num>
  <w:num w:numId="1626">
    <w:abstractNumId w:val="991"/>
  </w:num>
  <w:num w:numId="1627">
    <w:abstractNumId w:val="991"/>
  </w:num>
  <w:num w:numId="1628">
    <w:abstractNumId w:val="991"/>
  </w:num>
  <w:num w:numId="1629">
    <w:abstractNumId w:val="991"/>
  </w:num>
  <w:num w:numId="1630">
    <w:abstractNumId w:val="991"/>
  </w:num>
  <w:num w:numId="1631">
    <w:abstractNumId w:val="991"/>
  </w:num>
  <w:num w:numId="1632">
    <w:abstractNumId w:val="991"/>
  </w:num>
  <w:num w:numId="1633">
    <w:abstractNumId w:val="991"/>
  </w:num>
  <w:num w:numId="1634">
    <w:abstractNumId w:val="991"/>
  </w:num>
  <w:num w:numId="1635">
    <w:abstractNumId w:val="991"/>
  </w:num>
  <w:num w:numId="1636">
    <w:abstractNumId w:val="991"/>
  </w:num>
  <w:num w:numId="1637">
    <w:abstractNumId w:val="991"/>
  </w:num>
  <w:num w:numId="1638">
    <w:abstractNumId w:val="991"/>
  </w:num>
  <w:num w:numId="1639">
    <w:abstractNumId w:val="991"/>
  </w:num>
  <w:num w:numId="1640">
    <w:abstractNumId w:val="991"/>
  </w:num>
  <w:num w:numId="1641">
    <w:abstractNumId w:val="991"/>
  </w:num>
  <w:num w:numId="1642">
    <w:abstractNumId w:val="991"/>
  </w:num>
  <w:num w:numId="1643">
    <w:abstractNumId w:val="991"/>
  </w:num>
  <w:num w:numId="1644">
    <w:abstractNumId w:val="991"/>
  </w:num>
  <w:num w:numId="1645">
    <w:abstractNumId w:val="991"/>
  </w:num>
  <w:num w:numId="1646">
    <w:abstractNumId w:val="991"/>
  </w:num>
  <w:num w:numId="1647">
    <w:abstractNumId w:val="991"/>
  </w:num>
  <w:num w:numId="1648">
    <w:abstractNumId w:val="991"/>
  </w:num>
  <w:num w:numId="1649">
    <w:abstractNumId w:val="991"/>
  </w:num>
  <w:num w:numId="1650">
    <w:abstractNumId w:val="991"/>
  </w:num>
  <w:num w:numId="1651">
    <w:abstractNumId w:val="991"/>
  </w:num>
  <w:num w:numId="1652">
    <w:abstractNumId w:val="991"/>
  </w:num>
  <w:num w:numId="1653">
    <w:abstractNumId w:val="991"/>
  </w:num>
  <w:num w:numId="1654">
    <w:abstractNumId w:val="991"/>
  </w:num>
  <w:num w:numId="1655">
    <w:abstractNumId w:val="991"/>
  </w:num>
  <w:num w:numId="1656">
    <w:abstractNumId w:val="991"/>
  </w:num>
  <w:num w:numId="1657">
    <w:abstractNumId w:val="991"/>
  </w:num>
  <w:num w:numId="1658">
    <w:abstractNumId w:val="991"/>
  </w:num>
  <w:num w:numId="1659">
    <w:abstractNumId w:val="991"/>
  </w:num>
  <w:num w:numId="1660">
    <w:abstractNumId w:val="991"/>
  </w:num>
  <w:num w:numId="1661">
    <w:abstractNumId w:val="991"/>
  </w:num>
  <w:num w:numId="1662">
    <w:abstractNumId w:val="991"/>
  </w:num>
  <w:num w:numId="1663">
    <w:abstractNumId w:val="991"/>
  </w:num>
  <w:num w:numId="1664">
    <w:abstractNumId w:val="991"/>
  </w:num>
  <w:num w:numId="1665">
    <w:abstractNumId w:val="991"/>
  </w:num>
  <w:num w:numId="1666">
    <w:abstractNumId w:val="991"/>
  </w:num>
  <w:num w:numId="1667">
    <w:abstractNumId w:val="991"/>
  </w:num>
  <w:num w:numId="1668">
    <w:abstractNumId w:val="991"/>
  </w:num>
  <w:num w:numId="1669">
    <w:abstractNumId w:val="991"/>
  </w:num>
  <w:num w:numId="1670">
    <w:abstractNumId w:val="991"/>
  </w:num>
  <w:num w:numId="1671">
    <w:abstractNumId w:val="991"/>
  </w:num>
  <w:num w:numId="1672">
    <w:abstractNumId w:val="991"/>
  </w:num>
  <w:num w:numId="1673">
    <w:abstractNumId w:val="991"/>
  </w:num>
  <w:num w:numId="1674">
    <w:abstractNumId w:val="991"/>
  </w:num>
  <w:num w:numId="1675">
    <w:abstractNumId w:val="991"/>
  </w:num>
  <w:num w:numId="1676">
    <w:abstractNumId w:val="991"/>
  </w:num>
  <w:num w:numId="1677">
    <w:abstractNumId w:val="991"/>
  </w:num>
  <w:num w:numId="1678">
    <w:abstractNumId w:val="991"/>
  </w:num>
  <w:num w:numId="1679">
    <w:abstractNumId w:val="991"/>
  </w:num>
  <w:num w:numId="1680">
    <w:abstractNumId w:val="991"/>
  </w:num>
  <w:num w:numId="1681">
    <w:abstractNumId w:val="991"/>
  </w:num>
  <w:num w:numId="1682">
    <w:abstractNumId w:val="991"/>
  </w:num>
  <w:num w:numId="1683">
    <w:abstractNumId w:val="991"/>
  </w:num>
  <w:num w:numId="1684">
    <w:abstractNumId w:val="991"/>
  </w:num>
  <w:num w:numId="1685">
    <w:abstractNumId w:val="991"/>
  </w:num>
  <w:num w:numId="1686">
    <w:abstractNumId w:val="991"/>
  </w:num>
  <w:num w:numId="1687">
    <w:abstractNumId w:val="991"/>
  </w:num>
  <w:num w:numId="1688">
    <w:abstractNumId w:val="991"/>
  </w:num>
  <w:num w:numId="1689">
    <w:abstractNumId w:val="991"/>
  </w:num>
  <w:num w:numId="1690">
    <w:abstractNumId w:val="991"/>
  </w:num>
  <w:num w:numId="1691">
    <w:abstractNumId w:val="991"/>
  </w:num>
  <w:num w:numId="1692">
    <w:abstractNumId w:val="991"/>
  </w:num>
  <w:num w:numId="1693">
    <w:abstractNumId w:val="991"/>
  </w:num>
  <w:num w:numId="1694">
    <w:abstractNumId w:val="991"/>
  </w:num>
  <w:num w:numId="1695">
    <w:abstractNumId w:val="991"/>
  </w:num>
  <w:num w:numId="1696">
    <w:abstractNumId w:val="991"/>
  </w:num>
  <w:num w:numId="1697">
    <w:abstractNumId w:val="991"/>
  </w:num>
  <w:num w:numId="1698">
    <w:abstractNumId w:val="991"/>
  </w:num>
  <w:num w:numId="1699">
    <w:abstractNumId w:val="991"/>
  </w:num>
  <w:num w:numId="1700">
    <w:abstractNumId w:val="991"/>
  </w:num>
  <w:num w:numId="1701">
    <w:abstractNumId w:val="991"/>
  </w:num>
  <w:num w:numId="1702">
    <w:abstractNumId w:val="991"/>
  </w:num>
  <w:num w:numId="1703">
    <w:abstractNumId w:val="991"/>
  </w:num>
  <w:num w:numId="1704">
    <w:abstractNumId w:val="991"/>
  </w:num>
  <w:num w:numId="1705">
    <w:abstractNumId w:val="991"/>
  </w:num>
  <w:num w:numId="1706">
    <w:abstractNumId w:val="991"/>
  </w:num>
  <w:num w:numId="1707">
    <w:abstractNumId w:val="991"/>
  </w:num>
  <w:num w:numId="1708">
    <w:abstractNumId w:val="991"/>
  </w:num>
  <w:num w:numId="1709">
    <w:abstractNumId w:val="991"/>
  </w:num>
  <w:num w:numId="1710">
    <w:abstractNumId w:val="991"/>
  </w:num>
  <w:num w:numId="1711">
    <w:abstractNumId w:val="991"/>
  </w:num>
  <w:num w:numId="1712">
    <w:abstractNumId w:val="991"/>
  </w:num>
  <w:num w:numId="1713">
    <w:abstractNumId w:val="991"/>
  </w:num>
  <w:num w:numId="1714">
    <w:abstractNumId w:val="991"/>
  </w:num>
  <w:num w:numId="1715">
    <w:abstractNumId w:val="991"/>
  </w:num>
  <w:num w:numId="1716">
    <w:abstractNumId w:val="991"/>
  </w:num>
  <w:num w:numId="1717">
    <w:abstractNumId w:val="991"/>
  </w:num>
  <w:num w:numId="1718">
    <w:abstractNumId w:val="991"/>
  </w:num>
  <w:num w:numId="1719">
    <w:abstractNumId w:val="991"/>
  </w:num>
  <w:num w:numId="1720">
    <w:abstractNumId w:val="991"/>
  </w:num>
  <w:num w:numId="1721">
    <w:abstractNumId w:val="991"/>
  </w:num>
  <w:num w:numId="1722">
    <w:abstractNumId w:val="991"/>
  </w:num>
  <w:num w:numId="1723">
    <w:abstractNumId w:val="991"/>
  </w:num>
  <w:num w:numId="1724">
    <w:abstractNumId w:val="991"/>
  </w:num>
  <w:num w:numId="1725">
    <w:abstractNumId w:val="991"/>
  </w:num>
  <w:num w:numId="1726">
    <w:abstractNumId w:val="991"/>
  </w:num>
  <w:num w:numId="1727">
    <w:abstractNumId w:val="991"/>
  </w:num>
  <w:num w:numId="1728">
    <w:abstractNumId w:val="991"/>
  </w:num>
  <w:num w:numId="1729">
    <w:abstractNumId w:val="991"/>
  </w:num>
  <w:num w:numId="1730">
    <w:abstractNumId w:val="991"/>
  </w:num>
  <w:num w:numId="1731">
    <w:abstractNumId w:val="991"/>
  </w:num>
  <w:num w:numId="1732">
    <w:abstractNumId w:val="991"/>
  </w:num>
  <w:num w:numId="1733">
    <w:abstractNumId w:val="991"/>
  </w:num>
  <w:num w:numId="1734">
    <w:abstractNumId w:val="991"/>
  </w:num>
  <w:num w:numId="1735">
    <w:abstractNumId w:val="991"/>
  </w:num>
  <w:num w:numId="1736">
    <w:abstractNumId w:val="991"/>
  </w:num>
  <w:num w:numId="1737">
    <w:abstractNumId w:val="991"/>
  </w:num>
  <w:num w:numId="1738">
    <w:abstractNumId w:val="991"/>
  </w:num>
  <w:num w:numId="1739">
    <w:abstractNumId w:val="991"/>
  </w:num>
  <w:num w:numId="1740">
    <w:abstractNumId w:val="991"/>
  </w:num>
  <w:num w:numId="1741">
    <w:abstractNumId w:val="991"/>
  </w:num>
  <w:num w:numId="1742">
    <w:abstractNumId w:val="991"/>
  </w:num>
  <w:num w:numId="1743">
    <w:abstractNumId w:val="991"/>
  </w:num>
  <w:num w:numId="1744">
    <w:abstractNumId w:val="991"/>
  </w:num>
  <w:num w:numId="1745">
    <w:abstractNumId w:val="991"/>
  </w:num>
  <w:num w:numId="1746">
    <w:abstractNumId w:val="991"/>
  </w:num>
  <w:num w:numId="1747">
    <w:abstractNumId w:val="991"/>
  </w:num>
  <w:num w:numId="1748">
    <w:abstractNumId w:val="991"/>
  </w:num>
  <w:num w:numId="1749">
    <w:abstractNumId w:val="991"/>
  </w:num>
  <w:num w:numId="1750">
    <w:abstractNumId w:val="991"/>
  </w:num>
  <w:num w:numId="1751">
    <w:abstractNumId w:val="991"/>
  </w:num>
  <w:num w:numId="1752">
    <w:abstractNumId w:val="991"/>
  </w:num>
  <w:num w:numId="1753">
    <w:abstractNumId w:val="991"/>
  </w:num>
  <w:num w:numId="1754">
    <w:abstractNumId w:val="991"/>
  </w:num>
  <w:num w:numId="1755">
    <w:abstractNumId w:val="991"/>
  </w:num>
  <w:num w:numId="1756">
    <w:abstractNumId w:val="991"/>
  </w:num>
  <w:num w:numId="1757">
    <w:abstractNumId w:val="991"/>
  </w:num>
  <w:num w:numId="1758">
    <w:abstractNumId w:val="991"/>
  </w:num>
  <w:num w:numId="1759">
    <w:abstractNumId w:val="991"/>
  </w:num>
  <w:num w:numId="1760">
    <w:abstractNumId w:val="991"/>
  </w:num>
  <w:num w:numId="1761">
    <w:abstractNumId w:val="991"/>
  </w:num>
  <w:num w:numId="1762">
    <w:abstractNumId w:val="991"/>
  </w:num>
  <w:num w:numId="1763">
    <w:abstractNumId w:val="991"/>
  </w:num>
  <w:num w:numId="1764">
    <w:abstractNumId w:val="991"/>
  </w:num>
  <w:num w:numId="1765">
    <w:abstractNumId w:val="991"/>
  </w:num>
  <w:num w:numId="1766">
    <w:abstractNumId w:val="991"/>
  </w:num>
  <w:num w:numId="1767">
    <w:abstractNumId w:val="991"/>
  </w:num>
  <w:num w:numId="1768">
    <w:abstractNumId w:val="991"/>
  </w:num>
  <w:num w:numId="1769">
    <w:abstractNumId w:val="991"/>
  </w:num>
  <w:num w:numId="1770">
    <w:abstractNumId w:val="991"/>
  </w:num>
  <w:num w:numId="1771">
    <w:abstractNumId w:val="991"/>
  </w:num>
  <w:num w:numId="1772">
    <w:abstractNumId w:val="991"/>
  </w:num>
  <w:num w:numId="1773">
    <w:abstractNumId w:val="991"/>
  </w:num>
  <w:num w:numId="1774">
    <w:abstractNumId w:val="991"/>
  </w:num>
  <w:num w:numId="1775">
    <w:abstractNumId w:val="991"/>
  </w:num>
  <w:num w:numId="1776">
    <w:abstractNumId w:val="991"/>
  </w:num>
  <w:num w:numId="1777">
    <w:abstractNumId w:val="991"/>
  </w:num>
  <w:num w:numId="1778">
    <w:abstractNumId w:val="991"/>
  </w:num>
  <w:num w:numId="1779">
    <w:abstractNumId w:val="991"/>
  </w:num>
  <w:num w:numId="1780">
    <w:abstractNumId w:val="991"/>
  </w:num>
  <w:num w:numId="1781">
    <w:abstractNumId w:val="991"/>
  </w:num>
  <w:num w:numId="1782">
    <w:abstractNumId w:val="991"/>
  </w:num>
  <w:num w:numId="1783">
    <w:abstractNumId w:val="991"/>
  </w:num>
  <w:num w:numId="1784">
    <w:abstractNumId w:val="991"/>
  </w:num>
  <w:num w:numId="1785">
    <w:abstractNumId w:val="991"/>
  </w:num>
  <w:num w:numId="1786">
    <w:abstractNumId w:val="991"/>
  </w:num>
  <w:num w:numId="1787">
    <w:abstractNumId w:val="991"/>
  </w:num>
  <w:num w:numId="1788">
    <w:abstractNumId w:val="991"/>
  </w:num>
  <w:num w:numId="1789">
    <w:abstractNumId w:val="991"/>
  </w:num>
  <w:num w:numId="1790">
    <w:abstractNumId w:val="991"/>
  </w:num>
  <w:num w:numId="1791">
    <w:abstractNumId w:val="991"/>
  </w:num>
  <w:num w:numId="1792">
    <w:abstractNumId w:val="991"/>
  </w:num>
  <w:num w:numId="1793">
    <w:abstractNumId w:val="991"/>
  </w:num>
  <w:num w:numId="1794">
    <w:abstractNumId w:val="991"/>
  </w:num>
  <w:num w:numId="1795">
    <w:abstractNumId w:val="991"/>
  </w:num>
  <w:num w:numId="1796">
    <w:abstractNumId w:val="991"/>
  </w:num>
  <w:num w:numId="1797">
    <w:abstractNumId w:val="991"/>
  </w:num>
  <w:num w:numId="1798">
    <w:abstractNumId w:val="991"/>
  </w:num>
  <w:num w:numId="1799">
    <w:abstractNumId w:val="991"/>
  </w:num>
  <w:num w:numId="1800">
    <w:abstractNumId w:val="991"/>
  </w:num>
  <w:num w:numId="1801">
    <w:abstractNumId w:val="991"/>
  </w:num>
  <w:num w:numId="1802">
    <w:abstractNumId w:val="991"/>
  </w:num>
  <w:num w:numId="1803">
    <w:abstractNumId w:val="991"/>
  </w:num>
  <w:num w:numId="1804">
    <w:abstractNumId w:val="991"/>
  </w:num>
  <w:num w:numId="1805">
    <w:abstractNumId w:val="991"/>
  </w:num>
  <w:num w:numId="1806">
    <w:abstractNumId w:val="991"/>
  </w:num>
  <w:num w:numId="1807">
    <w:abstractNumId w:val="991"/>
  </w:num>
  <w:num w:numId="1808">
    <w:abstractNumId w:val="991"/>
  </w:num>
  <w:num w:numId="1809">
    <w:abstractNumId w:val="991"/>
  </w:num>
  <w:num w:numId="1810">
    <w:abstractNumId w:val="991"/>
  </w:num>
  <w:num w:numId="1811">
    <w:abstractNumId w:val="991"/>
  </w:num>
  <w:num w:numId="1812">
    <w:abstractNumId w:val="991"/>
  </w:num>
  <w:num w:numId="1813">
    <w:abstractNumId w:val="991"/>
  </w:num>
  <w:num w:numId="1814">
    <w:abstractNumId w:val="991"/>
  </w:num>
  <w:num w:numId="1815">
    <w:abstractNumId w:val="991"/>
  </w:num>
  <w:num w:numId="1816">
    <w:abstractNumId w:val="991"/>
  </w:num>
  <w:num w:numId="1817">
    <w:abstractNumId w:val="991"/>
  </w:num>
  <w:num w:numId="1818">
    <w:abstractNumId w:val="991"/>
  </w:num>
  <w:num w:numId="1819">
    <w:abstractNumId w:val="991"/>
  </w:num>
  <w:num w:numId="1820">
    <w:abstractNumId w:val="991"/>
  </w:num>
  <w:num w:numId="1821">
    <w:abstractNumId w:val="991"/>
  </w:num>
  <w:num w:numId="1822">
    <w:abstractNumId w:val="991"/>
  </w:num>
  <w:num w:numId="1823">
    <w:abstractNumId w:val="991"/>
  </w:num>
  <w:num w:numId="1824">
    <w:abstractNumId w:val="991"/>
  </w:num>
  <w:num w:numId="1825">
    <w:abstractNumId w:val="991"/>
  </w:num>
  <w:num w:numId="1826">
    <w:abstractNumId w:val="991"/>
  </w:num>
  <w:num w:numId="1827">
    <w:abstractNumId w:val="991"/>
  </w:num>
  <w:num w:numId="1828">
    <w:abstractNumId w:val="991"/>
  </w:num>
  <w:num w:numId="1829">
    <w:abstractNumId w:val="991"/>
  </w:num>
  <w:num w:numId="1830">
    <w:abstractNumId w:val="991"/>
  </w:num>
  <w:num w:numId="1831">
    <w:abstractNumId w:val="991"/>
  </w:num>
  <w:num w:numId="1832">
    <w:abstractNumId w:val="991"/>
  </w:num>
  <w:num w:numId="1833">
    <w:abstractNumId w:val="991"/>
  </w:num>
  <w:num w:numId="1834">
    <w:abstractNumId w:val="991"/>
  </w:num>
  <w:num w:numId="1835">
    <w:abstractNumId w:val="991"/>
  </w:num>
  <w:num w:numId="1836">
    <w:abstractNumId w:val="991"/>
  </w:num>
  <w:num w:numId="1837">
    <w:abstractNumId w:val="991"/>
  </w:num>
  <w:num w:numId="1838">
    <w:abstractNumId w:val="991"/>
  </w:num>
  <w:num w:numId="1839">
    <w:abstractNumId w:val="991"/>
  </w:num>
  <w:num w:numId="1840">
    <w:abstractNumId w:val="991"/>
  </w:num>
  <w:num w:numId="1841">
    <w:abstractNumId w:val="991"/>
  </w:num>
  <w:num w:numId="1842">
    <w:abstractNumId w:val="991"/>
  </w:num>
  <w:num w:numId="1843">
    <w:abstractNumId w:val="991"/>
  </w:num>
  <w:num w:numId="1844">
    <w:abstractNumId w:val="991"/>
  </w:num>
  <w:num w:numId="1845">
    <w:abstractNumId w:val="991"/>
  </w:num>
  <w:num w:numId="1846">
    <w:abstractNumId w:val="991"/>
  </w:num>
  <w:num w:numId="1847">
    <w:abstractNumId w:val="991"/>
  </w:num>
  <w:num w:numId="1848">
    <w:abstractNumId w:val="991"/>
  </w:num>
  <w:num w:numId="1849">
    <w:abstractNumId w:val="991"/>
  </w:num>
  <w:num w:numId="1850">
    <w:abstractNumId w:val="991"/>
  </w:num>
  <w:num w:numId="1851">
    <w:abstractNumId w:val="991"/>
  </w:num>
  <w:num w:numId="1852">
    <w:abstractNumId w:val="991"/>
  </w:num>
  <w:num w:numId="1853">
    <w:abstractNumId w:val="991"/>
  </w:num>
  <w:num w:numId="1854">
    <w:abstractNumId w:val="991"/>
  </w:num>
  <w:num w:numId="1855">
    <w:abstractNumId w:val="991"/>
  </w:num>
  <w:num w:numId="1856">
    <w:abstractNumId w:val="991"/>
  </w:num>
  <w:num w:numId="1857">
    <w:abstractNumId w:val="991"/>
  </w:num>
  <w:num w:numId="1858">
    <w:abstractNumId w:val="991"/>
  </w:num>
  <w:num w:numId="1859">
    <w:abstractNumId w:val="991"/>
  </w:num>
  <w:num w:numId="1860">
    <w:abstractNumId w:val="991"/>
  </w:num>
  <w:num w:numId="1861">
    <w:abstractNumId w:val="991"/>
  </w:num>
  <w:num w:numId="1862">
    <w:abstractNumId w:val="991"/>
  </w:num>
  <w:num w:numId="1863">
    <w:abstractNumId w:val="991"/>
  </w:num>
  <w:num w:numId="1864">
    <w:abstractNumId w:val="991"/>
  </w:num>
  <w:num w:numId="1865">
    <w:abstractNumId w:val="991"/>
  </w:num>
  <w:num w:numId="1866">
    <w:abstractNumId w:val="991"/>
  </w:num>
  <w:num w:numId="1867">
    <w:abstractNumId w:val="991"/>
  </w:num>
  <w:num w:numId="1868">
    <w:abstractNumId w:val="991"/>
  </w:num>
  <w:num w:numId="1869">
    <w:abstractNumId w:val="991"/>
  </w:num>
  <w:num w:numId="1870">
    <w:abstractNumId w:val="991"/>
  </w:num>
  <w:num w:numId="1871">
    <w:abstractNumId w:val="991"/>
  </w:num>
  <w:num w:numId="1872">
    <w:abstractNumId w:val="991"/>
  </w:num>
  <w:num w:numId="1873">
    <w:abstractNumId w:val="991"/>
  </w:num>
  <w:num w:numId="1874">
    <w:abstractNumId w:val="991"/>
  </w:num>
  <w:num w:numId="1875">
    <w:abstractNumId w:val="991"/>
  </w:num>
  <w:num w:numId="1876">
    <w:abstractNumId w:val="991"/>
  </w:num>
  <w:num w:numId="1877">
    <w:abstractNumId w:val="991"/>
  </w:num>
  <w:num w:numId="1878">
    <w:abstractNumId w:val="991"/>
  </w:num>
  <w:num w:numId="1879">
    <w:abstractNumId w:val="991"/>
  </w:num>
  <w:num w:numId="1880">
    <w:abstractNumId w:val="991"/>
  </w:num>
  <w:num w:numId="1881">
    <w:abstractNumId w:val="991"/>
  </w:num>
  <w:num w:numId="1882">
    <w:abstractNumId w:val="991"/>
  </w:num>
  <w:num w:numId="1883">
    <w:abstractNumId w:val="991"/>
  </w:num>
  <w:num w:numId="1884">
    <w:abstractNumId w:val="991"/>
  </w:num>
  <w:num w:numId="1885">
    <w:abstractNumId w:val="991"/>
  </w:num>
  <w:num w:numId="1886">
    <w:abstractNumId w:val="991"/>
  </w:num>
  <w:num w:numId="1887">
    <w:abstractNumId w:val="991"/>
  </w:num>
  <w:num w:numId="1888">
    <w:abstractNumId w:val="991"/>
  </w:num>
  <w:num w:numId="1889">
    <w:abstractNumId w:val="991"/>
  </w:num>
  <w:num w:numId="1890">
    <w:abstractNumId w:val="991"/>
  </w:num>
  <w:num w:numId="1891">
    <w:abstractNumId w:val="991"/>
  </w:num>
  <w:num w:numId="1892">
    <w:abstractNumId w:val="991"/>
  </w:num>
  <w:num w:numId="1893">
    <w:abstractNumId w:val="991"/>
  </w:num>
  <w:num w:numId="1894">
    <w:abstractNumId w:val="991"/>
  </w:num>
  <w:num w:numId="1895">
    <w:abstractNumId w:val="991"/>
  </w:num>
  <w:num w:numId="1896">
    <w:abstractNumId w:val="991"/>
  </w:num>
  <w:num w:numId="1897">
    <w:abstractNumId w:val="991"/>
  </w:num>
  <w:num w:numId="1898">
    <w:abstractNumId w:val="991"/>
  </w:num>
  <w:num w:numId="1899">
    <w:abstractNumId w:val="991"/>
  </w:num>
  <w:num w:numId="1900">
    <w:abstractNumId w:val="991"/>
  </w:num>
  <w:num w:numId="1901">
    <w:abstractNumId w:val="991"/>
  </w:num>
  <w:num w:numId="1902">
    <w:abstractNumId w:val="991"/>
  </w:num>
  <w:num w:numId="1903">
    <w:abstractNumId w:val="991"/>
  </w:num>
  <w:num w:numId="1904">
    <w:abstractNumId w:val="991"/>
  </w:num>
  <w:num w:numId="1905">
    <w:abstractNumId w:val="991"/>
  </w:num>
  <w:num w:numId="1906">
    <w:abstractNumId w:val="991"/>
  </w:num>
  <w:num w:numId="1907">
    <w:abstractNumId w:val="991"/>
  </w:num>
  <w:num w:numId="1908">
    <w:abstractNumId w:val="991"/>
  </w:num>
  <w:num w:numId="1909">
    <w:abstractNumId w:val="991"/>
  </w:num>
  <w:num w:numId="1910">
    <w:abstractNumId w:val="991"/>
  </w:num>
  <w:num w:numId="1911">
    <w:abstractNumId w:val="991"/>
  </w:num>
  <w:num w:numId="1912">
    <w:abstractNumId w:val="991"/>
  </w:num>
  <w:num w:numId="1913">
    <w:abstractNumId w:val="991"/>
  </w:num>
  <w:num w:numId="1914">
    <w:abstractNumId w:val="991"/>
  </w:num>
  <w:num w:numId="1915">
    <w:abstractNumId w:val="991"/>
  </w:num>
  <w:num w:numId="1916">
    <w:abstractNumId w:val="991"/>
  </w:num>
  <w:num w:numId="1917">
    <w:abstractNumId w:val="991"/>
  </w:num>
  <w:num w:numId="1918">
    <w:abstractNumId w:val="991"/>
  </w:num>
  <w:num w:numId="1919">
    <w:abstractNumId w:val="991"/>
  </w:num>
  <w:num w:numId="1920">
    <w:abstractNumId w:val="991"/>
  </w:num>
  <w:num w:numId="1921">
    <w:abstractNumId w:val="991"/>
  </w:num>
  <w:num w:numId="1922">
    <w:abstractNumId w:val="991"/>
  </w:num>
  <w:num w:numId="1923">
    <w:abstractNumId w:val="991"/>
  </w:num>
  <w:num w:numId="1924">
    <w:abstractNumId w:val="991"/>
  </w:num>
  <w:num w:numId="1925">
    <w:abstractNumId w:val="991"/>
  </w:num>
  <w:num w:numId="1926">
    <w:abstractNumId w:val="991"/>
  </w:num>
  <w:num w:numId="1927">
    <w:abstractNumId w:val="991"/>
  </w:num>
  <w:num w:numId="1928">
    <w:abstractNumId w:val="991"/>
  </w:num>
  <w:num w:numId="1929">
    <w:abstractNumId w:val="991"/>
  </w:num>
  <w:num w:numId="1930">
    <w:abstractNumId w:val="991"/>
  </w:num>
  <w:num w:numId="1931">
    <w:abstractNumId w:val="991"/>
  </w:num>
  <w:num w:numId="1932">
    <w:abstractNumId w:val="991"/>
  </w:num>
  <w:num w:numId="1933">
    <w:abstractNumId w:val="991"/>
  </w:num>
  <w:num w:numId="1934">
    <w:abstractNumId w:val="991"/>
  </w:num>
  <w:num w:numId="1935">
    <w:abstractNumId w:val="991"/>
  </w:num>
  <w:num w:numId="1936">
    <w:abstractNumId w:val="991"/>
  </w:num>
  <w:num w:numId="1937">
    <w:abstractNumId w:val="991"/>
  </w:num>
  <w:num w:numId="1938">
    <w:abstractNumId w:val="991"/>
  </w:num>
  <w:num w:numId="1939">
    <w:abstractNumId w:val="991"/>
  </w:num>
  <w:num w:numId="1940">
    <w:abstractNumId w:val="991"/>
  </w:num>
  <w:num w:numId="1941">
    <w:abstractNumId w:val="991"/>
  </w:num>
  <w:num w:numId="1942">
    <w:abstractNumId w:val="991"/>
  </w:num>
  <w:num w:numId="1943">
    <w:abstractNumId w:val="991"/>
  </w:num>
  <w:num w:numId="1944">
    <w:abstractNumId w:val="991"/>
  </w:num>
  <w:num w:numId="1945">
    <w:abstractNumId w:val="991"/>
  </w:num>
  <w:num w:numId="1946">
    <w:abstractNumId w:val="991"/>
  </w:num>
  <w:num w:numId="1947">
    <w:abstractNumId w:val="991"/>
  </w:num>
  <w:num w:numId="1948">
    <w:abstractNumId w:val="991"/>
  </w:num>
  <w:num w:numId="1949">
    <w:abstractNumId w:val="991"/>
  </w:num>
  <w:num w:numId="1950">
    <w:abstractNumId w:val="991"/>
  </w:num>
  <w:num w:numId="1951">
    <w:abstractNumId w:val="991"/>
  </w:num>
  <w:num w:numId="1952">
    <w:abstractNumId w:val="991"/>
  </w:num>
  <w:num w:numId="1953">
    <w:abstractNumId w:val="991"/>
  </w:num>
  <w:num w:numId="1954">
    <w:abstractNumId w:val="991"/>
  </w:num>
  <w:num w:numId="1955">
    <w:abstractNumId w:val="991"/>
  </w:num>
  <w:num w:numId="1956">
    <w:abstractNumId w:val="991"/>
  </w:num>
  <w:num w:numId="1957">
    <w:abstractNumId w:val="991"/>
  </w:num>
  <w:num w:numId="1958">
    <w:abstractNumId w:val="991"/>
  </w:num>
  <w:num w:numId="1959">
    <w:abstractNumId w:val="991"/>
  </w:num>
  <w:num w:numId="1960">
    <w:abstractNumId w:val="991"/>
  </w:num>
  <w:num w:numId="1961">
    <w:abstractNumId w:val="991"/>
  </w:num>
  <w:num w:numId="1962">
    <w:abstractNumId w:val="991"/>
  </w:num>
  <w:num w:numId="1963">
    <w:abstractNumId w:val="991"/>
  </w:num>
  <w:num w:numId="1964">
    <w:abstractNumId w:val="991"/>
  </w:num>
  <w:num w:numId="1965">
    <w:abstractNumId w:val="991"/>
  </w:num>
  <w:num w:numId="1966">
    <w:abstractNumId w:val="991"/>
  </w:num>
  <w:num w:numId="1967">
    <w:abstractNumId w:val="991"/>
  </w:num>
  <w:num w:numId="1968">
    <w:abstractNumId w:val="991"/>
  </w:num>
  <w:num w:numId="1969">
    <w:abstractNumId w:val="991"/>
  </w:num>
  <w:num w:numId="1970">
    <w:abstractNumId w:val="991"/>
  </w:num>
  <w:num w:numId="1971">
    <w:abstractNumId w:val="991"/>
  </w:num>
  <w:num w:numId="1972">
    <w:abstractNumId w:val="991"/>
  </w:num>
  <w:num w:numId="1973">
    <w:abstractNumId w:val="991"/>
  </w:num>
  <w:num w:numId="1974">
    <w:abstractNumId w:val="991"/>
  </w:num>
  <w:num w:numId="1975">
    <w:abstractNumId w:val="991"/>
  </w:num>
  <w:num w:numId="1976">
    <w:abstractNumId w:val="991"/>
  </w:num>
  <w:num w:numId="1977">
    <w:abstractNumId w:val="991"/>
  </w:num>
  <w:num w:numId="1978">
    <w:abstractNumId w:val="991"/>
  </w:num>
  <w:num w:numId="1979">
    <w:abstractNumId w:val="991"/>
  </w:num>
  <w:num w:numId="1980">
    <w:abstractNumId w:val="991"/>
  </w:num>
  <w:num w:numId="1981">
    <w:abstractNumId w:val="991"/>
  </w:num>
  <w:num w:numId="1982">
    <w:abstractNumId w:val="991"/>
  </w:num>
  <w:num w:numId="1983">
    <w:abstractNumId w:val="991"/>
  </w:num>
  <w:num w:numId="1984">
    <w:abstractNumId w:val="991"/>
  </w:num>
  <w:num w:numId="1985">
    <w:abstractNumId w:val="991"/>
  </w:num>
  <w:num w:numId="1986">
    <w:abstractNumId w:val="991"/>
  </w:num>
  <w:num w:numId="1987">
    <w:abstractNumId w:val="991"/>
  </w:num>
  <w:num w:numId="1988">
    <w:abstractNumId w:val="991"/>
  </w:num>
  <w:num w:numId="1989">
    <w:abstractNumId w:val="991"/>
  </w:num>
  <w:num w:numId="1990">
    <w:abstractNumId w:val="991"/>
  </w:num>
  <w:num w:numId="1991">
    <w:abstractNumId w:val="991"/>
  </w:num>
  <w:num w:numId="1992">
    <w:abstractNumId w:val="991"/>
  </w:num>
  <w:num w:numId="1993">
    <w:abstractNumId w:val="991"/>
  </w:num>
  <w:num w:numId="1994">
    <w:abstractNumId w:val="991"/>
  </w:num>
  <w:num w:numId="1995">
    <w:abstractNumId w:val="991"/>
  </w:num>
  <w:num w:numId="1996">
    <w:abstractNumId w:val="991"/>
  </w:num>
  <w:num w:numId="1997">
    <w:abstractNumId w:val="991"/>
  </w:num>
  <w:num w:numId="1998">
    <w:abstractNumId w:val="991"/>
  </w:num>
  <w:num w:numId="1999">
    <w:abstractNumId w:val="991"/>
  </w:num>
  <w:num w:numId="2000">
    <w:abstractNumId w:val="991"/>
  </w:num>
  <w:num w:numId="2001">
    <w:abstractNumId w:val="991"/>
  </w:num>
  <w:num w:numId="2002">
    <w:abstractNumId w:val="991"/>
  </w:num>
  <w:num w:numId="2003">
    <w:abstractNumId w:val="991"/>
  </w:num>
  <w:num w:numId="2004">
    <w:abstractNumId w:val="991"/>
  </w:num>
  <w:num w:numId="2005">
    <w:abstractNumId w:val="991"/>
  </w:num>
  <w:num w:numId="2006">
    <w:abstractNumId w:val="991"/>
  </w:num>
  <w:num w:numId="2007">
    <w:abstractNumId w:val="991"/>
  </w:num>
  <w:num w:numId="2008">
    <w:abstractNumId w:val="991"/>
  </w:num>
  <w:num w:numId="2009">
    <w:abstractNumId w:val="991"/>
  </w:num>
  <w:num w:numId="2010">
    <w:abstractNumId w:val="991"/>
  </w:num>
  <w:num w:numId="2011">
    <w:abstractNumId w:val="991"/>
  </w:num>
  <w:num w:numId="2012">
    <w:abstractNumId w:val="991"/>
  </w:num>
  <w:num w:numId="2013">
    <w:abstractNumId w:val="991"/>
  </w:num>
  <w:num w:numId="2014">
    <w:abstractNumId w:val="991"/>
  </w:num>
  <w:num w:numId="2015">
    <w:abstractNumId w:val="991"/>
  </w:num>
  <w:num w:numId="2016">
    <w:abstractNumId w:val="991"/>
  </w:num>
  <w:num w:numId="2017">
    <w:abstractNumId w:val="991"/>
  </w:num>
  <w:num w:numId="2018">
    <w:abstractNumId w:val="991"/>
  </w:num>
  <w:num w:numId="2019">
    <w:abstractNumId w:val="991"/>
  </w:num>
  <w:num w:numId="2020">
    <w:abstractNumId w:val="991"/>
  </w:num>
  <w:num w:numId="2021">
    <w:abstractNumId w:val="991"/>
  </w:num>
  <w:num w:numId="2022">
    <w:abstractNumId w:val="991"/>
  </w:num>
  <w:num w:numId="2023">
    <w:abstractNumId w:val="991"/>
  </w:num>
  <w:num w:numId="2024">
    <w:abstractNumId w:val="991"/>
  </w:num>
  <w:num w:numId="2025">
    <w:abstractNumId w:val="991"/>
  </w:num>
  <w:num w:numId="2026">
    <w:abstractNumId w:val="991"/>
  </w:num>
  <w:num w:numId="2027">
    <w:abstractNumId w:val="991"/>
  </w:num>
  <w:num w:numId="2028">
    <w:abstractNumId w:val="991"/>
  </w:num>
  <w:num w:numId="2029">
    <w:abstractNumId w:val="991"/>
  </w:num>
  <w:num w:numId="2030">
    <w:abstractNumId w:val="991"/>
  </w:num>
  <w:num w:numId="2031">
    <w:abstractNumId w:val="991"/>
  </w:num>
  <w:num w:numId="2032">
    <w:abstractNumId w:val="991"/>
  </w:num>
  <w:num w:numId="2033">
    <w:abstractNumId w:val="991"/>
  </w:num>
  <w:num w:numId="2034">
    <w:abstractNumId w:val="991"/>
  </w:num>
  <w:num w:numId="2035">
    <w:abstractNumId w:val="991"/>
  </w:num>
  <w:num w:numId="2036">
    <w:abstractNumId w:val="991"/>
  </w:num>
  <w:num w:numId="2037">
    <w:abstractNumId w:val="991"/>
  </w:num>
  <w:num w:numId="2038">
    <w:abstractNumId w:val="991"/>
  </w:num>
  <w:num w:numId="2039">
    <w:abstractNumId w:val="991"/>
  </w:num>
  <w:num w:numId="2040">
    <w:abstractNumId w:val="991"/>
  </w:num>
  <w:num w:numId="2041">
    <w:abstractNumId w:val="991"/>
  </w:num>
  <w:num w:numId="2042">
    <w:abstractNumId w:val="991"/>
  </w:num>
  <w:num w:numId="2043">
    <w:abstractNumId w:val="991"/>
  </w:num>
  <w:num w:numId="2044">
    <w:abstractNumId w:val="991"/>
  </w:num>
  <w:num w:numId="2045">
    <w:abstractNumId w:val="991"/>
  </w:num>
  <w:num w:numId="2046">
    <w:abstractNumId w:val="991"/>
  </w:num>
  <w:num w:numId="2047">
    <w:abstractNumId w:val="991"/>
  </w:num>
  <w:num w:numId="2048">
    <w:abstractNumId w:val="991"/>
  </w:num>
  <w:num w:numId="2049">
    <w:abstractNumId w:val="991"/>
  </w:num>
  <w:num w:numId="2050">
    <w:abstractNumId w:val="991"/>
  </w:num>
  <w:num w:numId="2051">
    <w:abstractNumId w:val="991"/>
  </w:num>
  <w:num w:numId="2052">
    <w:abstractNumId w:val="991"/>
  </w:num>
  <w:num w:numId="2053">
    <w:abstractNumId w:val="991"/>
  </w:num>
  <w:num w:numId="2054">
    <w:abstractNumId w:val="991"/>
  </w:num>
  <w:num w:numId="2055">
    <w:abstractNumId w:val="991"/>
  </w:num>
  <w:num w:numId="2056">
    <w:abstractNumId w:val="991"/>
  </w:num>
  <w:num w:numId="2057">
    <w:abstractNumId w:val="991"/>
  </w:num>
  <w:num w:numId="2058">
    <w:abstractNumId w:val="991"/>
  </w:num>
  <w:num w:numId="2059">
    <w:abstractNumId w:val="991"/>
  </w:num>
  <w:num w:numId="2060">
    <w:abstractNumId w:val="991"/>
  </w:num>
  <w:num w:numId="2061">
    <w:abstractNumId w:val="991"/>
  </w:num>
  <w:num w:numId="2062">
    <w:abstractNumId w:val="991"/>
  </w:num>
  <w:num w:numId="2063">
    <w:abstractNumId w:val="991"/>
  </w:num>
  <w:num w:numId="2064">
    <w:abstractNumId w:val="991"/>
  </w:num>
  <w:num w:numId="2065">
    <w:abstractNumId w:val="991"/>
  </w:num>
  <w:num w:numId="2066">
    <w:abstractNumId w:val="991"/>
  </w:num>
  <w:num w:numId="2067">
    <w:abstractNumId w:val="991"/>
  </w:num>
  <w:num w:numId="2068">
    <w:abstractNumId w:val="991"/>
  </w:num>
  <w:num w:numId="2069">
    <w:abstractNumId w:val="991"/>
  </w:num>
  <w:num w:numId="2070">
    <w:abstractNumId w:val="991"/>
  </w:num>
  <w:num w:numId="2071">
    <w:abstractNumId w:val="991"/>
  </w:num>
  <w:num w:numId="2072">
    <w:abstractNumId w:val="991"/>
  </w:num>
  <w:num w:numId="2073">
    <w:abstractNumId w:val="991"/>
  </w:num>
  <w:num w:numId="2074">
    <w:abstractNumId w:val="991"/>
  </w:num>
  <w:num w:numId="2075">
    <w:abstractNumId w:val="991"/>
  </w:num>
  <w:num w:numId="2076">
    <w:abstractNumId w:val="991"/>
  </w:num>
  <w:num w:numId="2077">
    <w:abstractNumId w:val="991"/>
  </w:num>
  <w:num w:numId="2078">
    <w:abstractNumId w:val="991"/>
  </w:num>
  <w:num w:numId="2079">
    <w:abstractNumId w:val="991"/>
  </w:num>
  <w:num w:numId="2080">
    <w:abstractNumId w:val="991"/>
  </w:num>
  <w:num w:numId="2081">
    <w:abstractNumId w:val="991"/>
  </w:num>
  <w:num w:numId="2082">
    <w:abstractNumId w:val="991"/>
  </w:num>
  <w:num w:numId="2083">
    <w:abstractNumId w:val="991"/>
  </w:num>
  <w:num w:numId="2084">
    <w:abstractNumId w:val="991"/>
  </w:num>
  <w:num w:numId="2085">
    <w:abstractNumId w:val="991"/>
  </w:num>
  <w:num w:numId="2086">
    <w:abstractNumId w:val="991"/>
  </w:num>
  <w:num w:numId="2087">
    <w:abstractNumId w:val="991"/>
  </w:num>
  <w:num w:numId="2088">
    <w:abstractNumId w:val="991"/>
  </w:num>
  <w:num w:numId="2089">
    <w:abstractNumId w:val="991"/>
  </w:num>
  <w:num w:numId="2090">
    <w:abstractNumId w:val="991"/>
  </w:num>
  <w:num w:numId="2091">
    <w:abstractNumId w:val="991"/>
  </w:num>
  <w:num w:numId="2092">
    <w:abstractNumId w:val="991"/>
  </w:num>
  <w:num w:numId="2093">
    <w:abstractNumId w:val="991"/>
  </w:num>
  <w:num w:numId="2094">
    <w:abstractNumId w:val="991"/>
  </w:num>
  <w:num w:numId="2095">
    <w:abstractNumId w:val="991"/>
  </w:num>
  <w:num w:numId="2096">
    <w:abstractNumId w:val="991"/>
  </w:num>
  <w:num w:numId="2097">
    <w:abstractNumId w:val="991"/>
  </w:num>
  <w:num w:numId="2098">
    <w:abstractNumId w:val="991"/>
  </w:num>
  <w:num w:numId="2099">
    <w:abstractNumId w:val="991"/>
  </w:num>
  <w:num w:numId="2100">
    <w:abstractNumId w:val="991"/>
  </w:num>
  <w:num w:numId="2101">
    <w:abstractNumId w:val="991"/>
  </w:num>
  <w:num w:numId="2102">
    <w:abstractNumId w:val="991"/>
  </w:num>
  <w:num w:numId="2103">
    <w:abstractNumId w:val="991"/>
  </w:num>
  <w:num w:numId="2104">
    <w:abstractNumId w:val="991"/>
  </w:num>
  <w:num w:numId="2105">
    <w:abstractNumId w:val="991"/>
  </w:num>
  <w:num w:numId="2106">
    <w:abstractNumId w:val="991"/>
  </w:num>
  <w:num w:numId="2107">
    <w:abstractNumId w:val="991"/>
  </w:num>
  <w:num w:numId="2108">
    <w:abstractNumId w:val="991"/>
  </w:num>
  <w:num w:numId="2109">
    <w:abstractNumId w:val="991"/>
  </w:num>
  <w:num w:numId="2110">
    <w:abstractNumId w:val="991"/>
  </w:num>
  <w:num w:numId="2111">
    <w:abstractNumId w:val="991"/>
  </w:num>
  <w:num w:numId="2112">
    <w:abstractNumId w:val="991"/>
  </w:num>
  <w:num w:numId="2113">
    <w:abstractNumId w:val="991"/>
  </w:num>
  <w:num w:numId="2114">
    <w:abstractNumId w:val="991"/>
  </w:num>
  <w:num w:numId="2115">
    <w:abstractNumId w:val="991"/>
  </w:num>
  <w:num w:numId="2116">
    <w:abstractNumId w:val="991"/>
  </w:num>
  <w:num w:numId="2117">
    <w:abstractNumId w:val="991"/>
  </w:num>
  <w:num w:numId="2118">
    <w:abstractNumId w:val="991"/>
  </w:num>
  <w:num w:numId="2119">
    <w:abstractNumId w:val="991"/>
  </w:num>
  <w:num w:numId="2120">
    <w:abstractNumId w:val="991"/>
  </w:num>
  <w:num w:numId="2121">
    <w:abstractNumId w:val="991"/>
  </w:num>
  <w:num w:numId="2122">
    <w:abstractNumId w:val="991"/>
  </w:num>
  <w:num w:numId="2123">
    <w:abstractNumId w:val="991"/>
  </w:num>
  <w:num w:numId="2124">
    <w:abstractNumId w:val="991"/>
  </w:num>
  <w:num w:numId="2125">
    <w:abstractNumId w:val="991"/>
  </w:num>
  <w:num w:numId="2126">
    <w:abstractNumId w:val="991"/>
  </w:num>
  <w:num w:numId="2127">
    <w:abstractNumId w:val="991"/>
  </w:num>
  <w:num w:numId="2128">
    <w:abstractNumId w:val="991"/>
  </w:num>
  <w:num w:numId="2129">
    <w:abstractNumId w:val="991"/>
  </w:num>
  <w:num w:numId="2130">
    <w:abstractNumId w:val="991"/>
  </w:num>
  <w:num w:numId="2131">
    <w:abstractNumId w:val="991"/>
  </w:num>
  <w:num w:numId="2132">
    <w:abstractNumId w:val="991"/>
  </w:num>
  <w:num w:numId="2133">
    <w:abstractNumId w:val="991"/>
  </w:num>
  <w:num w:numId="2134">
    <w:abstractNumId w:val="991"/>
  </w:num>
  <w:num w:numId="2135">
    <w:abstractNumId w:val="991"/>
  </w:num>
  <w:num w:numId="2136">
    <w:abstractNumId w:val="991"/>
  </w:num>
  <w:num w:numId="2137">
    <w:abstractNumId w:val="991"/>
  </w:num>
  <w:num w:numId="2138">
    <w:abstractNumId w:val="991"/>
  </w:num>
  <w:num w:numId="2139">
    <w:abstractNumId w:val="991"/>
  </w:num>
  <w:num w:numId="2140">
    <w:abstractNumId w:val="991"/>
  </w:num>
  <w:num w:numId="2141">
    <w:abstractNumId w:val="991"/>
  </w:num>
  <w:num w:numId="2142">
    <w:abstractNumId w:val="991"/>
  </w:num>
  <w:num w:numId="2143">
    <w:abstractNumId w:val="991"/>
  </w:num>
  <w:num w:numId="2144">
    <w:abstractNumId w:val="991"/>
  </w:num>
  <w:num w:numId="2145">
    <w:abstractNumId w:val="991"/>
  </w:num>
  <w:num w:numId="2146">
    <w:abstractNumId w:val="991"/>
  </w:num>
  <w:num w:numId="2147">
    <w:abstractNumId w:val="991"/>
  </w:num>
  <w:num w:numId="2148">
    <w:abstractNumId w:val="991"/>
  </w:num>
  <w:num w:numId="2149">
    <w:abstractNumId w:val="991"/>
  </w:num>
  <w:num w:numId="2150">
    <w:abstractNumId w:val="991"/>
  </w:num>
  <w:num w:numId="2151">
    <w:abstractNumId w:val="991"/>
  </w:num>
  <w:num w:numId="2152">
    <w:abstractNumId w:val="991"/>
  </w:num>
  <w:num w:numId="2153">
    <w:abstractNumId w:val="991"/>
  </w:num>
  <w:num w:numId="2154">
    <w:abstractNumId w:val="991"/>
  </w:num>
  <w:num w:numId="2155">
    <w:abstractNumId w:val="991"/>
  </w:num>
  <w:num w:numId="2156">
    <w:abstractNumId w:val="991"/>
  </w:num>
  <w:num w:numId="2157">
    <w:abstractNumId w:val="991"/>
  </w:num>
  <w:num w:numId="2158">
    <w:abstractNumId w:val="991"/>
  </w:num>
  <w:num w:numId="2159">
    <w:abstractNumId w:val="991"/>
  </w:num>
  <w:num w:numId="2160">
    <w:abstractNumId w:val="991"/>
  </w:num>
  <w:num w:numId="2161">
    <w:abstractNumId w:val="991"/>
  </w:num>
  <w:num w:numId="2162">
    <w:abstractNumId w:val="991"/>
  </w:num>
  <w:num w:numId="2163">
    <w:abstractNumId w:val="991"/>
  </w:num>
  <w:num w:numId="2164">
    <w:abstractNumId w:val="991"/>
  </w:num>
  <w:num w:numId="2165">
    <w:abstractNumId w:val="991"/>
  </w:num>
  <w:num w:numId="2166">
    <w:abstractNumId w:val="991"/>
  </w:num>
  <w:num w:numId="2167">
    <w:abstractNumId w:val="991"/>
  </w:num>
  <w:num w:numId="2168">
    <w:abstractNumId w:val="991"/>
  </w:num>
  <w:num w:numId="2169">
    <w:abstractNumId w:val="991"/>
  </w:num>
  <w:num w:numId="2170">
    <w:abstractNumId w:val="991"/>
  </w:num>
  <w:num w:numId="2171">
    <w:abstractNumId w:val="991"/>
  </w:num>
  <w:num w:numId="2172">
    <w:abstractNumId w:val="991"/>
  </w:num>
  <w:num w:numId="2173">
    <w:abstractNumId w:val="991"/>
  </w:num>
  <w:num w:numId="2174">
    <w:abstractNumId w:val="991"/>
  </w:num>
  <w:num w:numId="2175">
    <w:abstractNumId w:val="991"/>
  </w:num>
  <w:num w:numId="2176">
    <w:abstractNumId w:val="991"/>
  </w:num>
  <w:num w:numId="2177">
    <w:abstractNumId w:val="991"/>
  </w:num>
  <w:num w:numId="2178">
    <w:abstractNumId w:val="991"/>
  </w:num>
  <w:num w:numId="2179">
    <w:abstractNumId w:val="991"/>
  </w:num>
  <w:num w:numId="2180">
    <w:abstractNumId w:val="991"/>
  </w:num>
  <w:num w:numId="2181">
    <w:abstractNumId w:val="991"/>
  </w:num>
  <w:num w:numId="2182">
    <w:abstractNumId w:val="991"/>
  </w:num>
  <w:num w:numId="2183">
    <w:abstractNumId w:val="991"/>
  </w:num>
  <w:num w:numId="2184">
    <w:abstractNumId w:val="991"/>
  </w:num>
  <w:num w:numId="2185">
    <w:abstractNumId w:val="991"/>
  </w:num>
  <w:num w:numId="2186">
    <w:abstractNumId w:val="991"/>
  </w:num>
  <w:num w:numId="2187">
    <w:abstractNumId w:val="991"/>
  </w:num>
  <w:num w:numId="2188">
    <w:abstractNumId w:val="991"/>
  </w:num>
  <w:num w:numId="2189">
    <w:abstractNumId w:val="991"/>
  </w:num>
  <w:num w:numId="2190">
    <w:abstractNumId w:val="991"/>
  </w:num>
  <w:num w:numId="2191">
    <w:abstractNumId w:val="991"/>
  </w:num>
  <w:num w:numId="2192">
    <w:abstractNumId w:val="991"/>
  </w:num>
  <w:num w:numId="2193">
    <w:abstractNumId w:val="991"/>
  </w:num>
  <w:num w:numId="2194">
    <w:abstractNumId w:val="991"/>
  </w:num>
  <w:num w:numId="2195">
    <w:abstractNumId w:val="991"/>
  </w:num>
  <w:num w:numId="2196">
    <w:abstractNumId w:val="991"/>
  </w:num>
  <w:num w:numId="2197">
    <w:abstractNumId w:val="991"/>
  </w:num>
  <w:num w:numId="2198">
    <w:abstractNumId w:val="991"/>
  </w:num>
  <w:num w:numId="2199">
    <w:abstractNumId w:val="991"/>
  </w:num>
  <w:num w:numId="2200">
    <w:abstractNumId w:val="991"/>
  </w:num>
  <w:num w:numId="2201">
    <w:abstractNumId w:val="991"/>
  </w:num>
  <w:num w:numId="2202">
    <w:abstractNumId w:val="991"/>
  </w:num>
  <w:num w:numId="2203">
    <w:abstractNumId w:val="991"/>
  </w:num>
  <w:num w:numId="2204">
    <w:abstractNumId w:val="991"/>
  </w:num>
  <w:num w:numId="2205">
    <w:abstractNumId w:val="991"/>
  </w:num>
  <w:num w:numId="2206">
    <w:abstractNumId w:val="991"/>
  </w:num>
  <w:num w:numId="2207">
    <w:abstractNumId w:val="991"/>
  </w:num>
  <w:num w:numId="2208">
    <w:abstractNumId w:val="991"/>
  </w:num>
  <w:num w:numId="2209">
    <w:abstractNumId w:val="991"/>
  </w:num>
  <w:num w:numId="2210">
    <w:abstractNumId w:val="991"/>
  </w:num>
  <w:num w:numId="2211">
    <w:abstractNumId w:val="991"/>
  </w:num>
  <w:num w:numId="2212">
    <w:abstractNumId w:val="991"/>
  </w:num>
  <w:num w:numId="2213">
    <w:abstractNumId w:val="991"/>
  </w:num>
  <w:num w:numId="2214">
    <w:abstractNumId w:val="991"/>
  </w:num>
  <w:num w:numId="2215">
    <w:abstractNumId w:val="991"/>
  </w:num>
  <w:num w:numId="2216">
    <w:abstractNumId w:val="991"/>
  </w:num>
  <w:num w:numId="2217">
    <w:abstractNumId w:val="991"/>
  </w:num>
  <w:num w:numId="2218">
    <w:abstractNumId w:val="991"/>
  </w:num>
  <w:num w:numId="2219">
    <w:abstractNumId w:val="991"/>
  </w:num>
  <w:num w:numId="2220">
    <w:abstractNumId w:val="991"/>
  </w:num>
  <w:num w:numId="2221">
    <w:abstractNumId w:val="991"/>
  </w:num>
  <w:num w:numId="2222">
    <w:abstractNumId w:val="991"/>
  </w:num>
  <w:num w:numId="2223">
    <w:abstractNumId w:val="991"/>
  </w:num>
  <w:num w:numId="2224">
    <w:abstractNumId w:val="991"/>
  </w:num>
  <w:num w:numId="2225">
    <w:abstractNumId w:val="991"/>
  </w:num>
  <w:num w:numId="2226">
    <w:abstractNumId w:val="991"/>
  </w:num>
  <w:num w:numId="2227">
    <w:abstractNumId w:val="991"/>
  </w:num>
  <w:num w:numId="2228">
    <w:abstractNumId w:val="991"/>
  </w:num>
  <w:num w:numId="2229">
    <w:abstractNumId w:val="991"/>
  </w:num>
  <w:num w:numId="2230">
    <w:abstractNumId w:val="991"/>
  </w:num>
  <w:num w:numId="2231">
    <w:abstractNumId w:val="991"/>
  </w:num>
  <w:num w:numId="2232">
    <w:abstractNumId w:val="991"/>
  </w:num>
  <w:num w:numId="2233">
    <w:abstractNumId w:val="991"/>
  </w:num>
  <w:num w:numId="2234">
    <w:abstractNumId w:val="991"/>
  </w:num>
  <w:num w:numId="2235">
    <w:abstractNumId w:val="991"/>
  </w:num>
  <w:num w:numId="2236">
    <w:abstractNumId w:val="991"/>
  </w:num>
  <w:num w:numId="2237">
    <w:abstractNumId w:val="991"/>
  </w:num>
  <w:num w:numId="2238">
    <w:abstractNumId w:val="991"/>
  </w:num>
  <w:num w:numId="2239">
    <w:abstractNumId w:val="991"/>
  </w:num>
  <w:num w:numId="2240">
    <w:abstractNumId w:val="991"/>
  </w:num>
  <w:num w:numId="2241">
    <w:abstractNumId w:val="991"/>
  </w:num>
  <w:num w:numId="2242">
    <w:abstractNumId w:val="991"/>
  </w:num>
  <w:num w:numId="2243">
    <w:abstractNumId w:val="991"/>
  </w:num>
  <w:num w:numId="2244">
    <w:abstractNumId w:val="991"/>
  </w:num>
  <w:num w:numId="2245">
    <w:abstractNumId w:val="991"/>
  </w:num>
  <w:num w:numId="2246">
    <w:abstractNumId w:val="991"/>
  </w:num>
  <w:num w:numId="2247">
    <w:abstractNumId w:val="991"/>
  </w:num>
  <w:num w:numId="2248">
    <w:abstractNumId w:val="991"/>
  </w:num>
  <w:num w:numId="2249">
    <w:abstractNumId w:val="991"/>
  </w:num>
  <w:num w:numId="2250">
    <w:abstractNumId w:val="991"/>
  </w:num>
  <w:num w:numId="2251">
    <w:abstractNumId w:val="991"/>
  </w:num>
  <w:num w:numId="2252">
    <w:abstractNumId w:val="991"/>
  </w:num>
  <w:num w:numId="2253">
    <w:abstractNumId w:val="991"/>
  </w:num>
  <w:num w:numId="2254">
    <w:abstractNumId w:val="991"/>
  </w:num>
  <w:num w:numId="2255">
    <w:abstractNumId w:val="991"/>
  </w:num>
  <w:num w:numId="2256">
    <w:abstractNumId w:val="991"/>
  </w:num>
  <w:num w:numId="2257">
    <w:abstractNumId w:val="991"/>
  </w:num>
  <w:num w:numId="2258">
    <w:abstractNumId w:val="991"/>
  </w:num>
  <w:num w:numId="2259">
    <w:abstractNumId w:val="991"/>
  </w:num>
  <w:num w:numId="2260">
    <w:abstractNumId w:val="991"/>
  </w:num>
  <w:num w:numId="2261">
    <w:abstractNumId w:val="991"/>
  </w:num>
  <w:num w:numId="2262">
    <w:abstractNumId w:val="991"/>
  </w:num>
  <w:num w:numId="2263">
    <w:abstractNumId w:val="991"/>
  </w:num>
  <w:num w:numId="2264">
    <w:abstractNumId w:val="991"/>
  </w:num>
  <w:num w:numId="2265">
    <w:abstractNumId w:val="991"/>
  </w:num>
  <w:num w:numId="2266">
    <w:abstractNumId w:val="991"/>
  </w:num>
  <w:num w:numId="2267">
    <w:abstractNumId w:val="991"/>
  </w:num>
  <w:num w:numId="2268">
    <w:abstractNumId w:val="991"/>
  </w:num>
  <w:num w:numId="2269">
    <w:abstractNumId w:val="991"/>
  </w:num>
  <w:num w:numId="2270">
    <w:abstractNumId w:val="991"/>
  </w:num>
  <w:num w:numId="2271">
    <w:abstractNumId w:val="991"/>
  </w:num>
  <w:num w:numId="2272">
    <w:abstractNumId w:val="991"/>
  </w:num>
  <w:num w:numId="2273">
    <w:abstractNumId w:val="991"/>
  </w:num>
  <w:num w:numId="2274">
    <w:abstractNumId w:val="991"/>
  </w:num>
  <w:num w:numId="2275">
    <w:abstractNumId w:val="991"/>
  </w:num>
  <w:num w:numId="2276">
    <w:abstractNumId w:val="991"/>
  </w:num>
  <w:num w:numId="2277">
    <w:abstractNumId w:val="991"/>
  </w:num>
  <w:num w:numId="2278">
    <w:abstractNumId w:val="991"/>
  </w:num>
  <w:num w:numId="2279">
    <w:abstractNumId w:val="991"/>
  </w:num>
  <w:num w:numId="2280">
    <w:abstractNumId w:val="991"/>
  </w:num>
  <w:num w:numId="2281">
    <w:abstractNumId w:val="991"/>
  </w:num>
  <w:num w:numId="2282">
    <w:abstractNumId w:val="991"/>
  </w:num>
  <w:num w:numId="2283">
    <w:abstractNumId w:val="991"/>
  </w:num>
  <w:num w:numId="2284">
    <w:abstractNumId w:val="991"/>
  </w:num>
  <w:num w:numId="2285">
    <w:abstractNumId w:val="991"/>
  </w:num>
  <w:num w:numId="2286">
    <w:abstractNumId w:val="991"/>
  </w:num>
  <w:num w:numId="2287">
    <w:abstractNumId w:val="991"/>
  </w:num>
  <w:num w:numId="2288">
    <w:abstractNumId w:val="991"/>
  </w:num>
  <w:num w:numId="2289">
    <w:abstractNumId w:val="991"/>
  </w:num>
  <w:num w:numId="2290">
    <w:abstractNumId w:val="991"/>
  </w:num>
  <w:num w:numId="2291">
    <w:abstractNumId w:val="991"/>
  </w:num>
  <w:num w:numId="2292">
    <w:abstractNumId w:val="991"/>
  </w:num>
  <w:num w:numId="2293">
    <w:abstractNumId w:val="991"/>
  </w:num>
  <w:num w:numId="2294">
    <w:abstractNumId w:val="991"/>
  </w:num>
  <w:num w:numId="2295">
    <w:abstractNumId w:val="991"/>
  </w:num>
  <w:num w:numId="2296">
    <w:abstractNumId w:val="991"/>
  </w:num>
  <w:num w:numId="2297">
    <w:abstractNumId w:val="991"/>
  </w:num>
  <w:num w:numId="2298">
    <w:abstractNumId w:val="991"/>
  </w:num>
  <w:num w:numId="2299">
    <w:abstractNumId w:val="991"/>
  </w:num>
  <w:num w:numId="2300">
    <w:abstractNumId w:val="991"/>
  </w:num>
  <w:num w:numId="2301">
    <w:abstractNumId w:val="991"/>
  </w:num>
  <w:num w:numId="2302">
    <w:abstractNumId w:val="991"/>
  </w:num>
  <w:num w:numId="2303">
    <w:abstractNumId w:val="991"/>
  </w:num>
  <w:num w:numId="2304">
    <w:abstractNumId w:val="991"/>
  </w:num>
  <w:num w:numId="2305">
    <w:abstractNumId w:val="991"/>
  </w:num>
  <w:num w:numId="2306">
    <w:abstractNumId w:val="991"/>
  </w:num>
  <w:num w:numId="2307">
    <w:abstractNumId w:val="991"/>
  </w:num>
  <w:num w:numId="2308">
    <w:abstractNumId w:val="991"/>
  </w:num>
  <w:num w:numId="2309">
    <w:abstractNumId w:val="991"/>
  </w:num>
  <w:num w:numId="2310">
    <w:abstractNumId w:val="991"/>
  </w:num>
  <w:num w:numId="2311">
    <w:abstractNumId w:val="991"/>
  </w:num>
  <w:num w:numId="2312">
    <w:abstractNumId w:val="991"/>
  </w:num>
  <w:num w:numId="2313">
    <w:abstractNumId w:val="991"/>
  </w:num>
  <w:num w:numId="2314">
    <w:abstractNumId w:val="991"/>
  </w:num>
  <w:num w:numId="2315">
    <w:abstractNumId w:val="991"/>
  </w:num>
  <w:num w:numId="2316">
    <w:abstractNumId w:val="991"/>
  </w:num>
  <w:num w:numId="2317">
    <w:abstractNumId w:val="991"/>
  </w:num>
  <w:num w:numId="2318">
    <w:abstractNumId w:val="991"/>
  </w:num>
  <w:num w:numId="2319">
    <w:abstractNumId w:val="991"/>
  </w:num>
  <w:num w:numId="2320">
    <w:abstractNumId w:val="991"/>
  </w:num>
  <w:num w:numId="2321">
    <w:abstractNumId w:val="991"/>
  </w:num>
  <w:num w:numId="2322">
    <w:abstractNumId w:val="991"/>
  </w:num>
  <w:num w:numId="2323">
    <w:abstractNumId w:val="991"/>
  </w:num>
  <w:num w:numId="2324">
    <w:abstractNumId w:val="991"/>
  </w:num>
  <w:num w:numId="2325">
    <w:abstractNumId w:val="991"/>
  </w:num>
  <w:num w:numId="2326">
    <w:abstractNumId w:val="991"/>
  </w:num>
  <w:num w:numId="2327">
    <w:abstractNumId w:val="991"/>
  </w:num>
  <w:num w:numId="2328">
    <w:abstractNumId w:val="991"/>
  </w:num>
  <w:num w:numId="2329">
    <w:abstractNumId w:val="991"/>
  </w:num>
  <w:num w:numId="2330">
    <w:abstractNumId w:val="991"/>
  </w:num>
  <w:num w:numId="2331">
    <w:abstractNumId w:val="991"/>
  </w:num>
  <w:num w:numId="2332">
    <w:abstractNumId w:val="991"/>
  </w:num>
  <w:num w:numId="2333">
    <w:abstractNumId w:val="991"/>
  </w:num>
  <w:num w:numId="2334">
    <w:abstractNumId w:val="991"/>
  </w:num>
  <w:num w:numId="2335">
    <w:abstractNumId w:val="991"/>
  </w:num>
  <w:num w:numId="2336">
    <w:abstractNumId w:val="991"/>
  </w:num>
  <w:num w:numId="2337">
    <w:abstractNumId w:val="991"/>
  </w:num>
  <w:num w:numId="2338">
    <w:abstractNumId w:val="991"/>
  </w:num>
  <w:num w:numId="2339">
    <w:abstractNumId w:val="991"/>
  </w:num>
  <w:num w:numId="2340">
    <w:abstractNumId w:val="991"/>
  </w:num>
  <w:num w:numId="2341">
    <w:abstractNumId w:val="991"/>
  </w:num>
  <w:num w:numId="2342">
    <w:abstractNumId w:val="991"/>
  </w:num>
  <w:num w:numId="2343">
    <w:abstractNumId w:val="991"/>
  </w:num>
  <w:num w:numId="2344">
    <w:abstractNumId w:val="991"/>
  </w:num>
  <w:num w:numId="2345">
    <w:abstractNumId w:val="991"/>
  </w:num>
  <w:num w:numId="2346">
    <w:abstractNumId w:val="991"/>
  </w:num>
  <w:num w:numId="2347">
    <w:abstractNumId w:val="991"/>
  </w:num>
  <w:num w:numId="2348">
    <w:abstractNumId w:val="991"/>
  </w:num>
  <w:num w:numId="2349">
    <w:abstractNumId w:val="991"/>
  </w:num>
  <w:num w:numId="2350">
    <w:abstractNumId w:val="991"/>
  </w:num>
  <w:num w:numId="2351">
    <w:abstractNumId w:val="991"/>
  </w:num>
  <w:num w:numId="2352">
    <w:abstractNumId w:val="991"/>
  </w:num>
  <w:num w:numId="2353">
    <w:abstractNumId w:val="991"/>
  </w:num>
  <w:num w:numId="2354">
    <w:abstractNumId w:val="991"/>
  </w:num>
  <w:num w:numId="2355">
    <w:abstractNumId w:val="991"/>
  </w:num>
  <w:num w:numId="2356">
    <w:abstractNumId w:val="991"/>
  </w:num>
  <w:num w:numId="2357">
    <w:abstractNumId w:val="991"/>
  </w:num>
  <w:num w:numId="2358">
    <w:abstractNumId w:val="991"/>
  </w:num>
  <w:num w:numId="2359">
    <w:abstractNumId w:val="991"/>
  </w:num>
  <w:num w:numId="2360">
    <w:abstractNumId w:val="991"/>
  </w:num>
  <w:num w:numId="2361">
    <w:abstractNumId w:val="991"/>
  </w:num>
  <w:num w:numId="2362">
    <w:abstractNumId w:val="991"/>
  </w:num>
  <w:num w:numId="2363">
    <w:abstractNumId w:val="991"/>
  </w:num>
  <w:num w:numId="2364">
    <w:abstractNumId w:val="991"/>
  </w:num>
  <w:num w:numId="2365">
    <w:abstractNumId w:val="991"/>
  </w:num>
  <w:num w:numId="2366">
    <w:abstractNumId w:val="991"/>
  </w:num>
  <w:num w:numId="2367">
    <w:abstractNumId w:val="991"/>
  </w:num>
  <w:num w:numId="2368">
    <w:abstractNumId w:val="991"/>
  </w:num>
  <w:num w:numId="2369">
    <w:abstractNumId w:val="991"/>
  </w:num>
  <w:num w:numId="2370">
    <w:abstractNumId w:val="991"/>
  </w:num>
  <w:num w:numId="2371">
    <w:abstractNumId w:val="991"/>
  </w:num>
  <w:num w:numId="2372">
    <w:abstractNumId w:val="991"/>
  </w:num>
  <w:num w:numId="2373">
    <w:abstractNumId w:val="991"/>
  </w:num>
  <w:num w:numId="2374">
    <w:abstractNumId w:val="991"/>
  </w:num>
  <w:num w:numId="2375">
    <w:abstractNumId w:val="991"/>
  </w:num>
  <w:num w:numId="2376">
    <w:abstractNumId w:val="991"/>
  </w:num>
  <w:num w:numId="2377">
    <w:abstractNumId w:val="991"/>
  </w:num>
  <w:num w:numId="2378">
    <w:abstractNumId w:val="991"/>
  </w:num>
  <w:num w:numId="2379">
    <w:abstractNumId w:val="991"/>
  </w:num>
  <w:num w:numId="2380">
    <w:abstractNumId w:val="991"/>
  </w:num>
  <w:num w:numId="2381">
    <w:abstractNumId w:val="991"/>
  </w:num>
  <w:num w:numId="2382">
    <w:abstractNumId w:val="991"/>
  </w:num>
  <w:num w:numId="2383">
    <w:abstractNumId w:val="991"/>
  </w:num>
  <w:num w:numId="2384">
    <w:abstractNumId w:val="991"/>
  </w:num>
  <w:num w:numId="2385">
    <w:abstractNumId w:val="991"/>
  </w:num>
  <w:num w:numId="2386">
    <w:abstractNumId w:val="991"/>
  </w:num>
  <w:num w:numId="2387">
    <w:abstractNumId w:val="991"/>
  </w:num>
  <w:num w:numId="2388">
    <w:abstractNumId w:val="991"/>
  </w:num>
  <w:num w:numId="2389">
    <w:abstractNumId w:val="991"/>
  </w:num>
  <w:num w:numId="2390">
    <w:abstractNumId w:val="991"/>
  </w:num>
  <w:num w:numId="2391">
    <w:abstractNumId w:val="991"/>
  </w:num>
  <w:num w:numId="2392">
    <w:abstractNumId w:val="991"/>
  </w:num>
  <w:num w:numId="2393">
    <w:abstractNumId w:val="991"/>
  </w:num>
  <w:num w:numId="2394">
    <w:abstractNumId w:val="991"/>
  </w:num>
  <w:num w:numId="2395">
    <w:abstractNumId w:val="991"/>
  </w:num>
  <w:num w:numId="2396">
    <w:abstractNumId w:val="991"/>
  </w:num>
  <w:num w:numId="2397">
    <w:abstractNumId w:val="991"/>
  </w:num>
  <w:num w:numId="2398">
    <w:abstractNumId w:val="991"/>
  </w:num>
  <w:num w:numId="2399">
    <w:abstractNumId w:val="991"/>
  </w:num>
  <w:num w:numId="2400">
    <w:abstractNumId w:val="991"/>
  </w:num>
  <w:num w:numId="2401">
    <w:abstractNumId w:val="991"/>
  </w:num>
  <w:num w:numId="2402">
    <w:abstractNumId w:val="991"/>
  </w:num>
  <w:num w:numId="2403">
    <w:abstractNumId w:val="991"/>
  </w:num>
  <w:num w:numId="2404">
    <w:abstractNumId w:val="991"/>
  </w:num>
  <w:num w:numId="2405">
    <w:abstractNumId w:val="991"/>
  </w:num>
  <w:num w:numId="2406">
    <w:abstractNumId w:val="991"/>
  </w:num>
  <w:num w:numId="2407">
    <w:abstractNumId w:val="991"/>
  </w:num>
  <w:num w:numId="2408">
    <w:abstractNumId w:val="991"/>
  </w:num>
  <w:num w:numId="2409">
    <w:abstractNumId w:val="991"/>
  </w:num>
  <w:num w:numId="2410">
    <w:abstractNumId w:val="991"/>
  </w:num>
  <w:num w:numId="2411">
    <w:abstractNumId w:val="991"/>
  </w:num>
  <w:num w:numId="2412">
    <w:abstractNumId w:val="991"/>
  </w:num>
  <w:num w:numId="2413">
    <w:abstractNumId w:val="991"/>
  </w:num>
  <w:num w:numId="2414">
    <w:abstractNumId w:val="991"/>
  </w:num>
  <w:num w:numId="2415">
    <w:abstractNumId w:val="991"/>
  </w:num>
  <w:num w:numId="2416">
    <w:abstractNumId w:val="991"/>
  </w:num>
  <w:num w:numId="2417">
    <w:abstractNumId w:val="991"/>
  </w:num>
  <w:num w:numId="2418">
    <w:abstractNumId w:val="991"/>
  </w:num>
  <w:num w:numId="2419">
    <w:abstractNumId w:val="991"/>
  </w:num>
  <w:num w:numId="2420">
    <w:abstractNumId w:val="991"/>
  </w:num>
  <w:num w:numId="2421">
    <w:abstractNumId w:val="991"/>
  </w:num>
  <w:num w:numId="2422">
    <w:abstractNumId w:val="991"/>
  </w:num>
  <w:num w:numId="2423">
    <w:abstractNumId w:val="991"/>
  </w:num>
  <w:num w:numId="2424">
    <w:abstractNumId w:val="991"/>
  </w:num>
  <w:num w:numId="2425">
    <w:abstractNumId w:val="991"/>
  </w:num>
  <w:num w:numId="2426">
    <w:abstractNumId w:val="991"/>
  </w:num>
  <w:num w:numId="2427">
    <w:abstractNumId w:val="991"/>
  </w:num>
  <w:num w:numId="2428">
    <w:abstractNumId w:val="991"/>
  </w:num>
  <w:num w:numId="2429">
    <w:abstractNumId w:val="991"/>
  </w:num>
  <w:num w:numId="2430">
    <w:abstractNumId w:val="991"/>
  </w:num>
  <w:num w:numId="2431">
    <w:abstractNumId w:val="991"/>
  </w:num>
  <w:num w:numId="2432">
    <w:abstractNumId w:val="991"/>
  </w:num>
  <w:num w:numId="2433">
    <w:abstractNumId w:val="991"/>
  </w:num>
  <w:num w:numId="2434">
    <w:abstractNumId w:val="991"/>
  </w:num>
  <w:num w:numId="2435">
    <w:abstractNumId w:val="991"/>
  </w:num>
  <w:num w:numId="2436">
    <w:abstractNumId w:val="991"/>
  </w:num>
  <w:num w:numId="2437">
    <w:abstractNumId w:val="991"/>
  </w:num>
  <w:num w:numId="2438">
    <w:abstractNumId w:val="991"/>
  </w:num>
  <w:num w:numId="2439">
    <w:abstractNumId w:val="991"/>
  </w:num>
  <w:num w:numId="2440">
    <w:abstractNumId w:val="991"/>
  </w:num>
  <w:num w:numId="2441">
    <w:abstractNumId w:val="991"/>
  </w:num>
  <w:num w:numId="2442">
    <w:abstractNumId w:val="991"/>
  </w:num>
  <w:num w:numId="2443">
    <w:abstractNumId w:val="991"/>
  </w:num>
  <w:num w:numId="2444">
    <w:abstractNumId w:val="991"/>
  </w:num>
  <w:num w:numId="2445">
    <w:abstractNumId w:val="991"/>
  </w:num>
  <w:num w:numId="2446">
    <w:abstractNumId w:val="991"/>
  </w:num>
  <w:num w:numId="2447">
    <w:abstractNumId w:val="991"/>
  </w:num>
  <w:num w:numId="2448">
    <w:abstractNumId w:val="991"/>
  </w:num>
  <w:num w:numId="2449">
    <w:abstractNumId w:val="991"/>
  </w:num>
  <w:num w:numId="2450">
    <w:abstractNumId w:val="991"/>
  </w:num>
  <w:num w:numId="2451">
    <w:abstractNumId w:val="991"/>
  </w:num>
  <w:num w:numId="2452">
    <w:abstractNumId w:val="991"/>
  </w:num>
  <w:num w:numId="2453">
    <w:abstractNumId w:val="991"/>
  </w:num>
  <w:num w:numId="2454">
    <w:abstractNumId w:val="991"/>
  </w:num>
  <w:num w:numId="2455">
    <w:abstractNumId w:val="991"/>
  </w:num>
  <w:num w:numId="2456">
    <w:abstractNumId w:val="991"/>
  </w:num>
  <w:num w:numId="2457">
    <w:abstractNumId w:val="991"/>
  </w:num>
  <w:num w:numId="2458">
    <w:abstractNumId w:val="991"/>
  </w:num>
  <w:num w:numId="2459">
    <w:abstractNumId w:val="991"/>
  </w:num>
  <w:num w:numId="2460">
    <w:abstractNumId w:val="991"/>
  </w:num>
  <w:num w:numId="2461">
    <w:abstractNumId w:val="991"/>
  </w:num>
  <w:num w:numId="2462">
    <w:abstractNumId w:val="991"/>
  </w:num>
  <w:num w:numId="2463">
    <w:abstractNumId w:val="991"/>
  </w:num>
  <w:num w:numId="2464">
    <w:abstractNumId w:val="991"/>
  </w:num>
  <w:num w:numId="2465">
    <w:abstractNumId w:val="991"/>
  </w:num>
  <w:num w:numId="2466">
    <w:abstractNumId w:val="991"/>
  </w:num>
  <w:num w:numId="2467">
    <w:abstractNumId w:val="991"/>
  </w:num>
  <w:num w:numId="2468">
    <w:abstractNumId w:val="991"/>
  </w:num>
  <w:num w:numId="2469">
    <w:abstractNumId w:val="991"/>
  </w:num>
  <w:num w:numId="2470">
    <w:abstractNumId w:val="991"/>
  </w:num>
  <w:num w:numId="2471">
    <w:abstractNumId w:val="991"/>
  </w:num>
  <w:num w:numId="2472">
    <w:abstractNumId w:val="991"/>
  </w:num>
  <w:num w:numId="2473">
    <w:abstractNumId w:val="991"/>
  </w:num>
  <w:num w:numId="2474">
    <w:abstractNumId w:val="991"/>
  </w:num>
  <w:num w:numId="2475">
    <w:abstractNumId w:val="991"/>
  </w:num>
  <w:num w:numId="2476">
    <w:abstractNumId w:val="991"/>
  </w:num>
  <w:num w:numId="2477">
    <w:abstractNumId w:val="991"/>
  </w:num>
  <w:num w:numId="2478">
    <w:abstractNumId w:val="991"/>
  </w:num>
  <w:num w:numId="2479">
    <w:abstractNumId w:val="991"/>
  </w:num>
  <w:num w:numId="2480">
    <w:abstractNumId w:val="991"/>
  </w:num>
  <w:num w:numId="2481">
    <w:abstractNumId w:val="991"/>
  </w:num>
  <w:num w:numId="2482">
    <w:abstractNumId w:val="991"/>
  </w:num>
  <w:num w:numId="2483">
    <w:abstractNumId w:val="991"/>
  </w:num>
  <w:num w:numId="2484">
    <w:abstractNumId w:val="991"/>
  </w:num>
  <w:num w:numId="2485">
    <w:abstractNumId w:val="991"/>
  </w:num>
  <w:num w:numId="2486">
    <w:abstractNumId w:val="991"/>
  </w:num>
  <w:num w:numId="2487">
    <w:abstractNumId w:val="991"/>
  </w:num>
  <w:num w:numId="2488">
    <w:abstractNumId w:val="991"/>
  </w:num>
  <w:num w:numId="2489">
    <w:abstractNumId w:val="991"/>
  </w:num>
  <w:num w:numId="2490">
    <w:abstractNumId w:val="991"/>
  </w:num>
  <w:num w:numId="2491">
    <w:abstractNumId w:val="991"/>
  </w:num>
  <w:num w:numId="2492">
    <w:abstractNumId w:val="991"/>
  </w:num>
  <w:num w:numId="2493">
    <w:abstractNumId w:val="991"/>
  </w:num>
  <w:num w:numId="2494">
    <w:abstractNumId w:val="991"/>
  </w:num>
  <w:num w:numId="2495">
    <w:abstractNumId w:val="991"/>
  </w:num>
  <w:num w:numId="2496">
    <w:abstractNumId w:val="991"/>
  </w:num>
  <w:num w:numId="2497">
    <w:abstractNumId w:val="991"/>
  </w:num>
  <w:num w:numId="2498">
    <w:abstractNumId w:val="991"/>
  </w:num>
  <w:num w:numId="2499">
    <w:abstractNumId w:val="991"/>
  </w:num>
  <w:num w:numId="2500">
    <w:abstractNumId w:val="991"/>
  </w:num>
  <w:num w:numId="2501">
    <w:abstractNumId w:val="991"/>
  </w:num>
  <w:num w:numId="2502">
    <w:abstractNumId w:val="991"/>
  </w:num>
  <w:num w:numId="2503">
    <w:abstractNumId w:val="991"/>
  </w:num>
  <w:num w:numId="2504">
    <w:abstractNumId w:val="991"/>
  </w:num>
  <w:num w:numId="2505">
    <w:abstractNumId w:val="991"/>
  </w:num>
  <w:num w:numId="2506">
    <w:abstractNumId w:val="991"/>
  </w:num>
  <w:num w:numId="2507">
    <w:abstractNumId w:val="991"/>
  </w:num>
  <w:num w:numId="2508">
    <w:abstractNumId w:val="991"/>
  </w:num>
  <w:num w:numId="2509">
    <w:abstractNumId w:val="991"/>
  </w:num>
  <w:num w:numId="2510">
    <w:abstractNumId w:val="991"/>
  </w:num>
  <w:num w:numId="2511">
    <w:abstractNumId w:val="991"/>
  </w:num>
  <w:num w:numId="2512">
    <w:abstractNumId w:val="991"/>
  </w:num>
  <w:num w:numId="2513">
    <w:abstractNumId w:val="991"/>
  </w:num>
  <w:num w:numId="2514">
    <w:abstractNumId w:val="991"/>
  </w:num>
  <w:num w:numId="2515">
    <w:abstractNumId w:val="991"/>
  </w:num>
  <w:num w:numId="2516">
    <w:abstractNumId w:val="991"/>
  </w:num>
  <w:num w:numId="2517">
    <w:abstractNumId w:val="991"/>
  </w:num>
  <w:num w:numId="2518">
    <w:abstractNumId w:val="991"/>
  </w:num>
  <w:num w:numId="2519">
    <w:abstractNumId w:val="991"/>
  </w:num>
  <w:num w:numId="2520">
    <w:abstractNumId w:val="991"/>
  </w:num>
  <w:num w:numId="2521">
    <w:abstractNumId w:val="991"/>
  </w:num>
  <w:num w:numId="2522">
    <w:abstractNumId w:val="991"/>
  </w:num>
  <w:num w:numId="2523">
    <w:abstractNumId w:val="991"/>
  </w:num>
  <w:num w:numId="2524">
    <w:abstractNumId w:val="991"/>
  </w:num>
  <w:num w:numId="2525">
    <w:abstractNumId w:val="991"/>
  </w:num>
  <w:num w:numId="2526">
    <w:abstractNumId w:val="991"/>
  </w:num>
  <w:num w:numId="2527">
    <w:abstractNumId w:val="991"/>
  </w:num>
  <w:num w:numId="2528">
    <w:abstractNumId w:val="991"/>
  </w:num>
  <w:num w:numId="2529">
    <w:abstractNumId w:val="991"/>
  </w:num>
  <w:num w:numId="2530">
    <w:abstractNumId w:val="991"/>
  </w:num>
  <w:num w:numId="2531">
    <w:abstractNumId w:val="991"/>
  </w:num>
  <w:num w:numId="2532">
    <w:abstractNumId w:val="991"/>
  </w:num>
  <w:num w:numId="2533">
    <w:abstractNumId w:val="991"/>
  </w:num>
  <w:num w:numId="2534">
    <w:abstractNumId w:val="991"/>
  </w:num>
  <w:num w:numId="2535">
    <w:abstractNumId w:val="991"/>
  </w:num>
  <w:num w:numId="2536">
    <w:abstractNumId w:val="991"/>
  </w:num>
  <w:num w:numId="2537">
    <w:abstractNumId w:val="991"/>
  </w:num>
  <w:num w:numId="2538">
    <w:abstractNumId w:val="991"/>
  </w:num>
  <w:num w:numId="2539">
    <w:abstractNumId w:val="991"/>
  </w:num>
  <w:num w:numId="2540">
    <w:abstractNumId w:val="991"/>
  </w:num>
  <w:num w:numId="2541">
    <w:abstractNumId w:val="991"/>
  </w:num>
  <w:num w:numId="2542">
    <w:abstractNumId w:val="991"/>
  </w:num>
  <w:num w:numId="2543">
    <w:abstractNumId w:val="991"/>
  </w:num>
  <w:num w:numId="2544">
    <w:abstractNumId w:val="991"/>
  </w:num>
  <w:num w:numId="2545">
    <w:abstractNumId w:val="991"/>
  </w:num>
  <w:num w:numId="2546">
    <w:abstractNumId w:val="991"/>
  </w:num>
  <w:num w:numId="2547">
    <w:abstractNumId w:val="991"/>
  </w:num>
  <w:num w:numId="2548">
    <w:abstractNumId w:val="991"/>
  </w:num>
  <w:num w:numId="2549">
    <w:abstractNumId w:val="991"/>
  </w:num>
  <w:num w:numId="2550">
    <w:abstractNumId w:val="991"/>
  </w:num>
  <w:num w:numId="2551">
    <w:abstractNumId w:val="991"/>
  </w:num>
  <w:num w:numId="2552">
    <w:abstractNumId w:val="991"/>
  </w:num>
  <w:num w:numId="2553">
    <w:abstractNumId w:val="991"/>
  </w:num>
  <w:num w:numId="2554">
    <w:abstractNumId w:val="991"/>
  </w:num>
  <w:num w:numId="2555">
    <w:abstractNumId w:val="991"/>
  </w:num>
  <w:num w:numId="2556">
    <w:abstractNumId w:val="991"/>
  </w:num>
  <w:num w:numId="2557">
    <w:abstractNumId w:val="991"/>
  </w:num>
  <w:num w:numId="2558">
    <w:abstractNumId w:val="991"/>
  </w:num>
  <w:num w:numId="2559">
    <w:abstractNumId w:val="991"/>
  </w:num>
  <w:num w:numId="2560">
    <w:abstractNumId w:val="991"/>
  </w:num>
  <w:num w:numId="2561">
    <w:abstractNumId w:val="991"/>
  </w:num>
  <w:num w:numId="2562">
    <w:abstractNumId w:val="991"/>
  </w:num>
  <w:num w:numId="2563">
    <w:abstractNumId w:val="991"/>
  </w:num>
  <w:num w:numId="2564">
    <w:abstractNumId w:val="991"/>
  </w:num>
  <w:num w:numId="2565">
    <w:abstractNumId w:val="991"/>
  </w:num>
  <w:num w:numId="2566">
    <w:abstractNumId w:val="991"/>
  </w:num>
  <w:num w:numId="2567">
    <w:abstractNumId w:val="991"/>
  </w:num>
  <w:num w:numId="2568">
    <w:abstractNumId w:val="991"/>
  </w:num>
  <w:num w:numId="2569">
    <w:abstractNumId w:val="991"/>
  </w:num>
  <w:num w:numId="2570">
    <w:abstractNumId w:val="991"/>
  </w:num>
  <w:num w:numId="2571">
    <w:abstractNumId w:val="991"/>
  </w:num>
  <w:num w:numId="2572">
    <w:abstractNumId w:val="991"/>
  </w:num>
  <w:num w:numId="2573">
    <w:abstractNumId w:val="991"/>
  </w:num>
  <w:num w:numId="2574">
    <w:abstractNumId w:val="991"/>
  </w:num>
  <w:num w:numId="2575">
    <w:abstractNumId w:val="991"/>
  </w:num>
  <w:num w:numId="2576">
    <w:abstractNumId w:val="991"/>
  </w:num>
  <w:num w:numId="2577">
    <w:abstractNumId w:val="991"/>
  </w:num>
  <w:num w:numId="2578">
    <w:abstractNumId w:val="991"/>
  </w:num>
  <w:num w:numId="2579">
    <w:abstractNumId w:val="991"/>
  </w:num>
  <w:num w:numId="2580">
    <w:abstractNumId w:val="991"/>
  </w:num>
  <w:num w:numId="2581">
    <w:abstractNumId w:val="991"/>
  </w:num>
  <w:num w:numId="2582">
    <w:abstractNumId w:val="991"/>
  </w:num>
  <w:num w:numId="2583">
    <w:abstractNumId w:val="991"/>
  </w:num>
  <w:num w:numId="2584">
    <w:abstractNumId w:val="991"/>
  </w:num>
  <w:num w:numId="2585">
    <w:abstractNumId w:val="991"/>
  </w:num>
  <w:num w:numId="2586">
    <w:abstractNumId w:val="991"/>
  </w:num>
  <w:num w:numId="2587">
    <w:abstractNumId w:val="991"/>
  </w:num>
  <w:num w:numId="2588">
    <w:abstractNumId w:val="991"/>
  </w:num>
  <w:num w:numId="2589">
    <w:abstractNumId w:val="991"/>
  </w:num>
  <w:num w:numId="2590">
    <w:abstractNumId w:val="991"/>
  </w:num>
  <w:num w:numId="2591">
    <w:abstractNumId w:val="991"/>
  </w:num>
  <w:num w:numId="2592">
    <w:abstractNumId w:val="991"/>
  </w:num>
  <w:num w:numId="2593">
    <w:abstractNumId w:val="991"/>
  </w:num>
  <w:num w:numId="2594">
    <w:abstractNumId w:val="991"/>
  </w:num>
  <w:num w:numId="2595">
    <w:abstractNumId w:val="991"/>
  </w:num>
  <w:num w:numId="2596">
    <w:abstractNumId w:val="991"/>
  </w:num>
  <w:num w:numId="2597">
    <w:abstractNumId w:val="991"/>
  </w:num>
  <w:num w:numId="2598">
    <w:abstractNumId w:val="991"/>
  </w:num>
  <w:num w:numId="2599">
    <w:abstractNumId w:val="991"/>
  </w:num>
  <w:num w:numId="2600">
    <w:abstractNumId w:val="991"/>
  </w:num>
  <w:num w:numId="2601">
    <w:abstractNumId w:val="991"/>
  </w:num>
  <w:num w:numId="2602">
    <w:abstractNumId w:val="991"/>
  </w:num>
  <w:num w:numId="2603">
    <w:abstractNumId w:val="991"/>
  </w:num>
  <w:num w:numId="2604">
    <w:abstractNumId w:val="991"/>
  </w:num>
  <w:num w:numId="2605">
    <w:abstractNumId w:val="991"/>
  </w:num>
  <w:num w:numId="2606">
    <w:abstractNumId w:val="991"/>
  </w:num>
  <w:num w:numId="2607">
    <w:abstractNumId w:val="991"/>
  </w:num>
  <w:num w:numId="2608">
    <w:abstractNumId w:val="991"/>
  </w:num>
  <w:num w:numId="2609">
    <w:abstractNumId w:val="991"/>
  </w:num>
  <w:num w:numId="2610">
    <w:abstractNumId w:val="991"/>
  </w:num>
  <w:num w:numId="2611">
    <w:abstractNumId w:val="991"/>
  </w:num>
  <w:num w:numId="2612">
    <w:abstractNumId w:val="991"/>
  </w:num>
  <w:num w:numId="2613">
    <w:abstractNumId w:val="991"/>
  </w:num>
  <w:num w:numId="2614">
    <w:abstractNumId w:val="991"/>
  </w:num>
  <w:num w:numId="2615">
    <w:abstractNumId w:val="991"/>
  </w:num>
  <w:num w:numId="2616">
    <w:abstractNumId w:val="991"/>
  </w:num>
  <w:num w:numId="2617">
    <w:abstractNumId w:val="991"/>
  </w:num>
  <w:num w:numId="2618">
    <w:abstractNumId w:val="991"/>
  </w:num>
  <w:num w:numId="2619">
    <w:abstractNumId w:val="991"/>
  </w:num>
  <w:num w:numId="2620">
    <w:abstractNumId w:val="991"/>
  </w:num>
  <w:num w:numId="2621">
    <w:abstractNumId w:val="991"/>
  </w:num>
  <w:num w:numId="2622">
    <w:abstractNumId w:val="991"/>
  </w:num>
  <w:num w:numId="2623">
    <w:abstractNumId w:val="991"/>
  </w:num>
  <w:num w:numId="2624">
    <w:abstractNumId w:val="991"/>
  </w:num>
  <w:num w:numId="2625">
    <w:abstractNumId w:val="991"/>
  </w:num>
  <w:num w:numId="2626">
    <w:abstractNumId w:val="991"/>
  </w:num>
  <w:num w:numId="2627">
    <w:abstractNumId w:val="991"/>
  </w:num>
  <w:num w:numId="2628">
    <w:abstractNumId w:val="991"/>
  </w:num>
  <w:num w:numId="2629">
    <w:abstractNumId w:val="991"/>
  </w:num>
  <w:num w:numId="2630">
    <w:abstractNumId w:val="991"/>
  </w:num>
  <w:num w:numId="2631">
    <w:abstractNumId w:val="991"/>
  </w:num>
  <w:num w:numId="2632">
    <w:abstractNumId w:val="991"/>
  </w:num>
  <w:num w:numId="2633">
    <w:abstractNumId w:val="991"/>
  </w:num>
  <w:num w:numId="2634">
    <w:abstractNumId w:val="991"/>
  </w:num>
  <w:num w:numId="2635">
    <w:abstractNumId w:val="991"/>
  </w:num>
  <w:num w:numId="2636">
    <w:abstractNumId w:val="991"/>
  </w:num>
  <w:num w:numId="2637">
    <w:abstractNumId w:val="991"/>
  </w:num>
  <w:num w:numId="2638">
    <w:abstractNumId w:val="991"/>
  </w:num>
  <w:num w:numId="2639">
    <w:abstractNumId w:val="991"/>
  </w:num>
  <w:num w:numId="2640">
    <w:abstractNumId w:val="991"/>
  </w:num>
  <w:num w:numId="2641">
    <w:abstractNumId w:val="991"/>
  </w:num>
  <w:num w:numId="2642">
    <w:abstractNumId w:val="991"/>
  </w:num>
  <w:num w:numId="2643">
    <w:abstractNumId w:val="991"/>
  </w:num>
  <w:num w:numId="2644">
    <w:abstractNumId w:val="991"/>
  </w:num>
  <w:num w:numId="2645">
    <w:abstractNumId w:val="991"/>
  </w:num>
  <w:num w:numId="2646">
    <w:abstractNumId w:val="991"/>
  </w:num>
  <w:num w:numId="2647">
    <w:abstractNumId w:val="991"/>
  </w:num>
  <w:num w:numId="2648">
    <w:abstractNumId w:val="991"/>
  </w:num>
  <w:num w:numId="2649">
    <w:abstractNumId w:val="991"/>
  </w:num>
  <w:num w:numId="2650">
    <w:abstractNumId w:val="991"/>
  </w:num>
  <w:num w:numId="2651">
    <w:abstractNumId w:val="991"/>
  </w:num>
  <w:num w:numId="2652">
    <w:abstractNumId w:val="991"/>
  </w:num>
  <w:num w:numId="2653">
    <w:abstractNumId w:val="991"/>
  </w:num>
  <w:num w:numId="2654">
    <w:abstractNumId w:val="991"/>
  </w:num>
  <w:num w:numId="2655">
    <w:abstractNumId w:val="991"/>
  </w:num>
  <w:num w:numId="2656">
    <w:abstractNumId w:val="991"/>
  </w:num>
  <w:num w:numId="2657">
    <w:abstractNumId w:val="991"/>
  </w:num>
  <w:num w:numId="2658">
    <w:abstractNumId w:val="991"/>
  </w:num>
  <w:num w:numId="2659">
    <w:abstractNumId w:val="991"/>
  </w:num>
  <w:num w:numId="2660">
    <w:abstractNumId w:val="991"/>
  </w:num>
  <w:num w:numId="2661">
    <w:abstractNumId w:val="991"/>
  </w:num>
  <w:num w:numId="2662">
    <w:abstractNumId w:val="991"/>
  </w:num>
  <w:num w:numId="2663">
    <w:abstractNumId w:val="991"/>
  </w:num>
  <w:num w:numId="2664">
    <w:abstractNumId w:val="991"/>
  </w:num>
  <w:num w:numId="2665">
    <w:abstractNumId w:val="991"/>
  </w:num>
  <w:num w:numId="2666">
    <w:abstractNumId w:val="991"/>
  </w:num>
  <w:num w:numId="2667">
    <w:abstractNumId w:val="991"/>
  </w:num>
  <w:num w:numId="2668">
    <w:abstractNumId w:val="991"/>
  </w:num>
  <w:num w:numId="2669">
    <w:abstractNumId w:val="991"/>
  </w:num>
  <w:num w:numId="2670">
    <w:abstractNumId w:val="991"/>
  </w:num>
  <w:num w:numId="2671">
    <w:abstractNumId w:val="991"/>
  </w:num>
  <w:num w:numId="2672">
    <w:abstractNumId w:val="991"/>
  </w:num>
  <w:num w:numId="2673">
    <w:abstractNumId w:val="991"/>
  </w:num>
  <w:num w:numId="2674">
    <w:abstractNumId w:val="991"/>
  </w:num>
  <w:num w:numId="2675">
    <w:abstractNumId w:val="991"/>
  </w:num>
  <w:num w:numId="2676">
    <w:abstractNumId w:val="991"/>
  </w:num>
  <w:num w:numId="2677">
    <w:abstractNumId w:val="991"/>
  </w:num>
  <w:num w:numId="2678">
    <w:abstractNumId w:val="991"/>
  </w:num>
  <w:num w:numId="2679">
    <w:abstractNumId w:val="991"/>
  </w:num>
  <w:num w:numId="2680">
    <w:abstractNumId w:val="991"/>
  </w:num>
  <w:num w:numId="2681">
    <w:abstractNumId w:val="991"/>
  </w:num>
  <w:num w:numId="2682">
    <w:abstractNumId w:val="991"/>
  </w:num>
  <w:num w:numId="2683">
    <w:abstractNumId w:val="991"/>
  </w:num>
  <w:num w:numId="2684">
    <w:abstractNumId w:val="991"/>
  </w:num>
  <w:num w:numId="2685">
    <w:abstractNumId w:val="991"/>
  </w:num>
  <w:num w:numId="2686">
    <w:abstractNumId w:val="991"/>
  </w:num>
  <w:num w:numId="2687">
    <w:abstractNumId w:val="991"/>
  </w:num>
  <w:num w:numId="2688">
    <w:abstractNumId w:val="991"/>
  </w:num>
  <w:num w:numId="2689">
    <w:abstractNumId w:val="991"/>
  </w:num>
  <w:num w:numId="2690">
    <w:abstractNumId w:val="991"/>
  </w:num>
  <w:num w:numId="2691">
    <w:abstractNumId w:val="991"/>
  </w:num>
  <w:num w:numId="2692">
    <w:abstractNumId w:val="991"/>
  </w:num>
  <w:num w:numId="2693">
    <w:abstractNumId w:val="991"/>
  </w:num>
  <w:num w:numId="2694">
    <w:abstractNumId w:val="991"/>
  </w:num>
  <w:num w:numId="2695">
    <w:abstractNumId w:val="991"/>
  </w:num>
  <w:num w:numId="2696">
    <w:abstractNumId w:val="991"/>
  </w:num>
  <w:num w:numId="2697">
    <w:abstractNumId w:val="991"/>
  </w:num>
  <w:num w:numId="2698">
    <w:abstractNumId w:val="991"/>
  </w:num>
  <w:num w:numId="2699">
    <w:abstractNumId w:val="991"/>
  </w:num>
  <w:num w:numId="2700">
    <w:abstractNumId w:val="991"/>
  </w:num>
  <w:num w:numId="2701">
    <w:abstractNumId w:val="991"/>
  </w:num>
  <w:num w:numId="2702">
    <w:abstractNumId w:val="991"/>
  </w:num>
  <w:num w:numId="2703">
    <w:abstractNumId w:val="991"/>
  </w:num>
  <w:num w:numId="2704">
    <w:abstractNumId w:val="991"/>
  </w:num>
  <w:num w:numId="2705">
    <w:abstractNumId w:val="991"/>
  </w:num>
  <w:num w:numId="2706">
    <w:abstractNumId w:val="991"/>
  </w:num>
  <w:num w:numId="2707">
    <w:abstractNumId w:val="991"/>
  </w:num>
  <w:num w:numId="2708">
    <w:abstractNumId w:val="991"/>
  </w:num>
  <w:num w:numId="2709">
    <w:abstractNumId w:val="991"/>
  </w:num>
  <w:num w:numId="2710">
    <w:abstractNumId w:val="991"/>
  </w:num>
  <w:num w:numId="2711">
    <w:abstractNumId w:val="991"/>
  </w:num>
  <w:num w:numId="2712">
    <w:abstractNumId w:val="991"/>
  </w:num>
  <w:num w:numId="2713">
    <w:abstractNumId w:val="991"/>
  </w:num>
  <w:num w:numId="2714">
    <w:abstractNumId w:val="991"/>
  </w:num>
  <w:num w:numId="2715">
    <w:abstractNumId w:val="991"/>
  </w:num>
  <w:num w:numId="2716">
    <w:abstractNumId w:val="991"/>
  </w:num>
  <w:num w:numId="2717">
    <w:abstractNumId w:val="991"/>
  </w:num>
  <w:num w:numId="2718">
    <w:abstractNumId w:val="991"/>
  </w:num>
  <w:num w:numId="2719">
    <w:abstractNumId w:val="991"/>
  </w:num>
  <w:num w:numId="2720">
    <w:abstractNumId w:val="991"/>
  </w:num>
  <w:num w:numId="2721">
    <w:abstractNumId w:val="991"/>
  </w:num>
  <w:num w:numId="2722">
    <w:abstractNumId w:val="991"/>
  </w:num>
  <w:num w:numId="2723">
    <w:abstractNumId w:val="991"/>
  </w:num>
  <w:num w:numId="2724">
    <w:abstractNumId w:val="991"/>
  </w:num>
  <w:num w:numId="2725">
    <w:abstractNumId w:val="991"/>
  </w:num>
  <w:num w:numId="2726">
    <w:abstractNumId w:val="991"/>
  </w:num>
  <w:num w:numId="2727">
    <w:abstractNumId w:val="991"/>
  </w:num>
  <w:num w:numId="2728">
    <w:abstractNumId w:val="991"/>
  </w:num>
  <w:num w:numId="2729">
    <w:abstractNumId w:val="991"/>
  </w:num>
  <w:num w:numId="2730">
    <w:abstractNumId w:val="991"/>
  </w:num>
  <w:num w:numId="2731">
    <w:abstractNumId w:val="991"/>
  </w:num>
  <w:num w:numId="2732">
    <w:abstractNumId w:val="991"/>
  </w:num>
  <w:num w:numId="2733">
    <w:abstractNumId w:val="991"/>
  </w:num>
  <w:num w:numId="2734">
    <w:abstractNumId w:val="991"/>
  </w:num>
  <w:num w:numId="2735">
    <w:abstractNumId w:val="991"/>
  </w:num>
  <w:num w:numId="2736">
    <w:abstractNumId w:val="991"/>
  </w:num>
  <w:num w:numId="2737">
    <w:abstractNumId w:val="991"/>
  </w:num>
  <w:num w:numId="2738">
    <w:abstractNumId w:val="991"/>
  </w:num>
  <w:num w:numId="2739">
    <w:abstractNumId w:val="991"/>
  </w:num>
  <w:num w:numId="2740">
    <w:abstractNumId w:val="991"/>
  </w:num>
  <w:num w:numId="2741">
    <w:abstractNumId w:val="991"/>
  </w:num>
  <w:num w:numId="2742">
    <w:abstractNumId w:val="991"/>
  </w:num>
  <w:num w:numId="2743">
    <w:abstractNumId w:val="991"/>
  </w:num>
  <w:num w:numId="2744">
    <w:abstractNumId w:val="991"/>
  </w:num>
  <w:num w:numId="2745">
    <w:abstractNumId w:val="991"/>
  </w:num>
  <w:num w:numId="2746">
    <w:abstractNumId w:val="991"/>
  </w:num>
  <w:num w:numId="2747">
    <w:abstractNumId w:val="991"/>
  </w:num>
  <w:num w:numId="2748">
    <w:abstractNumId w:val="991"/>
  </w:num>
  <w:num w:numId="2749">
    <w:abstractNumId w:val="991"/>
  </w:num>
  <w:num w:numId="2750">
    <w:abstractNumId w:val="991"/>
  </w:num>
  <w:num w:numId="2751">
    <w:abstractNumId w:val="991"/>
  </w:num>
  <w:num w:numId="2752">
    <w:abstractNumId w:val="991"/>
  </w:num>
  <w:num w:numId="2753">
    <w:abstractNumId w:val="991"/>
  </w:num>
  <w:num w:numId="2754">
    <w:abstractNumId w:val="991"/>
  </w:num>
  <w:num w:numId="2755">
    <w:abstractNumId w:val="991"/>
  </w:num>
  <w:num w:numId="2756">
    <w:abstractNumId w:val="991"/>
  </w:num>
  <w:num w:numId="2757">
    <w:abstractNumId w:val="991"/>
  </w:num>
  <w:num w:numId="2758">
    <w:abstractNumId w:val="991"/>
  </w:num>
  <w:num w:numId="2759">
    <w:abstractNumId w:val="991"/>
  </w:num>
  <w:num w:numId="2760">
    <w:abstractNumId w:val="991"/>
  </w:num>
  <w:num w:numId="2761">
    <w:abstractNumId w:val="991"/>
  </w:num>
  <w:num w:numId="2762">
    <w:abstractNumId w:val="991"/>
  </w:num>
  <w:num w:numId="2763">
    <w:abstractNumId w:val="991"/>
  </w:num>
  <w:num w:numId="2764">
    <w:abstractNumId w:val="991"/>
  </w:num>
  <w:num w:numId="2765">
    <w:abstractNumId w:val="991"/>
  </w:num>
  <w:num w:numId="2766">
    <w:abstractNumId w:val="991"/>
  </w:num>
  <w:num w:numId="2767">
    <w:abstractNumId w:val="991"/>
  </w:num>
  <w:num w:numId="2768">
    <w:abstractNumId w:val="991"/>
  </w:num>
  <w:num w:numId="2769">
    <w:abstractNumId w:val="991"/>
  </w:num>
  <w:num w:numId="2770">
    <w:abstractNumId w:val="991"/>
  </w:num>
  <w:num w:numId="2771">
    <w:abstractNumId w:val="991"/>
  </w:num>
  <w:num w:numId="2772">
    <w:abstractNumId w:val="991"/>
  </w:num>
  <w:num w:numId="2773">
    <w:abstractNumId w:val="991"/>
  </w:num>
  <w:num w:numId="2774">
    <w:abstractNumId w:val="991"/>
  </w:num>
  <w:num w:numId="2775">
    <w:abstractNumId w:val="991"/>
  </w:num>
  <w:num w:numId="2776">
    <w:abstractNumId w:val="991"/>
  </w:num>
  <w:num w:numId="2777">
    <w:abstractNumId w:val="991"/>
  </w:num>
  <w:num w:numId="2778">
    <w:abstractNumId w:val="991"/>
  </w:num>
  <w:num w:numId="2779">
    <w:abstractNumId w:val="991"/>
  </w:num>
  <w:num w:numId="2780">
    <w:abstractNumId w:val="991"/>
  </w:num>
  <w:num w:numId="2781">
    <w:abstractNumId w:val="991"/>
  </w:num>
  <w:num w:numId="2782">
    <w:abstractNumId w:val="991"/>
  </w:num>
  <w:num w:numId="2783">
    <w:abstractNumId w:val="991"/>
  </w:num>
  <w:num w:numId="2784">
    <w:abstractNumId w:val="991"/>
  </w:num>
  <w:num w:numId="2785">
    <w:abstractNumId w:val="991"/>
  </w:num>
  <w:num w:numId="2786">
    <w:abstractNumId w:val="991"/>
  </w:num>
  <w:num w:numId="2787">
    <w:abstractNumId w:val="991"/>
  </w:num>
  <w:num w:numId="2788">
    <w:abstractNumId w:val="991"/>
  </w:num>
  <w:num w:numId="2789">
    <w:abstractNumId w:val="991"/>
  </w:num>
  <w:num w:numId="2790">
    <w:abstractNumId w:val="991"/>
  </w:num>
  <w:num w:numId="2791">
    <w:abstractNumId w:val="991"/>
  </w:num>
  <w:num w:numId="2792">
    <w:abstractNumId w:val="991"/>
  </w:num>
  <w:num w:numId="2793">
    <w:abstractNumId w:val="991"/>
  </w:num>
  <w:num w:numId="2794">
    <w:abstractNumId w:val="991"/>
  </w:num>
  <w:num w:numId="2795">
    <w:abstractNumId w:val="991"/>
  </w:num>
  <w:num w:numId="2796">
    <w:abstractNumId w:val="991"/>
  </w:num>
  <w:num w:numId="2797">
    <w:abstractNumId w:val="991"/>
  </w:num>
  <w:num w:numId="2798">
    <w:abstractNumId w:val="991"/>
  </w:num>
  <w:num w:numId="2799">
    <w:abstractNumId w:val="991"/>
  </w:num>
  <w:num w:numId="2800">
    <w:abstractNumId w:val="991"/>
  </w:num>
  <w:num w:numId="2801">
    <w:abstractNumId w:val="991"/>
  </w:num>
  <w:num w:numId="2802">
    <w:abstractNumId w:val="991"/>
  </w:num>
  <w:num w:numId="2803">
    <w:abstractNumId w:val="991"/>
  </w:num>
  <w:num w:numId="2804">
    <w:abstractNumId w:val="991"/>
  </w:num>
  <w:num w:numId="2805">
    <w:abstractNumId w:val="991"/>
  </w:num>
  <w:num w:numId="2806">
    <w:abstractNumId w:val="991"/>
  </w:num>
  <w:num w:numId="2807">
    <w:abstractNumId w:val="991"/>
  </w:num>
  <w:num w:numId="2808">
    <w:abstractNumId w:val="991"/>
  </w:num>
  <w:num w:numId="2809">
    <w:abstractNumId w:val="991"/>
  </w:num>
  <w:num w:numId="2810">
    <w:abstractNumId w:val="991"/>
  </w:num>
  <w:num w:numId="2811">
    <w:abstractNumId w:val="991"/>
  </w:num>
  <w:num w:numId="2812">
    <w:abstractNumId w:val="991"/>
  </w:num>
  <w:num w:numId="2813">
    <w:abstractNumId w:val="991"/>
  </w:num>
  <w:num w:numId="2814">
    <w:abstractNumId w:val="991"/>
  </w:num>
  <w:num w:numId="2815">
    <w:abstractNumId w:val="991"/>
  </w:num>
  <w:num w:numId="2816">
    <w:abstractNumId w:val="991"/>
  </w:num>
  <w:num w:numId="2817">
    <w:abstractNumId w:val="991"/>
  </w:num>
  <w:num w:numId="2818">
    <w:abstractNumId w:val="991"/>
  </w:num>
  <w:num w:numId="2819">
    <w:abstractNumId w:val="991"/>
  </w:num>
  <w:num w:numId="2820">
    <w:abstractNumId w:val="991"/>
  </w:num>
  <w:num w:numId="2821">
    <w:abstractNumId w:val="991"/>
  </w:num>
  <w:num w:numId="2822">
    <w:abstractNumId w:val="991"/>
  </w:num>
  <w:num w:numId="2823">
    <w:abstractNumId w:val="991"/>
  </w:num>
  <w:num w:numId="2824">
    <w:abstractNumId w:val="991"/>
  </w:num>
  <w:num w:numId="2825">
    <w:abstractNumId w:val="991"/>
  </w:num>
  <w:num w:numId="2826">
    <w:abstractNumId w:val="991"/>
  </w:num>
  <w:num w:numId="2827">
    <w:abstractNumId w:val="991"/>
  </w:num>
  <w:num w:numId="2828">
    <w:abstractNumId w:val="991"/>
  </w:num>
  <w:num w:numId="2829">
    <w:abstractNumId w:val="991"/>
  </w:num>
  <w:num w:numId="2830">
    <w:abstractNumId w:val="991"/>
  </w:num>
  <w:num w:numId="2831">
    <w:abstractNumId w:val="991"/>
  </w:num>
  <w:num w:numId="2832">
    <w:abstractNumId w:val="991"/>
  </w:num>
  <w:num w:numId="2833">
    <w:abstractNumId w:val="991"/>
  </w:num>
  <w:num w:numId="2834">
    <w:abstractNumId w:val="991"/>
  </w:num>
  <w:num w:numId="2835">
    <w:abstractNumId w:val="991"/>
  </w:num>
  <w:num w:numId="2836">
    <w:abstractNumId w:val="991"/>
  </w:num>
  <w:num w:numId="2837">
    <w:abstractNumId w:val="991"/>
  </w:num>
  <w:num w:numId="2838">
    <w:abstractNumId w:val="991"/>
  </w:num>
  <w:num w:numId="2839">
    <w:abstractNumId w:val="991"/>
  </w:num>
  <w:num w:numId="2840">
    <w:abstractNumId w:val="991"/>
  </w:num>
  <w:num w:numId="2841">
    <w:abstractNumId w:val="991"/>
  </w:num>
  <w:num w:numId="2842">
    <w:abstractNumId w:val="991"/>
  </w:num>
  <w:num w:numId="2843">
    <w:abstractNumId w:val="991"/>
  </w:num>
  <w:num w:numId="2844">
    <w:abstractNumId w:val="991"/>
  </w:num>
  <w:num w:numId="2845">
    <w:abstractNumId w:val="991"/>
  </w:num>
  <w:num w:numId="2846">
    <w:abstractNumId w:val="991"/>
  </w:num>
  <w:num w:numId="2847">
    <w:abstractNumId w:val="991"/>
  </w:num>
  <w:num w:numId="2848">
    <w:abstractNumId w:val="991"/>
  </w:num>
  <w:num w:numId="2849">
    <w:abstractNumId w:val="991"/>
  </w:num>
  <w:num w:numId="2850">
    <w:abstractNumId w:val="991"/>
  </w:num>
  <w:num w:numId="2851">
    <w:abstractNumId w:val="991"/>
  </w:num>
  <w:num w:numId="2852">
    <w:abstractNumId w:val="991"/>
  </w:num>
  <w:num w:numId="2853">
    <w:abstractNumId w:val="991"/>
  </w:num>
  <w:num w:numId="2854">
    <w:abstractNumId w:val="991"/>
  </w:num>
  <w:num w:numId="2855">
    <w:abstractNumId w:val="991"/>
  </w:num>
  <w:num w:numId="2856">
    <w:abstractNumId w:val="991"/>
  </w:num>
  <w:num w:numId="2857">
    <w:abstractNumId w:val="991"/>
  </w:num>
  <w:num w:numId="2858">
    <w:abstractNumId w:val="991"/>
  </w:num>
  <w:num w:numId="2859">
    <w:abstractNumId w:val="991"/>
  </w:num>
  <w:num w:numId="2860">
    <w:abstractNumId w:val="991"/>
  </w:num>
  <w:num w:numId="2861">
    <w:abstractNumId w:val="991"/>
  </w:num>
  <w:num w:numId="2862">
    <w:abstractNumId w:val="991"/>
  </w:num>
  <w:num w:numId="2863">
    <w:abstractNumId w:val="991"/>
  </w:num>
  <w:num w:numId="2864">
    <w:abstractNumId w:val="991"/>
  </w:num>
  <w:num w:numId="2865">
    <w:abstractNumId w:val="991"/>
  </w:num>
  <w:num w:numId="2866">
    <w:abstractNumId w:val="991"/>
  </w:num>
  <w:num w:numId="2867">
    <w:abstractNumId w:val="991"/>
  </w:num>
  <w:num w:numId="2868">
    <w:abstractNumId w:val="991"/>
  </w:num>
  <w:num w:numId="2869">
    <w:abstractNumId w:val="991"/>
  </w:num>
  <w:num w:numId="2870">
    <w:abstractNumId w:val="991"/>
  </w:num>
  <w:num w:numId="2871">
    <w:abstractNumId w:val="991"/>
  </w:num>
  <w:num w:numId="2872">
    <w:abstractNumId w:val="991"/>
  </w:num>
  <w:num w:numId="2873">
    <w:abstractNumId w:val="991"/>
  </w:num>
  <w:num w:numId="2874">
    <w:abstractNumId w:val="991"/>
  </w:num>
  <w:num w:numId="2875">
    <w:abstractNumId w:val="991"/>
  </w:num>
  <w:num w:numId="2876">
    <w:abstractNumId w:val="991"/>
  </w:num>
  <w:num w:numId="2877">
    <w:abstractNumId w:val="991"/>
  </w:num>
  <w:num w:numId="2878">
    <w:abstractNumId w:val="991"/>
  </w:num>
  <w:num w:numId="2879">
    <w:abstractNumId w:val="991"/>
  </w:num>
  <w:num w:numId="2880">
    <w:abstractNumId w:val="991"/>
  </w:num>
  <w:num w:numId="2881">
    <w:abstractNumId w:val="991"/>
  </w:num>
  <w:num w:numId="2882">
    <w:abstractNumId w:val="991"/>
  </w:num>
  <w:num w:numId="2883">
    <w:abstractNumId w:val="991"/>
  </w:num>
  <w:num w:numId="2884">
    <w:abstractNumId w:val="991"/>
  </w:num>
  <w:num w:numId="2885">
    <w:abstractNumId w:val="991"/>
  </w:num>
  <w:num w:numId="2886">
    <w:abstractNumId w:val="991"/>
  </w:num>
  <w:num w:numId="2887">
    <w:abstractNumId w:val="991"/>
  </w:num>
  <w:num w:numId="2888">
    <w:abstractNumId w:val="991"/>
  </w:num>
  <w:num w:numId="2889">
    <w:abstractNumId w:val="991"/>
  </w:num>
  <w:num w:numId="2890">
    <w:abstractNumId w:val="991"/>
  </w:num>
  <w:num w:numId="2891">
    <w:abstractNumId w:val="991"/>
  </w:num>
  <w:num w:numId="2892">
    <w:abstractNumId w:val="991"/>
  </w:num>
  <w:num w:numId="2893">
    <w:abstractNumId w:val="991"/>
  </w:num>
  <w:num w:numId="2894">
    <w:abstractNumId w:val="991"/>
  </w:num>
  <w:num w:numId="2895">
    <w:abstractNumId w:val="991"/>
  </w:num>
  <w:num w:numId="2896">
    <w:abstractNumId w:val="991"/>
  </w:num>
  <w:num w:numId="2897">
    <w:abstractNumId w:val="991"/>
  </w:num>
  <w:num w:numId="2898">
    <w:abstractNumId w:val="991"/>
  </w:num>
  <w:num w:numId="2899">
    <w:abstractNumId w:val="991"/>
  </w:num>
  <w:num w:numId="2900">
    <w:abstractNumId w:val="991"/>
  </w:num>
  <w:num w:numId="2901">
    <w:abstractNumId w:val="991"/>
  </w:num>
  <w:num w:numId="2902">
    <w:abstractNumId w:val="991"/>
  </w:num>
  <w:num w:numId="2903">
    <w:abstractNumId w:val="991"/>
  </w:num>
  <w:num w:numId="2904">
    <w:abstractNumId w:val="991"/>
  </w:num>
  <w:num w:numId="2905">
    <w:abstractNumId w:val="991"/>
  </w:num>
  <w:num w:numId="2906">
    <w:abstractNumId w:val="991"/>
  </w:num>
  <w:num w:numId="2907">
    <w:abstractNumId w:val="991"/>
  </w:num>
  <w:num w:numId="2908">
    <w:abstractNumId w:val="991"/>
  </w:num>
  <w:num w:numId="2909">
    <w:abstractNumId w:val="991"/>
  </w:num>
  <w:num w:numId="2910">
    <w:abstractNumId w:val="991"/>
  </w:num>
  <w:num w:numId="2911">
    <w:abstractNumId w:val="991"/>
  </w:num>
  <w:num w:numId="2912">
    <w:abstractNumId w:val="991"/>
  </w:num>
  <w:num w:numId="2913">
    <w:abstractNumId w:val="991"/>
  </w:num>
  <w:num w:numId="2914">
    <w:abstractNumId w:val="991"/>
  </w:num>
  <w:num w:numId="2915">
    <w:abstractNumId w:val="991"/>
  </w:num>
  <w:num w:numId="2916">
    <w:abstractNumId w:val="991"/>
  </w:num>
  <w:num w:numId="2917">
    <w:abstractNumId w:val="991"/>
  </w:num>
  <w:num w:numId="2918">
    <w:abstractNumId w:val="991"/>
  </w:num>
  <w:num w:numId="2919">
    <w:abstractNumId w:val="991"/>
  </w:num>
  <w:num w:numId="2920">
    <w:abstractNumId w:val="991"/>
  </w:num>
  <w:num w:numId="2921">
    <w:abstractNumId w:val="991"/>
  </w:num>
  <w:num w:numId="2922">
    <w:abstractNumId w:val="991"/>
  </w:num>
  <w:num w:numId="2923">
    <w:abstractNumId w:val="991"/>
  </w:num>
  <w:num w:numId="2924">
    <w:abstractNumId w:val="991"/>
  </w:num>
  <w:num w:numId="2925">
    <w:abstractNumId w:val="991"/>
  </w:num>
  <w:num w:numId="2926">
    <w:abstractNumId w:val="991"/>
  </w:num>
  <w:num w:numId="2927">
    <w:abstractNumId w:val="991"/>
  </w:num>
  <w:num w:numId="2928">
    <w:abstractNumId w:val="991"/>
  </w:num>
  <w:num w:numId="2929">
    <w:abstractNumId w:val="991"/>
  </w:num>
  <w:num w:numId="2930">
    <w:abstractNumId w:val="991"/>
  </w:num>
  <w:num w:numId="2931">
    <w:abstractNumId w:val="991"/>
  </w:num>
  <w:num w:numId="2932">
    <w:abstractNumId w:val="991"/>
  </w:num>
  <w:num w:numId="2933">
    <w:abstractNumId w:val="991"/>
  </w:num>
  <w:num w:numId="2934">
    <w:abstractNumId w:val="991"/>
  </w:num>
  <w:num w:numId="2935">
    <w:abstractNumId w:val="991"/>
  </w:num>
  <w:num w:numId="2936">
    <w:abstractNumId w:val="991"/>
  </w:num>
  <w:num w:numId="2937">
    <w:abstractNumId w:val="991"/>
  </w:num>
  <w:num w:numId="2938">
    <w:abstractNumId w:val="991"/>
  </w:num>
  <w:num w:numId="2939">
    <w:abstractNumId w:val="991"/>
  </w:num>
  <w:num w:numId="2940">
    <w:abstractNumId w:val="991"/>
  </w:num>
  <w:num w:numId="2941">
    <w:abstractNumId w:val="991"/>
  </w:num>
  <w:num w:numId="2942">
    <w:abstractNumId w:val="991"/>
  </w:num>
  <w:num w:numId="2943">
    <w:abstractNumId w:val="991"/>
  </w:num>
  <w:num w:numId="2944">
    <w:abstractNumId w:val="991"/>
  </w:num>
  <w:num w:numId="2945">
    <w:abstractNumId w:val="991"/>
  </w:num>
  <w:num w:numId="2946">
    <w:abstractNumId w:val="991"/>
  </w:num>
  <w:num w:numId="2947">
    <w:abstractNumId w:val="991"/>
  </w:num>
  <w:num w:numId="2948">
    <w:abstractNumId w:val="991"/>
  </w:num>
  <w:num w:numId="2949">
    <w:abstractNumId w:val="991"/>
  </w:num>
  <w:num w:numId="2950">
    <w:abstractNumId w:val="991"/>
  </w:num>
  <w:num w:numId="2951">
    <w:abstractNumId w:val="991"/>
  </w:num>
  <w:num w:numId="2952">
    <w:abstractNumId w:val="991"/>
  </w:num>
  <w:num w:numId="2953">
    <w:abstractNumId w:val="991"/>
  </w:num>
  <w:num w:numId="2954">
    <w:abstractNumId w:val="991"/>
  </w:num>
  <w:num w:numId="2955">
    <w:abstractNumId w:val="991"/>
  </w:num>
  <w:num w:numId="2956">
    <w:abstractNumId w:val="991"/>
  </w:num>
  <w:num w:numId="2957">
    <w:abstractNumId w:val="991"/>
  </w:num>
  <w:num w:numId="2958">
    <w:abstractNumId w:val="991"/>
  </w:num>
  <w:num w:numId="2959">
    <w:abstractNumId w:val="991"/>
  </w:num>
  <w:num w:numId="2960">
    <w:abstractNumId w:val="991"/>
  </w:num>
  <w:num w:numId="2961">
    <w:abstractNumId w:val="991"/>
  </w:num>
  <w:num w:numId="2962">
    <w:abstractNumId w:val="991"/>
  </w:num>
  <w:num w:numId="2963">
    <w:abstractNumId w:val="991"/>
  </w:num>
  <w:num w:numId="2964">
    <w:abstractNumId w:val="991"/>
  </w:num>
  <w:num w:numId="2965">
    <w:abstractNumId w:val="991"/>
  </w:num>
  <w:num w:numId="2966">
    <w:abstractNumId w:val="991"/>
  </w:num>
  <w:num w:numId="2967">
    <w:abstractNumId w:val="991"/>
  </w:num>
  <w:num w:numId="2968">
    <w:abstractNumId w:val="991"/>
  </w:num>
  <w:num w:numId="2969">
    <w:abstractNumId w:val="991"/>
  </w:num>
  <w:num w:numId="2970">
    <w:abstractNumId w:val="991"/>
  </w:num>
  <w:num w:numId="2971">
    <w:abstractNumId w:val="991"/>
  </w:num>
  <w:num w:numId="2972">
    <w:abstractNumId w:val="991"/>
  </w:num>
  <w:num w:numId="2973">
    <w:abstractNumId w:val="991"/>
  </w:num>
  <w:num w:numId="2974">
    <w:abstractNumId w:val="991"/>
  </w:num>
  <w:num w:numId="2975">
    <w:abstractNumId w:val="991"/>
  </w:num>
  <w:num w:numId="2976">
    <w:abstractNumId w:val="991"/>
  </w:num>
  <w:num w:numId="2977">
    <w:abstractNumId w:val="991"/>
  </w:num>
  <w:num w:numId="2978">
    <w:abstractNumId w:val="991"/>
  </w:num>
  <w:num w:numId="2979">
    <w:abstractNumId w:val="991"/>
  </w:num>
  <w:num w:numId="2980">
    <w:abstractNumId w:val="991"/>
  </w:num>
  <w:num w:numId="2981">
    <w:abstractNumId w:val="991"/>
  </w:num>
  <w:num w:numId="2982">
    <w:abstractNumId w:val="991"/>
  </w:num>
  <w:num w:numId="2983">
    <w:abstractNumId w:val="991"/>
  </w:num>
  <w:num w:numId="2984">
    <w:abstractNumId w:val="991"/>
  </w:num>
  <w:num w:numId="2985">
    <w:abstractNumId w:val="991"/>
  </w:num>
  <w:num w:numId="2986">
    <w:abstractNumId w:val="991"/>
  </w:num>
  <w:num w:numId="2987">
    <w:abstractNumId w:val="991"/>
  </w:num>
  <w:num w:numId="2988">
    <w:abstractNumId w:val="991"/>
  </w:num>
  <w:num w:numId="2989">
    <w:abstractNumId w:val="991"/>
  </w:num>
  <w:num w:numId="2990">
    <w:abstractNumId w:val="991"/>
  </w:num>
  <w:num w:numId="2991">
    <w:abstractNumId w:val="991"/>
  </w:num>
  <w:num w:numId="2992">
    <w:abstractNumId w:val="991"/>
  </w:num>
  <w:num w:numId="2993">
    <w:abstractNumId w:val="991"/>
  </w:num>
  <w:num w:numId="2994">
    <w:abstractNumId w:val="991"/>
  </w:num>
  <w:num w:numId="2995">
    <w:abstractNumId w:val="991"/>
  </w:num>
  <w:num w:numId="2996">
    <w:abstractNumId w:val="991"/>
  </w:num>
  <w:num w:numId="2997">
    <w:abstractNumId w:val="991"/>
  </w:num>
  <w:num w:numId="2998">
    <w:abstractNumId w:val="991"/>
  </w:num>
  <w:num w:numId="2999">
    <w:abstractNumId w:val="991"/>
  </w:num>
  <w:num w:numId="3000">
    <w:abstractNumId w:val="991"/>
  </w:num>
  <w:num w:numId="3001">
    <w:abstractNumId w:val="991"/>
  </w:num>
  <w:num w:numId="3002">
    <w:abstractNumId w:val="991"/>
  </w:num>
  <w:num w:numId="3003">
    <w:abstractNumId w:val="991"/>
  </w:num>
  <w:num w:numId="3004">
    <w:abstractNumId w:val="991"/>
  </w:num>
  <w:num w:numId="3005">
    <w:abstractNumId w:val="991"/>
  </w:num>
  <w:num w:numId="3006">
    <w:abstractNumId w:val="991"/>
  </w:num>
  <w:num w:numId="3007">
    <w:abstractNumId w:val="991"/>
  </w:num>
  <w:num w:numId="3008">
    <w:abstractNumId w:val="991"/>
  </w:num>
  <w:num w:numId="3009">
    <w:abstractNumId w:val="991"/>
  </w:num>
  <w:num w:numId="3010">
    <w:abstractNumId w:val="991"/>
  </w:num>
  <w:num w:numId="3011">
    <w:abstractNumId w:val="991"/>
  </w:num>
  <w:num w:numId="3012">
    <w:abstractNumId w:val="991"/>
  </w:num>
  <w:num w:numId="3013">
    <w:abstractNumId w:val="991"/>
  </w:num>
  <w:num w:numId="3014">
    <w:abstractNumId w:val="991"/>
  </w:num>
  <w:num w:numId="3015">
    <w:abstractNumId w:val="991"/>
  </w:num>
  <w:num w:numId="3016">
    <w:abstractNumId w:val="991"/>
  </w:num>
  <w:num w:numId="3017">
    <w:abstractNumId w:val="991"/>
  </w:num>
  <w:num w:numId="3018">
    <w:abstractNumId w:val="991"/>
  </w:num>
  <w:num w:numId="3019">
    <w:abstractNumId w:val="991"/>
  </w:num>
  <w:num w:numId="3020">
    <w:abstractNumId w:val="991"/>
  </w:num>
  <w:num w:numId="3021">
    <w:abstractNumId w:val="991"/>
  </w:num>
  <w:num w:numId="3022">
    <w:abstractNumId w:val="991"/>
  </w:num>
  <w:num w:numId="3023">
    <w:abstractNumId w:val="991"/>
  </w:num>
  <w:num w:numId="3024">
    <w:abstractNumId w:val="991"/>
  </w:num>
  <w:num w:numId="3025">
    <w:abstractNumId w:val="991"/>
  </w:num>
  <w:num w:numId="3026">
    <w:abstractNumId w:val="991"/>
  </w:num>
  <w:num w:numId="3027">
    <w:abstractNumId w:val="991"/>
  </w:num>
  <w:num w:numId="3028">
    <w:abstractNumId w:val="991"/>
  </w:num>
  <w:num w:numId="3029">
    <w:abstractNumId w:val="991"/>
  </w:num>
  <w:num w:numId="3030">
    <w:abstractNumId w:val="991"/>
  </w:num>
  <w:num w:numId="3031">
    <w:abstractNumId w:val="991"/>
  </w:num>
  <w:num w:numId="3032">
    <w:abstractNumId w:val="991"/>
  </w:num>
  <w:num w:numId="3033">
    <w:abstractNumId w:val="991"/>
  </w:num>
  <w:num w:numId="3034">
    <w:abstractNumId w:val="991"/>
  </w:num>
  <w:num w:numId="3035">
    <w:abstractNumId w:val="991"/>
  </w:num>
  <w:num w:numId="3036">
    <w:abstractNumId w:val="991"/>
  </w:num>
  <w:num w:numId="3037">
    <w:abstractNumId w:val="991"/>
  </w:num>
  <w:num w:numId="3038">
    <w:abstractNumId w:val="991"/>
  </w:num>
  <w:num w:numId="3039">
    <w:abstractNumId w:val="991"/>
  </w:num>
  <w:num w:numId="3040">
    <w:abstractNumId w:val="991"/>
  </w:num>
  <w:num w:numId="3041">
    <w:abstractNumId w:val="991"/>
  </w:num>
  <w:num w:numId="3042">
    <w:abstractNumId w:val="991"/>
  </w:num>
  <w:num w:numId="3043">
    <w:abstractNumId w:val="991"/>
  </w:num>
  <w:num w:numId="3044">
    <w:abstractNumId w:val="991"/>
  </w:num>
  <w:num w:numId="3045">
    <w:abstractNumId w:val="991"/>
  </w:num>
  <w:num w:numId="3046">
    <w:abstractNumId w:val="991"/>
  </w:num>
  <w:num w:numId="3047">
    <w:abstractNumId w:val="991"/>
  </w:num>
  <w:num w:numId="3048">
    <w:abstractNumId w:val="991"/>
  </w:num>
  <w:num w:numId="3049">
    <w:abstractNumId w:val="991"/>
  </w:num>
  <w:num w:numId="3050">
    <w:abstractNumId w:val="991"/>
  </w:num>
  <w:num w:numId="3051">
    <w:abstractNumId w:val="991"/>
  </w:num>
  <w:num w:numId="3052">
    <w:abstractNumId w:val="991"/>
  </w:num>
  <w:num w:numId="3053">
    <w:abstractNumId w:val="991"/>
  </w:num>
  <w:num w:numId="3054">
    <w:abstractNumId w:val="991"/>
  </w:num>
  <w:num w:numId="3055">
    <w:abstractNumId w:val="991"/>
  </w:num>
  <w:num w:numId="3056">
    <w:abstractNumId w:val="991"/>
  </w:num>
  <w:num w:numId="3057">
    <w:abstractNumId w:val="991"/>
  </w:num>
  <w:num w:numId="3058">
    <w:abstractNumId w:val="991"/>
  </w:num>
  <w:num w:numId="3059">
    <w:abstractNumId w:val="991"/>
  </w:num>
  <w:num w:numId="3060">
    <w:abstractNumId w:val="991"/>
  </w:num>
  <w:num w:numId="3061">
    <w:abstractNumId w:val="991"/>
  </w:num>
  <w:num w:numId="3062">
    <w:abstractNumId w:val="991"/>
  </w:num>
  <w:num w:numId="3063">
    <w:abstractNumId w:val="991"/>
  </w:num>
  <w:num w:numId="3064">
    <w:abstractNumId w:val="991"/>
  </w:num>
  <w:num w:numId="3065">
    <w:abstractNumId w:val="991"/>
  </w:num>
  <w:num w:numId="3066">
    <w:abstractNumId w:val="991"/>
  </w:num>
  <w:num w:numId="3067">
    <w:abstractNumId w:val="991"/>
  </w:num>
  <w:num w:numId="3068">
    <w:abstractNumId w:val="991"/>
  </w:num>
  <w:num w:numId="3069">
    <w:abstractNumId w:val="991"/>
  </w:num>
  <w:num w:numId="3070">
    <w:abstractNumId w:val="991"/>
  </w:num>
  <w:num w:numId="3071">
    <w:abstractNumId w:val="991"/>
  </w:num>
  <w:num w:numId="3072">
    <w:abstractNumId w:val="991"/>
  </w:num>
  <w:num w:numId="3073">
    <w:abstractNumId w:val="991"/>
  </w:num>
  <w:num w:numId="3074">
    <w:abstractNumId w:val="991"/>
  </w:num>
  <w:num w:numId="3075">
    <w:abstractNumId w:val="991"/>
  </w:num>
  <w:num w:numId="3076">
    <w:abstractNumId w:val="991"/>
  </w:num>
  <w:num w:numId="3077">
    <w:abstractNumId w:val="991"/>
  </w:num>
  <w:num w:numId="3078">
    <w:abstractNumId w:val="991"/>
  </w:num>
  <w:num w:numId="3079">
    <w:abstractNumId w:val="991"/>
  </w:num>
  <w:num w:numId="3080">
    <w:abstractNumId w:val="991"/>
  </w:num>
  <w:num w:numId="3081">
    <w:abstractNumId w:val="991"/>
  </w:num>
  <w:num w:numId="3082">
    <w:abstractNumId w:val="991"/>
  </w:num>
  <w:num w:numId="3083">
    <w:abstractNumId w:val="991"/>
  </w:num>
  <w:num w:numId="3084">
    <w:abstractNumId w:val="991"/>
  </w:num>
  <w:num w:numId="3085">
    <w:abstractNumId w:val="991"/>
  </w:num>
  <w:num w:numId="3086">
    <w:abstractNumId w:val="991"/>
  </w:num>
  <w:num w:numId="3087">
    <w:abstractNumId w:val="991"/>
  </w:num>
  <w:num w:numId="3088">
    <w:abstractNumId w:val="991"/>
  </w:num>
  <w:num w:numId="3089">
    <w:abstractNumId w:val="991"/>
  </w:num>
  <w:num w:numId="3090">
    <w:abstractNumId w:val="991"/>
  </w:num>
  <w:num w:numId="3091">
    <w:abstractNumId w:val="991"/>
  </w:num>
  <w:num w:numId="3092">
    <w:abstractNumId w:val="991"/>
  </w:num>
  <w:num w:numId="3093">
    <w:abstractNumId w:val="991"/>
  </w:num>
  <w:num w:numId="3094">
    <w:abstractNumId w:val="991"/>
  </w:num>
  <w:num w:numId="3095">
    <w:abstractNumId w:val="991"/>
  </w:num>
  <w:num w:numId="3096">
    <w:abstractNumId w:val="991"/>
  </w:num>
  <w:num w:numId="3097">
    <w:abstractNumId w:val="991"/>
  </w:num>
  <w:num w:numId="3098">
    <w:abstractNumId w:val="991"/>
  </w:num>
  <w:num w:numId="3099">
    <w:abstractNumId w:val="991"/>
  </w:num>
  <w:num w:numId="3100">
    <w:abstractNumId w:val="991"/>
  </w:num>
  <w:num w:numId="3101">
    <w:abstractNumId w:val="991"/>
  </w:num>
  <w:num w:numId="3102">
    <w:abstractNumId w:val="991"/>
  </w:num>
  <w:num w:numId="3103">
    <w:abstractNumId w:val="991"/>
  </w:num>
  <w:num w:numId="3104">
    <w:abstractNumId w:val="991"/>
  </w:num>
  <w:num w:numId="3105">
    <w:abstractNumId w:val="991"/>
  </w:num>
  <w:num w:numId="3106">
    <w:abstractNumId w:val="991"/>
  </w:num>
  <w:num w:numId="3107">
    <w:abstractNumId w:val="991"/>
  </w:num>
  <w:num w:numId="3108">
    <w:abstractNumId w:val="991"/>
  </w:num>
  <w:num w:numId="3109">
    <w:abstractNumId w:val="991"/>
  </w:num>
  <w:num w:numId="3110">
    <w:abstractNumId w:val="991"/>
  </w:num>
  <w:num w:numId="3111">
    <w:abstractNumId w:val="991"/>
  </w:num>
  <w:num w:numId="3112">
    <w:abstractNumId w:val="991"/>
  </w:num>
  <w:num w:numId="3113">
    <w:abstractNumId w:val="991"/>
  </w:num>
  <w:num w:numId="3114">
    <w:abstractNumId w:val="991"/>
  </w:num>
  <w:num w:numId="3115">
    <w:abstractNumId w:val="991"/>
  </w:num>
  <w:num w:numId="3116">
    <w:abstractNumId w:val="991"/>
  </w:num>
  <w:num w:numId="3117">
    <w:abstractNumId w:val="991"/>
  </w:num>
  <w:num w:numId="3118">
    <w:abstractNumId w:val="991"/>
  </w:num>
  <w:num w:numId="3119">
    <w:abstractNumId w:val="991"/>
  </w:num>
  <w:num w:numId="3120">
    <w:abstractNumId w:val="991"/>
  </w:num>
  <w:num w:numId="3121">
    <w:abstractNumId w:val="991"/>
  </w:num>
  <w:num w:numId="3122">
    <w:abstractNumId w:val="991"/>
  </w:num>
  <w:num w:numId="3123">
    <w:abstractNumId w:val="991"/>
  </w:num>
  <w:num w:numId="3124">
    <w:abstractNumId w:val="991"/>
  </w:num>
  <w:num w:numId="3125">
    <w:abstractNumId w:val="991"/>
  </w:num>
  <w:num w:numId="3126">
    <w:abstractNumId w:val="991"/>
  </w:num>
  <w:num w:numId="3127">
    <w:abstractNumId w:val="991"/>
  </w:num>
  <w:num w:numId="3128">
    <w:abstractNumId w:val="991"/>
  </w:num>
  <w:num w:numId="3129">
    <w:abstractNumId w:val="991"/>
  </w:num>
  <w:num w:numId="3130">
    <w:abstractNumId w:val="991"/>
  </w:num>
  <w:num w:numId="3131">
    <w:abstractNumId w:val="991"/>
  </w:num>
  <w:num w:numId="3132">
    <w:abstractNumId w:val="991"/>
  </w:num>
  <w:num w:numId="3133">
    <w:abstractNumId w:val="991"/>
  </w:num>
  <w:num w:numId="3134">
    <w:abstractNumId w:val="991"/>
  </w:num>
  <w:num w:numId="3135">
    <w:abstractNumId w:val="991"/>
  </w:num>
  <w:num w:numId="3136">
    <w:abstractNumId w:val="991"/>
  </w:num>
  <w:num w:numId="3137">
    <w:abstractNumId w:val="991"/>
  </w:num>
  <w:num w:numId="3138">
    <w:abstractNumId w:val="991"/>
  </w:num>
  <w:num w:numId="3139">
    <w:abstractNumId w:val="991"/>
  </w:num>
  <w:num w:numId="3140">
    <w:abstractNumId w:val="991"/>
  </w:num>
  <w:num w:numId="3141">
    <w:abstractNumId w:val="991"/>
  </w:num>
  <w:num w:numId="3142">
    <w:abstractNumId w:val="991"/>
  </w:num>
  <w:num w:numId="3143">
    <w:abstractNumId w:val="991"/>
  </w:num>
  <w:num w:numId="3144">
    <w:abstractNumId w:val="991"/>
  </w:num>
  <w:num w:numId="3145">
    <w:abstractNumId w:val="991"/>
  </w:num>
  <w:num w:numId="3146">
    <w:abstractNumId w:val="991"/>
  </w:num>
  <w:num w:numId="3147">
    <w:abstractNumId w:val="991"/>
  </w:num>
  <w:num w:numId="3148">
    <w:abstractNumId w:val="991"/>
  </w:num>
  <w:num w:numId="3149">
    <w:abstractNumId w:val="991"/>
  </w:num>
  <w:num w:numId="3150">
    <w:abstractNumId w:val="991"/>
  </w:num>
  <w:num w:numId="3151">
    <w:abstractNumId w:val="991"/>
  </w:num>
  <w:num w:numId="3152">
    <w:abstractNumId w:val="991"/>
  </w:num>
  <w:num w:numId="3153">
    <w:abstractNumId w:val="991"/>
  </w:num>
  <w:num w:numId="3154">
    <w:abstractNumId w:val="991"/>
  </w:num>
  <w:num w:numId="3155">
    <w:abstractNumId w:val="991"/>
  </w:num>
  <w:num w:numId="3156">
    <w:abstractNumId w:val="991"/>
  </w:num>
  <w:num w:numId="3157">
    <w:abstractNumId w:val="991"/>
  </w:num>
  <w:num w:numId="3158">
    <w:abstractNumId w:val="991"/>
  </w:num>
  <w:num w:numId="3159">
    <w:abstractNumId w:val="991"/>
  </w:num>
  <w:num w:numId="3160">
    <w:abstractNumId w:val="991"/>
  </w:num>
  <w:num w:numId="3161">
    <w:abstractNumId w:val="991"/>
  </w:num>
  <w:num w:numId="3162">
    <w:abstractNumId w:val="991"/>
  </w:num>
  <w:num w:numId="3163">
    <w:abstractNumId w:val="991"/>
  </w:num>
  <w:num w:numId="3164">
    <w:abstractNumId w:val="991"/>
  </w:num>
  <w:num w:numId="3165">
    <w:abstractNumId w:val="991"/>
  </w:num>
  <w:num w:numId="3166">
    <w:abstractNumId w:val="991"/>
  </w:num>
  <w:num w:numId="3167">
    <w:abstractNumId w:val="991"/>
  </w:num>
  <w:num w:numId="3168">
    <w:abstractNumId w:val="991"/>
  </w:num>
  <w:num w:numId="3169">
    <w:abstractNumId w:val="991"/>
  </w:num>
  <w:num w:numId="3170">
    <w:abstractNumId w:val="991"/>
  </w:num>
  <w:num w:numId="3171">
    <w:abstractNumId w:val="991"/>
  </w:num>
  <w:num w:numId="3172">
    <w:abstractNumId w:val="991"/>
  </w:num>
  <w:num w:numId="3173">
    <w:abstractNumId w:val="991"/>
  </w:num>
  <w:num w:numId="3174">
    <w:abstractNumId w:val="991"/>
  </w:num>
  <w:num w:numId="3175">
    <w:abstractNumId w:val="991"/>
  </w:num>
  <w:num w:numId="3176">
    <w:abstractNumId w:val="991"/>
  </w:num>
  <w:num w:numId="3177">
    <w:abstractNumId w:val="991"/>
  </w:num>
  <w:num w:numId="3178">
    <w:abstractNumId w:val="991"/>
  </w:num>
  <w:num w:numId="3179">
    <w:abstractNumId w:val="991"/>
  </w:num>
  <w:num w:numId="3180">
    <w:abstractNumId w:val="991"/>
  </w:num>
  <w:num w:numId="3181">
    <w:abstractNumId w:val="991"/>
  </w:num>
  <w:num w:numId="3182">
    <w:abstractNumId w:val="991"/>
  </w:num>
  <w:num w:numId="3183">
    <w:abstractNumId w:val="991"/>
  </w:num>
  <w:num w:numId="3184">
    <w:abstractNumId w:val="991"/>
  </w:num>
  <w:num w:numId="3185">
    <w:abstractNumId w:val="991"/>
  </w:num>
  <w:num w:numId="3186">
    <w:abstractNumId w:val="991"/>
  </w:num>
  <w:num w:numId="3187">
    <w:abstractNumId w:val="991"/>
  </w:num>
  <w:num w:numId="3188">
    <w:abstractNumId w:val="991"/>
  </w:num>
  <w:num w:numId="3189">
    <w:abstractNumId w:val="991"/>
  </w:num>
  <w:num w:numId="3190">
    <w:abstractNumId w:val="991"/>
  </w:num>
  <w:num w:numId="3191">
    <w:abstractNumId w:val="991"/>
  </w:num>
  <w:num w:numId="3192">
    <w:abstractNumId w:val="991"/>
  </w:num>
  <w:num w:numId="3193">
    <w:abstractNumId w:val="991"/>
  </w:num>
  <w:num w:numId="3194">
    <w:abstractNumId w:val="991"/>
  </w:num>
  <w:num w:numId="3195">
    <w:abstractNumId w:val="991"/>
  </w:num>
  <w:num w:numId="3196">
    <w:abstractNumId w:val="991"/>
  </w:num>
  <w:num w:numId="3197">
    <w:abstractNumId w:val="991"/>
  </w:num>
  <w:num w:numId="3198">
    <w:abstractNumId w:val="991"/>
  </w:num>
  <w:num w:numId="3199">
    <w:abstractNumId w:val="991"/>
  </w:num>
  <w:num w:numId="3200">
    <w:abstractNumId w:val="991"/>
  </w:num>
  <w:num w:numId="3201">
    <w:abstractNumId w:val="991"/>
  </w:num>
  <w:num w:numId="3202">
    <w:abstractNumId w:val="991"/>
  </w:num>
  <w:num w:numId="3203">
    <w:abstractNumId w:val="991"/>
  </w:num>
  <w:num w:numId="3204">
    <w:abstractNumId w:val="991"/>
  </w:num>
  <w:num w:numId="3205">
    <w:abstractNumId w:val="991"/>
  </w:num>
  <w:num w:numId="3206">
    <w:abstractNumId w:val="991"/>
  </w:num>
  <w:num w:numId="3207">
    <w:abstractNumId w:val="991"/>
  </w:num>
  <w:num w:numId="3208">
    <w:abstractNumId w:val="991"/>
  </w:num>
  <w:num w:numId="3209">
    <w:abstractNumId w:val="991"/>
  </w:num>
  <w:num w:numId="3210">
    <w:abstractNumId w:val="991"/>
  </w:num>
  <w:num w:numId="3211">
    <w:abstractNumId w:val="991"/>
  </w:num>
  <w:num w:numId="3212">
    <w:abstractNumId w:val="991"/>
  </w:num>
  <w:num w:numId="3213">
    <w:abstractNumId w:val="991"/>
  </w:num>
  <w:num w:numId="3214">
    <w:abstractNumId w:val="991"/>
  </w:num>
  <w:num w:numId="3215">
    <w:abstractNumId w:val="991"/>
  </w:num>
  <w:num w:numId="3216">
    <w:abstractNumId w:val="991"/>
  </w:num>
  <w:num w:numId="3217">
    <w:abstractNumId w:val="991"/>
  </w:num>
  <w:num w:numId="3218">
    <w:abstractNumId w:val="991"/>
  </w:num>
  <w:num w:numId="3219">
    <w:abstractNumId w:val="991"/>
  </w:num>
  <w:num w:numId="3220">
    <w:abstractNumId w:val="991"/>
  </w:num>
  <w:num w:numId="3221">
    <w:abstractNumId w:val="991"/>
  </w:num>
  <w:num w:numId="3222">
    <w:abstractNumId w:val="991"/>
  </w:num>
  <w:num w:numId="3223">
    <w:abstractNumId w:val="991"/>
  </w:num>
  <w:num w:numId="3224">
    <w:abstractNumId w:val="991"/>
  </w:num>
  <w:num w:numId="3225">
    <w:abstractNumId w:val="991"/>
  </w:num>
  <w:num w:numId="3226">
    <w:abstractNumId w:val="991"/>
  </w:num>
  <w:num w:numId="3227">
    <w:abstractNumId w:val="991"/>
  </w:num>
  <w:num w:numId="3228">
    <w:abstractNumId w:val="991"/>
  </w:num>
  <w:num w:numId="3229">
    <w:abstractNumId w:val="991"/>
  </w:num>
  <w:num w:numId="3230">
    <w:abstractNumId w:val="991"/>
  </w:num>
  <w:num w:numId="3231">
    <w:abstractNumId w:val="991"/>
  </w:num>
  <w:num w:numId="3232">
    <w:abstractNumId w:val="991"/>
  </w:num>
  <w:num w:numId="3233">
    <w:abstractNumId w:val="991"/>
  </w:num>
  <w:num w:numId="3234">
    <w:abstractNumId w:val="991"/>
  </w:num>
  <w:num w:numId="3235">
    <w:abstractNumId w:val="991"/>
  </w:num>
  <w:num w:numId="3236">
    <w:abstractNumId w:val="991"/>
  </w:num>
  <w:num w:numId="3237">
    <w:abstractNumId w:val="991"/>
  </w:num>
  <w:num w:numId="3238">
    <w:abstractNumId w:val="991"/>
  </w:num>
  <w:num w:numId="3239">
    <w:abstractNumId w:val="991"/>
  </w:num>
  <w:num w:numId="3240">
    <w:abstractNumId w:val="991"/>
  </w:num>
  <w:num w:numId="3241">
    <w:abstractNumId w:val="991"/>
  </w:num>
  <w:num w:numId="3242">
    <w:abstractNumId w:val="991"/>
  </w:num>
  <w:num w:numId="3243">
    <w:abstractNumId w:val="991"/>
  </w:num>
  <w:num w:numId="3244">
    <w:abstractNumId w:val="991"/>
  </w:num>
  <w:num w:numId="3245">
    <w:abstractNumId w:val="991"/>
  </w:num>
  <w:num w:numId="3246">
    <w:abstractNumId w:val="991"/>
  </w:num>
  <w:num w:numId="3247">
    <w:abstractNumId w:val="991"/>
  </w:num>
  <w:num w:numId="3248">
    <w:abstractNumId w:val="991"/>
  </w:num>
  <w:num w:numId="3249">
    <w:abstractNumId w:val="991"/>
  </w:num>
  <w:num w:numId="3250">
    <w:abstractNumId w:val="991"/>
  </w:num>
  <w:num w:numId="3251">
    <w:abstractNumId w:val="991"/>
  </w:num>
  <w:num w:numId="3252">
    <w:abstractNumId w:val="991"/>
  </w:num>
  <w:num w:numId="3253">
    <w:abstractNumId w:val="991"/>
  </w:num>
  <w:num w:numId="3254">
    <w:abstractNumId w:val="991"/>
  </w:num>
  <w:num w:numId="3255">
    <w:abstractNumId w:val="991"/>
  </w:num>
  <w:num w:numId="3256">
    <w:abstractNumId w:val="991"/>
  </w:num>
  <w:num w:numId="3257">
    <w:abstractNumId w:val="991"/>
  </w:num>
  <w:num w:numId="3258">
    <w:abstractNumId w:val="991"/>
  </w:num>
  <w:num w:numId="3259">
    <w:abstractNumId w:val="991"/>
  </w:num>
  <w:num w:numId="3260">
    <w:abstractNumId w:val="991"/>
  </w:num>
  <w:num w:numId="3261">
    <w:abstractNumId w:val="991"/>
  </w:num>
  <w:num w:numId="3262">
    <w:abstractNumId w:val="991"/>
  </w:num>
  <w:num w:numId="3263">
    <w:abstractNumId w:val="991"/>
  </w:num>
  <w:num w:numId="3264">
    <w:abstractNumId w:val="991"/>
  </w:num>
  <w:num w:numId="3265">
    <w:abstractNumId w:val="991"/>
  </w:num>
  <w:num w:numId="3266">
    <w:abstractNumId w:val="991"/>
  </w:num>
  <w:num w:numId="3267">
    <w:abstractNumId w:val="991"/>
  </w:num>
  <w:num w:numId="3268">
    <w:abstractNumId w:val="991"/>
  </w:num>
  <w:num w:numId="3269">
    <w:abstractNumId w:val="991"/>
  </w:num>
  <w:num w:numId="3270">
    <w:abstractNumId w:val="991"/>
  </w:num>
  <w:num w:numId="3271">
    <w:abstractNumId w:val="991"/>
  </w:num>
  <w:num w:numId="3272">
    <w:abstractNumId w:val="991"/>
  </w:num>
  <w:num w:numId="3273">
    <w:abstractNumId w:val="991"/>
  </w:num>
  <w:num w:numId="3274">
    <w:abstractNumId w:val="991"/>
  </w:num>
  <w:num w:numId="3275">
    <w:abstractNumId w:val="991"/>
  </w:num>
  <w:num w:numId="3276">
    <w:abstractNumId w:val="991"/>
  </w:num>
  <w:num w:numId="3277">
    <w:abstractNumId w:val="991"/>
  </w:num>
  <w:num w:numId="3278">
    <w:abstractNumId w:val="991"/>
  </w:num>
  <w:num w:numId="3279">
    <w:abstractNumId w:val="991"/>
  </w:num>
  <w:num w:numId="3280">
    <w:abstractNumId w:val="991"/>
  </w:num>
  <w:num w:numId="3281">
    <w:abstractNumId w:val="991"/>
  </w:num>
  <w:num w:numId="3282">
    <w:abstractNumId w:val="991"/>
  </w:num>
  <w:num w:numId="3283">
    <w:abstractNumId w:val="991"/>
  </w:num>
  <w:num w:numId="3284">
    <w:abstractNumId w:val="991"/>
  </w:num>
  <w:num w:numId="3285">
    <w:abstractNumId w:val="991"/>
  </w:num>
  <w:num w:numId="3286">
    <w:abstractNumId w:val="991"/>
  </w:num>
  <w:num w:numId="3287">
    <w:abstractNumId w:val="991"/>
  </w:num>
  <w:num w:numId="3288">
    <w:abstractNumId w:val="991"/>
  </w:num>
  <w:num w:numId="3289">
    <w:abstractNumId w:val="991"/>
  </w:num>
  <w:num w:numId="3290">
    <w:abstractNumId w:val="991"/>
  </w:num>
  <w:num w:numId="3291">
    <w:abstractNumId w:val="991"/>
  </w:num>
  <w:num w:numId="3292">
    <w:abstractNumId w:val="991"/>
  </w:num>
  <w:num w:numId="3293">
    <w:abstractNumId w:val="991"/>
  </w:num>
  <w:num w:numId="3294">
    <w:abstractNumId w:val="991"/>
  </w:num>
  <w:num w:numId="3295">
    <w:abstractNumId w:val="991"/>
  </w:num>
  <w:num w:numId="3296">
    <w:abstractNumId w:val="991"/>
  </w:num>
  <w:num w:numId="3297">
    <w:abstractNumId w:val="991"/>
  </w:num>
  <w:num w:numId="3298">
    <w:abstractNumId w:val="991"/>
  </w:num>
  <w:num w:numId="3299">
    <w:abstractNumId w:val="991"/>
  </w:num>
  <w:num w:numId="3300">
    <w:abstractNumId w:val="991"/>
  </w:num>
  <w:num w:numId="3301">
    <w:abstractNumId w:val="991"/>
  </w:num>
  <w:num w:numId="3302">
    <w:abstractNumId w:val="991"/>
  </w:num>
  <w:num w:numId="3303">
    <w:abstractNumId w:val="991"/>
  </w:num>
  <w:num w:numId="3304">
    <w:abstractNumId w:val="991"/>
  </w:num>
  <w:num w:numId="3305">
    <w:abstractNumId w:val="991"/>
  </w:num>
  <w:num w:numId="3306">
    <w:abstractNumId w:val="991"/>
  </w:num>
  <w:num w:numId="3307">
    <w:abstractNumId w:val="991"/>
  </w:num>
  <w:num w:numId="3308">
    <w:abstractNumId w:val="991"/>
  </w:num>
  <w:num w:numId="3309">
    <w:abstractNumId w:val="991"/>
  </w:num>
  <w:num w:numId="3310">
    <w:abstractNumId w:val="991"/>
  </w:num>
  <w:num w:numId="3311">
    <w:abstractNumId w:val="991"/>
  </w:num>
  <w:num w:numId="3312">
    <w:abstractNumId w:val="991"/>
  </w:num>
  <w:num w:numId="3313">
    <w:abstractNumId w:val="991"/>
  </w:num>
  <w:num w:numId="3314">
    <w:abstractNumId w:val="991"/>
  </w:num>
  <w:num w:numId="3315">
    <w:abstractNumId w:val="991"/>
  </w:num>
  <w:num w:numId="3316">
    <w:abstractNumId w:val="991"/>
  </w:num>
  <w:num w:numId="3317">
    <w:abstractNumId w:val="991"/>
  </w:num>
  <w:num w:numId="3318">
    <w:abstractNumId w:val="991"/>
  </w:num>
  <w:num w:numId="3319">
    <w:abstractNumId w:val="991"/>
  </w:num>
  <w:num w:numId="3320">
    <w:abstractNumId w:val="991"/>
  </w:num>
  <w:num w:numId="3321">
    <w:abstractNumId w:val="991"/>
  </w:num>
  <w:num w:numId="3322">
    <w:abstractNumId w:val="991"/>
  </w:num>
  <w:num w:numId="3323">
    <w:abstractNumId w:val="991"/>
  </w:num>
  <w:num w:numId="3324">
    <w:abstractNumId w:val="991"/>
  </w:num>
  <w:num w:numId="3325">
    <w:abstractNumId w:val="991"/>
  </w:num>
  <w:num w:numId="3326">
    <w:abstractNumId w:val="991"/>
  </w:num>
  <w:num w:numId="3327">
    <w:abstractNumId w:val="991"/>
  </w:num>
  <w:num w:numId="3328">
    <w:abstractNumId w:val="991"/>
  </w:num>
  <w:num w:numId="3329">
    <w:abstractNumId w:val="991"/>
  </w:num>
  <w:num w:numId="3330">
    <w:abstractNumId w:val="991"/>
  </w:num>
  <w:num w:numId="3331">
    <w:abstractNumId w:val="991"/>
  </w:num>
  <w:num w:numId="3332">
    <w:abstractNumId w:val="991"/>
  </w:num>
  <w:num w:numId="3333">
    <w:abstractNumId w:val="991"/>
  </w:num>
  <w:num w:numId="3334">
    <w:abstractNumId w:val="991"/>
  </w:num>
  <w:num w:numId="3335">
    <w:abstractNumId w:val="991"/>
  </w:num>
  <w:num w:numId="3336">
    <w:abstractNumId w:val="991"/>
  </w:num>
  <w:num w:numId="3337">
    <w:abstractNumId w:val="991"/>
  </w:num>
  <w:num w:numId="3338">
    <w:abstractNumId w:val="991"/>
  </w:num>
  <w:num w:numId="3339">
    <w:abstractNumId w:val="991"/>
  </w:num>
  <w:num w:numId="3340">
    <w:abstractNumId w:val="991"/>
  </w:num>
  <w:num w:numId="3341">
    <w:abstractNumId w:val="991"/>
  </w:num>
  <w:num w:numId="3342">
    <w:abstractNumId w:val="991"/>
  </w:num>
  <w:num w:numId="3343">
    <w:abstractNumId w:val="991"/>
  </w:num>
  <w:num w:numId="3344">
    <w:abstractNumId w:val="991"/>
  </w:num>
  <w:num w:numId="3345">
    <w:abstractNumId w:val="991"/>
  </w:num>
  <w:num w:numId="3346">
    <w:abstractNumId w:val="991"/>
  </w:num>
  <w:num w:numId="3347">
    <w:abstractNumId w:val="991"/>
  </w:num>
  <w:num w:numId="3348">
    <w:abstractNumId w:val="991"/>
  </w:num>
  <w:num w:numId="3349">
    <w:abstractNumId w:val="991"/>
  </w:num>
  <w:num w:numId="3350">
    <w:abstractNumId w:val="991"/>
  </w:num>
  <w:num w:numId="3351">
    <w:abstractNumId w:val="991"/>
  </w:num>
  <w:num w:numId="3352">
    <w:abstractNumId w:val="991"/>
  </w:num>
  <w:num w:numId="3353">
    <w:abstractNumId w:val="991"/>
  </w:num>
  <w:num w:numId="3354">
    <w:abstractNumId w:val="991"/>
  </w:num>
  <w:num w:numId="3355">
    <w:abstractNumId w:val="991"/>
  </w:num>
  <w:num w:numId="3356">
    <w:abstractNumId w:val="991"/>
  </w:num>
  <w:num w:numId="3357">
    <w:abstractNumId w:val="991"/>
  </w:num>
  <w:num w:numId="3358">
    <w:abstractNumId w:val="991"/>
  </w:num>
  <w:num w:numId="3359">
    <w:abstractNumId w:val="991"/>
  </w:num>
  <w:num w:numId="3360">
    <w:abstractNumId w:val="991"/>
  </w:num>
  <w:num w:numId="3361">
    <w:abstractNumId w:val="991"/>
  </w:num>
  <w:num w:numId="3362">
    <w:abstractNumId w:val="991"/>
  </w:num>
  <w:num w:numId="3363">
    <w:abstractNumId w:val="991"/>
  </w:num>
  <w:num w:numId="3364">
    <w:abstractNumId w:val="991"/>
  </w:num>
  <w:num w:numId="3365">
    <w:abstractNumId w:val="991"/>
  </w:num>
  <w:num w:numId="3366">
    <w:abstractNumId w:val="991"/>
  </w:num>
  <w:num w:numId="3367">
    <w:abstractNumId w:val="991"/>
  </w:num>
  <w:num w:numId="3368">
    <w:abstractNumId w:val="991"/>
  </w:num>
  <w:num w:numId="3369">
    <w:abstractNumId w:val="991"/>
  </w:num>
  <w:num w:numId="3370">
    <w:abstractNumId w:val="991"/>
  </w:num>
  <w:num w:numId="3371">
    <w:abstractNumId w:val="991"/>
  </w:num>
  <w:num w:numId="3372">
    <w:abstractNumId w:val="991"/>
  </w:num>
  <w:num w:numId="3373">
    <w:abstractNumId w:val="991"/>
  </w:num>
  <w:num w:numId="3374">
    <w:abstractNumId w:val="991"/>
  </w:num>
  <w:num w:numId="3375">
    <w:abstractNumId w:val="991"/>
  </w:num>
  <w:num w:numId="3376">
    <w:abstractNumId w:val="991"/>
  </w:num>
  <w:num w:numId="3377">
    <w:abstractNumId w:val="991"/>
  </w:num>
  <w:num w:numId="3378">
    <w:abstractNumId w:val="991"/>
  </w:num>
  <w:num w:numId="3379">
    <w:abstractNumId w:val="991"/>
  </w:num>
  <w:num w:numId="3380">
    <w:abstractNumId w:val="991"/>
  </w:num>
  <w:num w:numId="3381">
    <w:abstractNumId w:val="991"/>
  </w:num>
  <w:num w:numId="3382">
    <w:abstractNumId w:val="991"/>
  </w:num>
  <w:num w:numId="3383">
    <w:abstractNumId w:val="991"/>
  </w:num>
  <w:num w:numId="3384">
    <w:abstractNumId w:val="991"/>
  </w:num>
  <w:num w:numId="3385">
    <w:abstractNumId w:val="991"/>
  </w:num>
  <w:num w:numId="3386">
    <w:abstractNumId w:val="991"/>
  </w:num>
  <w:num w:numId="3387">
    <w:abstractNumId w:val="991"/>
  </w:num>
  <w:num w:numId="3388">
    <w:abstractNumId w:val="991"/>
  </w:num>
  <w:num w:numId="3389">
    <w:abstractNumId w:val="991"/>
  </w:num>
  <w:num w:numId="3390">
    <w:abstractNumId w:val="991"/>
  </w:num>
  <w:num w:numId="3391">
    <w:abstractNumId w:val="991"/>
  </w:num>
  <w:num w:numId="3392">
    <w:abstractNumId w:val="991"/>
  </w:num>
  <w:num w:numId="3393">
    <w:abstractNumId w:val="991"/>
  </w:num>
  <w:num w:numId="3394">
    <w:abstractNumId w:val="991"/>
  </w:num>
  <w:num w:numId="3395">
    <w:abstractNumId w:val="991"/>
  </w:num>
  <w:num w:numId="3396">
    <w:abstractNumId w:val="991"/>
  </w:num>
  <w:num w:numId="3397">
    <w:abstractNumId w:val="991"/>
  </w:num>
  <w:num w:numId="3398">
    <w:abstractNumId w:val="991"/>
  </w:num>
  <w:num w:numId="3399">
    <w:abstractNumId w:val="991"/>
  </w:num>
  <w:num w:numId="3400">
    <w:abstractNumId w:val="991"/>
  </w:num>
  <w:num w:numId="3401">
    <w:abstractNumId w:val="991"/>
  </w:num>
  <w:num w:numId="3402">
    <w:abstractNumId w:val="991"/>
  </w:num>
  <w:num w:numId="3403">
    <w:abstractNumId w:val="991"/>
  </w:num>
  <w:num w:numId="3404">
    <w:abstractNumId w:val="991"/>
  </w:num>
  <w:num w:numId="3405">
    <w:abstractNumId w:val="991"/>
  </w:num>
  <w:num w:numId="3406">
    <w:abstractNumId w:val="991"/>
  </w:num>
  <w:num w:numId="3407">
    <w:abstractNumId w:val="991"/>
  </w:num>
  <w:num w:numId="3408">
    <w:abstractNumId w:val="991"/>
  </w:num>
  <w:num w:numId="3409">
    <w:abstractNumId w:val="991"/>
  </w:num>
  <w:num w:numId="3410">
    <w:abstractNumId w:val="991"/>
  </w:num>
  <w:num w:numId="3411">
    <w:abstractNumId w:val="991"/>
  </w:num>
  <w:num w:numId="3412">
    <w:abstractNumId w:val="991"/>
  </w:num>
  <w:num w:numId="3413">
    <w:abstractNumId w:val="991"/>
  </w:num>
  <w:num w:numId="3414">
    <w:abstractNumId w:val="991"/>
  </w:num>
  <w:num w:numId="3415">
    <w:abstractNumId w:val="991"/>
  </w:num>
  <w:num w:numId="3416">
    <w:abstractNumId w:val="991"/>
  </w:num>
  <w:num w:numId="3417">
    <w:abstractNumId w:val="991"/>
  </w:num>
  <w:num w:numId="3418">
    <w:abstractNumId w:val="991"/>
  </w:num>
  <w:num w:numId="3419">
    <w:abstractNumId w:val="991"/>
  </w:num>
  <w:num w:numId="3420">
    <w:abstractNumId w:val="991"/>
  </w:num>
  <w:num w:numId="3421">
    <w:abstractNumId w:val="991"/>
  </w:num>
  <w:num w:numId="3422">
    <w:abstractNumId w:val="991"/>
  </w:num>
  <w:num w:numId="3423">
    <w:abstractNumId w:val="991"/>
  </w:num>
  <w:num w:numId="3424">
    <w:abstractNumId w:val="991"/>
  </w:num>
  <w:num w:numId="3425">
    <w:abstractNumId w:val="991"/>
  </w:num>
  <w:num w:numId="3426">
    <w:abstractNumId w:val="991"/>
  </w:num>
  <w:num w:numId="3427">
    <w:abstractNumId w:val="991"/>
  </w:num>
  <w:num w:numId="3428">
    <w:abstractNumId w:val="991"/>
  </w:num>
  <w:num w:numId="3429">
    <w:abstractNumId w:val="991"/>
  </w:num>
  <w:num w:numId="3430">
    <w:abstractNumId w:val="991"/>
  </w:num>
  <w:num w:numId="3431">
    <w:abstractNumId w:val="991"/>
  </w:num>
  <w:num w:numId="3432">
    <w:abstractNumId w:val="991"/>
  </w:num>
  <w:num w:numId="3433">
    <w:abstractNumId w:val="991"/>
  </w:num>
  <w:num w:numId="3434">
    <w:abstractNumId w:val="991"/>
  </w:num>
  <w:num w:numId="3435">
    <w:abstractNumId w:val="991"/>
  </w:num>
  <w:num w:numId="3436">
    <w:abstractNumId w:val="991"/>
  </w:num>
  <w:num w:numId="3437">
    <w:abstractNumId w:val="991"/>
  </w:num>
  <w:num w:numId="3438">
    <w:abstractNumId w:val="991"/>
  </w:num>
  <w:num w:numId="3439">
    <w:abstractNumId w:val="991"/>
  </w:num>
  <w:num w:numId="3440">
    <w:abstractNumId w:val="991"/>
  </w:num>
  <w:num w:numId="3441">
    <w:abstractNumId w:val="991"/>
  </w:num>
  <w:num w:numId="3442">
    <w:abstractNumId w:val="991"/>
  </w:num>
  <w:num w:numId="3443">
    <w:abstractNumId w:val="991"/>
  </w:num>
  <w:num w:numId="3444">
    <w:abstractNumId w:val="991"/>
  </w:num>
  <w:num w:numId="3445">
    <w:abstractNumId w:val="991"/>
  </w:num>
  <w:num w:numId="3446">
    <w:abstractNumId w:val="991"/>
  </w:num>
  <w:num w:numId="3447">
    <w:abstractNumId w:val="991"/>
  </w:num>
  <w:num w:numId="3448">
    <w:abstractNumId w:val="991"/>
  </w:num>
  <w:num w:numId="3449">
    <w:abstractNumId w:val="991"/>
  </w:num>
  <w:num w:numId="3450">
    <w:abstractNumId w:val="991"/>
  </w:num>
  <w:num w:numId="3451">
    <w:abstractNumId w:val="991"/>
  </w:num>
  <w:num w:numId="3452">
    <w:abstractNumId w:val="991"/>
  </w:num>
  <w:num w:numId="3453">
    <w:abstractNumId w:val="991"/>
  </w:num>
  <w:num w:numId="3454">
    <w:abstractNumId w:val="991"/>
  </w:num>
  <w:num w:numId="3455">
    <w:abstractNumId w:val="991"/>
  </w:num>
  <w:num w:numId="3456">
    <w:abstractNumId w:val="991"/>
  </w:num>
  <w:num w:numId="3457">
    <w:abstractNumId w:val="991"/>
  </w:num>
  <w:num w:numId="3458">
    <w:abstractNumId w:val="991"/>
  </w:num>
  <w:num w:numId="3459">
    <w:abstractNumId w:val="991"/>
  </w:num>
  <w:num w:numId="3460">
    <w:abstractNumId w:val="991"/>
  </w:num>
  <w:num w:numId="3461">
    <w:abstractNumId w:val="991"/>
  </w:num>
  <w:num w:numId="3462">
    <w:abstractNumId w:val="991"/>
  </w:num>
  <w:num w:numId="3463">
    <w:abstractNumId w:val="991"/>
  </w:num>
  <w:num w:numId="3464">
    <w:abstractNumId w:val="991"/>
  </w:num>
  <w:num w:numId="3465">
    <w:abstractNumId w:val="991"/>
  </w:num>
  <w:num w:numId="3466">
    <w:abstractNumId w:val="991"/>
  </w:num>
  <w:num w:numId="3467">
    <w:abstractNumId w:val="991"/>
  </w:num>
  <w:num w:numId="3468">
    <w:abstractNumId w:val="991"/>
  </w:num>
  <w:num w:numId="3469">
    <w:abstractNumId w:val="991"/>
  </w:num>
  <w:num w:numId="3470">
    <w:abstractNumId w:val="991"/>
  </w:num>
  <w:num w:numId="3471">
    <w:abstractNumId w:val="991"/>
  </w:num>
  <w:num w:numId="3472">
    <w:abstractNumId w:val="991"/>
  </w:num>
  <w:num w:numId="3473">
    <w:abstractNumId w:val="991"/>
  </w:num>
  <w:num w:numId="3474">
    <w:abstractNumId w:val="991"/>
  </w:num>
  <w:num w:numId="3475">
    <w:abstractNumId w:val="991"/>
  </w:num>
  <w:num w:numId="3476">
    <w:abstractNumId w:val="991"/>
  </w:num>
  <w:num w:numId="3477">
    <w:abstractNumId w:val="991"/>
  </w:num>
  <w:num w:numId="3478">
    <w:abstractNumId w:val="991"/>
  </w:num>
  <w:num w:numId="3479">
    <w:abstractNumId w:val="991"/>
  </w:num>
  <w:num w:numId="3480">
    <w:abstractNumId w:val="991"/>
  </w:num>
  <w:num w:numId="3481">
    <w:abstractNumId w:val="991"/>
  </w:num>
  <w:num w:numId="3482">
    <w:abstractNumId w:val="991"/>
  </w:num>
  <w:num w:numId="3483">
    <w:abstractNumId w:val="991"/>
  </w:num>
  <w:num w:numId="3484">
    <w:abstractNumId w:val="991"/>
  </w:num>
  <w:num w:numId="3485">
    <w:abstractNumId w:val="991"/>
  </w:num>
  <w:num w:numId="3486">
    <w:abstractNumId w:val="991"/>
  </w:num>
  <w:num w:numId="3487">
    <w:abstractNumId w:val="991"/>
  </w:num>
  <w:num w:numId="3488">
    <w:abstractNumId w:val="991"/>
  </w:num>
  <w:num w:numId="3489">
    <w:abstractNumId w:val="991"/>
  </w:num>
  <w:num w:numId="3490">
    <w:abstractNumId w:val="991"/>
  </w:num>
  <w:num w:numId="3491">
    <w:abstractNumId w:val="991"/>
  </w:num>
  <w:num w:numId="3492">
    <w:abstractNumId w:val="991"/>
  </w:num>
  <w:num w:numId="3493">
    <w:abstractNumId w:val="991"/>
  </w:num>
  <w:num w:numId="3494">
    <w:abstractNumId w:val="991"/>
  </w:num>
  <w:num w:numId="3495">
    <w:abstractNumId w:val="991"/>
  </w:num>
  <w:num w:numId="3496">
    <w:abstractNumId w:val="991"/>
  </w:num>
  <w:num w:numId="3497">
    <w:abstractNumId w:val="991"/>
  </w:num>
  <w:num w:numId="3498">
    <w:abstractNumId w:val="991"/>
  </w:num>
  <w:num w:numId="3499">
    <w:abstractNumId w:val="991"/>
  </w:num>
  <w:num w:numId="3500">
    <w:abstractNumId w:val="991"/>
  </w:num>
  <w:num w:numId="3501">
    <w:abstractNumId w:val="991"/>
  </w:num>
  <w:num w:numId="3502">
    <w:abstractNumId w:val="991"/>
  </w:num>
  <w:num w:numId="3503">
    <w:abstractNumId w:val="991"/>
  </w:num>
  <w:num w:numId="3504">
    <w:abstractNumId w:val="991"/>
  </w:num>
  <w:num w:numId="3505">
    <w:abstractNumId w:val="991"/>
  </w:num>
  <w:num w:numId="3506">
    <w:abstractNumId w:val="991"/>
  </w:num>
  <w:num w:numId="3507">
    <w:abstractNumId w:val="991"/>
  </w:num>
  <w:num w:numId="3508">
    <w:abstractNumId w:val="991"/>
  </w:num>
  <w:num w:numId="3509">
    <w:abstractNumId w:val="991"/>
  </w:num>
  <w:num w:numId="3510">
    <w:abstractNumId w:val="991"/>
  </w:num>
  <w:num w:numId="3511">
    <w:abstractNumId w:val="991"/>
  </w:num>
  <w:num w:numId="3512">
    <w:abstractNumId w:val="991"/>
  </w:num>
  <w:num w:numId="3513">
    <w:abstractNumId w:val="991"/>
  </w:num>
  <w:num w:numId="3514">
    <w:abstractNumId w:val="991"/>
  </w:num>
  <w:num w:numId="3515">
    <w:abstractNumId w:val="991"/>
  </w:num>
  <w:num w:numId="3516">
    <w:abstractNumId w:val="991"/>
  </w:num>
  <w:num w:numId="3517">
    <w:abstractNumId w:val="991"/>
  </w:num>
  <w:num w:numId="3518">
    <w:abstractNumId w:val="991"/>
  </w:num>
  <w:num w:numId="3519">
    <w:abstractNumId w:val="991"/>
  </w:num>
  <w:num w:numId="3520">
    <w:abstractNumId w:val="991"/>
  </w:num>
  <w:num w:numId="3521">
    <w:abstractNumId w:val="991"/>
  </w:num>
  <w:num w:numId="3522">
    <w:abstractNumId w:val="991"/>
  </w:num>
  <w:num w:numId="3523">
    <w:abstractNumId w:val="991"/>
  </w:num>
  <w:num w:numId="3524">
    <w:abstractNumId w:val="991"/>
  </w:num>
  <w:num w:numId="3525">
    <w:abstractNumId w:val="991"/>
  </w:num>
  <w:num w:numId="3526">
    <w:abstractNumId w:val="991"/>
  </w:num>
  <w:num w:numId="3527">
    <w:abstractNumId w:val="991"/>
  </w:num>
  <w:num w:numId="3528">
    <w:abstractNumId w:val="991"/>
  </w:num>
  <w:num w:numId="3529">
    <w:abstractNumId w:val="991"/>
  </w:num>
  <w:num w:numId="3530">
    <w:abstractNumId w:val="991"/>
  </w:num>
  <w:num w:numId="3531">
    <w:abstractNumId w:val="991"/>
  </w:num>
  <w:num w:numId="3532">
    <w:abstractNumId w:val="991"/>
  </w:num>
  <w:num w:numId="3533">
    <w:abstractNumId w:val="991"/>
  </w:num>
  <w:num w:numId="3534">
    <w:abstractNumId w:val="991"/>
  </w:num>
  <w:num w:numId="3535">
    <w:abstractNumId w:val="991"/>
  </w:num>
  <w:num w:numId="3536">
    <w:abstractNumId w:val="991"/>
  </w:num>
  <w:num w:numId="3537">
    <w:abstractNumId w:val="991"/>
  </w:num>
  <w:num w:numId="3538">
    <w:abstractNumId w:val="991"/>
  </w:num>
  <w:num w:numId="3539">
    <w:abstractNumId w:val="991"/>
  </w:num>
  <w:num w:numId="3540">
    <w:abstractNumId w:val="991"/>
  </w:num>
  <w:num w:numId="3541">
    <w:abstractNumId w:val="991"/>
  </w:num>
  <w:num w:numId="3542">
    <w:abstractNumId w:val="991"/>
  </w:num>
  <w:num w:numId="3543">
    <w:abstractNumId w:val="991"/>
  </w:num>
  <w:num w:numId="3544">
    <w:abstractNumId w:val="991"/>
  </w:num>
  <w:num w:numId="3545">
    <w:abstractNumId w:val="991"/>
  </w:num>
  <w:num w:numId="3546">
    <w:abstractNumId w:val="991"/>
  </w:num>
  <w:num w:numId="3547">
    <w:abstractNumId w:val="991"/>
  </w:num>
  <w:num w:numId="3548">
    <w:abstractNumId w:val="991"/>
  </w:num>
  <w:num w:numId="3549">
    <w:abstractNumId w:val="991"/>
  </w:num>
  <w:num w:numId="3550">
    <w:abstractNumId w:val="991"/>
  </w:num>
  <w:num w:numId="3551">
    <w:abstractNumId w:val="991"/>
  </w:num>
  <w:num w:numId="3552">
    <w:abstractNumId w:val="991"/>
  </w:num>
  <w:num w:numId="3553">
    <w:abstractNumId w:val="991"/>
  </w:num>
  <w:num w:numId="3554">
    <w:abstractNumId w:val="991"/>
  </w:num>
  <w:num w:numId="3555">
    <w:abstractNumId w:val="991"/>
  </w:num>
  <w:num w:numId="3556">
    <w:abstractNumId w:val="991"/>
  </w:num>
  <w:num w:numId="3557">
    <w:abstractNumId w:val="991"/>
  </w:num>
  <w:num w:numId="3558">
    <w:abstractNumId w:val="991"/>
  </w:num>
  <w:num w:numId="3559">
    <w:abstractNumId w:val="991"/>
  </w:num>
  <w:num w:numId="3560">
    <w:abstractNumId w:val="991"/>
  </w:num>
  <w:num w:numId="3561">
    <w:abstractNumId w:val="991"/>
  </w:num>
  <w:num w:numId="3562">
    <w:abstractNumId w:val="991"/>
  </w:num>
  <w:num w:numId="3563">
    <w:abstractNumId w:val="991"/>
  </w:num>
  <w:num w:numId="3564">
    <w:abstractNumId w:val="991"/>
  </w:num>
  <w:num w:numId="3565">
    <w:abstractNumId w:val="991"/>
  </w:num>
  <w:num w:numId="3566">
    <w:abstractNumId w:val="991"/>
  </w:num>
  <w:num w:numId="3567">
    <w:abstractNumId w:val="991"/>
  </w:num>
  <w:num w:numId="3568">
    <w:abstractNumId w:val="991"/>
  </w:num>
  <w:num w:numId="3569">
    <w:abstractNumId w:val="991"/>
  </w:num>
  <w:num w:numId="3570">
    <w:abstractNumId w:val="991"/>
  </w:num>
  <w:num w:numId="3571">
    <w:abstractNumId w:val="991"/>
  </w:num>
  <w:num w:numId="3572">
    <w:abstractNumId w:val="991"/>
  </w:num>
  <w:num w:numId="3573">
    <w:abstractNumId w:val="991"/>
  </w:num>
  <w:num w:numId="3574">
    <w:abstractNumId w:val="991"/>
  </w:num>
  <w:num w:numId="3575">
    <w:abstractNumId w:val="991"/>
  </w:num>
  <w:num w:numId="3576">
    <w:abstractNumId w:val="991"/>
  </w:num>
  <w:num w:numId="3577">
    <w:abstractNumId w:val="991"/>
  </w:num>
  <w:num w:numId="3578">
    <w:abstractNumId w:val="991"/>
  </w:num>
  <w:num w:numId="3579">
    <w:abstractNumId w:val="991"/>
  </w:num>
  <w:num w:numId="3580">
    <w:abstractNumId w:val="991"/>
  </w:num>
  <w:num w:numId="3581">
    <w:abstractNumId w:val="991"/>
  </w:num>
  <w:num w:numId="3582">
    <w:abstractNumId w:val="991"/>
  </w:num>
  <w:num w:numId="3583">
    <w:abstractNumId w:val="991"/>
  </w:num>
  <w:num w:numId="3584">
    <w:abstractNumId w:val="991"/>
  </w:num>
  <w:num w:numId="3585">
    <w:abstractNumId w:val="991"/>
  </w:num>
  <w:num w:numId="3586">
    <w:abstractNumId w:val="991"/>
  </w:num>
  <w:num w:numId="3587">
    <w:abstractNumId w:val="991"/>
  </w:num>
  <w:num w:numId="3588">
    <w:abstractNumId w:val="991"/>
  </w:num>
  <w:num w:numId="3589">
    <w:abstractNumId w:val="991"/>
  </w:num>
  <w:num w:numId="3590">
    <w:abstractNumId w:val="991"/>
  </w:num>
  <w:num w:numId="3591">
    <w:abstractNumId w:val="991"/>
  </w:num>
  <w:num w:numId="3592">
    <w:abstractNumId w:val="991"/>
  </w:num>
  <w:num w:numId="3593">
    <w:abstractNumId w:val="991"/>
  </w:num>
  <w:num w:numId="3594">
    <w:abstractNumId w:val="991"/>
  </w:num>
  <w:num w:numId="3595">
    <w:abstractNumId w:val="991"/>
  </w:num>
  <w:num w:numId="3596">
    <w:abstractNumId w:val="991"/>
  </w:num>
  <w:num w:numId="3597">
    <w:abstractNumId w:val="991"/>
  </w:num>
  <w:num w:numId="3598">
    <w:abstractNumId w:val="991"/>
  </w:num>
  <w:num w:numId="3599">
    <w:abstractNumId w:val="991"/>
  </w:num>
  <w:num w:numId="3600">
    <w:abstractNumId w:val="991"/>
  </w:num>
  <w:num w:numId="3601">
    <w:abstractNumId w:val="991"/>
  </w:num>
  <w:num w:numId="3602">
    <w:abstractNumId w:val="991"/>
  </w:num>
  <w:num w:numId="3603">
    <w:abstractNumId w:val="991"/>
  </w:num>
  <w:num w:numId="3604">
    <w:abstractNumId w:val="991"/>
  </w:num>
  <w:num w:numId="3605">
    <w:abstractNumId w:val="991"/>
  </w:num>
  <w:num w:numId="3606">
    <w:abstractNumId w:val="991"/>
  </w:num>
  <w:num w:numId="3607">
    <w:abstractNumId w:val="991"/>
  </w:num>
  <w:num w:numId="3608">
    <w:abstractNumId w:val="991"/>
  </w:num>
  <w:num w:numId="3609">
    <w:abstractNumId w:val="991"/>
  </w:num>
  <w:num w:numId="3610">
    <w:abstractNumId w:val="991"/>
  </w:num>
  <w:num w:numId="3611">
    <w:abstractNumId w:val="991"/>
  </w:num>
  <w:num w:numId="3612">
    <w:abstractNumId w:val="991"/>
  </w:num>
  <w:num w:numId="3613">
    <w:abstractNumId w:val="991"/>
  </w:num>
  <w:num w:numId="3614">
    <w:abstractNumId w:val="991"/>
  </w:num>
  <w:num w:numId="3615">
    <w:abstractNumId w:val="991"/>
  </w:num>
  <w:num w:numId="3616">
    <w:abstractNumId w:val="991"/>
  </w:num>
  <w:num w:numId="3617">
    <w:abstractNumId w:val="991"/>
  </w:num>
  <w:num w:numId="3618">
    <w:abstractNumId w:val="991"/>
  </w:num>
  <w:num w:numId="3619">
    <w:abstractNumId w:val="991"/>
  </w:num>
  <w:num w:numId="3620">
    <w:abstractNumId w:val="991"/>
  </w:num>
  <w:num w:numId="3621">
    <w:abstractNumId w:val="991"/>
  </w:num>
  <w:num w:numId="3622">
    <w:abstractNumId w:val="991"/>
  </w:num>
  <w:num w:numId="3623">
    <w:abstractNumId w:val="991"/>
  </w:num>
  <w:num w:numId="36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City of Providence</dc:creator>
  <cp:keywords>City of Providence, RI, Zoning Ordinance, zoning, municipal ordinance</cp:keywords>
  <dcterms:created xsi:type="dcterms:W3CDTF">2026-09-10T23:52:35Z</dcterms:created>
  <dcterms:modified xsi:type="dcterms:W3CDTF">2026-09-10T23:52:35Z</dcterms:modified>
  <dc:subject>Adopted Ordinance</dc:subject>
  <cp:lastModifiedBy>City of Providence</cp:lastModifiedBy>
</cp:coreProperties>
</file>

<file path=docProps/custom.xml><?xml version="1.0" encoding="utf-8"?>
<Properties xmlns="http://schemas.openxmlformats.org/officeDocument/2006/custom-properties" xmlns:vt="http://schemas.openxmlformats.org/officeDocument/2006/docPropsVTypes"/>
</file>